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3.xml" ContentType="application/vnd.openxmlformats-officedocument.drawingml.chartshapes+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4.xml" ContentType="application/vnd.openxmlformats-officedocument.drawingml.chartshapes+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5.xml" ContentType="application/vnd.openxmlformats-officedocument.drawingml.chartshapes+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6.xml" ContentType="application/vnd.openxmlformats-officedocument.drawingml.chartshapes+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7.xml" ContentType="application/vnd.openxmlformats-officedocument.drawingml.chartshapes+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footer1.xml" ContentType="application/vnd.openxmlformats-officedocument.wordprocessingml.footer+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3.xml" ContentType="application/vnd.openxmlformats-officedocument.themeOverride+xml"/>
  <Override PartName="/word/drawings/drawing8.xml" ContentType="application/vnd.openxmlformats-officedocument.drawingml.chartshapes+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4.xml" ContentType="application/vnd.openxmlformats-officedocument.themeOverrid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drawings/drawing9.xml" ContentType="application/vnd.openxmlformats-officedocument.drawingml.chartshapes+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5.xml" ContentType="application/vnd.openxmlformats-officedocument.themeOverride+xml"/>
  <Override PartName="/word/drawings/drawing10.xml" ContentType="application/vnd.openxmlformats-officedocument.drawingml.chartshapes+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6.xml" ContentType="application/vnd.openxmlformats-officedocument.themeOverride+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0.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7.xml" ContentType="application/vnd.openxmlformats-officedocument.themeOverride+xml"/>
  <Override PartName="/word/charts/chart31.xml" ContentType="application/vnd.openxmlformats-officedocument.drawingml.chart+xml"/>
  <Override PartName="/word/charts/style29.xml" ContentType="application/vnd.ms-office.chartstyle+xml"/>
  <Override PartName="/word/charts/colors29.xml" ContentType="application/vnd.ms-office.chartcolorstyle+xml"/>
  <Override PartName="/word/drawings/drawing11.xml" ContentType="application/vnd.openxmlformats-officedocument.drawingml.chartshapes+xml"/>
  <Override PartName="/word/charts/chart32.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3.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4.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8.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5.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9.xml" ContentType="application/vnd.openxmlformats-officedocument.themeOverride+xml"/>
  <Override PartName="/word/charts/chart36.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10.xml" ContentType="application/vnd.openxmlformats-officedocument.themeOverride+xml"/>
  <Override PartName="/word/drawings/drawing12.xml" ContentType="application/vnd.openxmlformats-officedocument.drawingml.chartshapes+xml"/>
  <Override PartName="/word/charts/chart37.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11.xml" ContentType="application/vnd.openxmlformats-officedocument.themeOverride+xml"/>
  <Override PartName="/word/drawings/drawing13.xml" ContentType="application/vnd.openxmlformats-officedocument.drawingml.chartshapes+xml"/>
  <Override PartName="/word/charts/chart38.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12.xml" ContentType="application/vnd.openxmlformats-officedocument.themeOverride+xml"/>
  <Override PartName="/word/drawings/drawing14.xml" ContentType="application/vnd.openxmlformats-officedocument.drawingml.chartshapes+xml"/>
  <Override PartName="/word/charts/chart39.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13.xml" ContentType="application/vnd.openxmlformats-officedocument.themeOverride+xml"/>
  <Override PartName="/word/drawings/drawing15.xml" ContentType="application/vnd.openxmlformats-officedocument.drawingml.chartshapes+xml"/>
  <Override PartName="/word/charts/chart40.xml" ContentType="application/vnd.openxmlformats-officedocument.drawingml.chart+xml"/>
  <Override PartName="/word/charts/style38.xml" ContentType="application/vnd.ms-office.chartstyle+xml"/>
  <Override PartName="/word/charts/colors38.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6E778" w14:textId="77777777" w:rsidR="003F0E20" w:rsidRDefault="00EA3721" w:rsidP="003F0E20">
      <w:pPr>
        <w:tabs>
          <w:tab w:val="left" w:pos="993"/>
        </w:tabs>
        <w:jc w:val="center"/>
        <w:rPr>
          <w:b/>
          <w:sz w:val="32"/>
        </w:rPr>
      </w:pPr>
      <w:r w:rsidRPr="00EA3721">
        <w:rPr>
          <w:b/>
          <w:noProof/>
          <w:sz w:val="32"/>
          <w:lang w:eastAsia="lv-LV"/>
        </w:rPr>
        <w:drawing>
          <wp:inline distT="0" distB="0" distL="0" distR="0" wp14:anchorId="6982AB9C" wp14:editId="54FE7708">
            <wp:extent cx="5760085" cy="4067892"/>
            <wp:effectExtent l="0" t="0" r="0" b="8890"/>
            <wp:docPr id="3" name="Picture 3" descr="D:\Users\fud-allen\Downloads\industry-2630319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fud-allen\Downloads\industry-2630319_19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85" cy="4067892"/>
                    </a:xfrm>
                    <a:prstGeom prst="rect">
                      <a:avLst/>
                    </a:prstGeom>
                    <a:noFill/>
                    <a:ln>
                      <a:noFill/>
                    </a:ln>
                  </pic:spPr>
                </pic:pic>
              </a:graphicData>
            </a:graphic>
          </wp:inline>
        </w:drawing>
      </w:r>
      <w:r w:rsidR="003F0E20">
        <w:rPr>
          <w:b/>
          <w:noProof/>
          <w:sz w:val="32"/>
          <w:lang w:eastAsia="lv-LV"/>
        </w:rPr>
        <mc:AlternateContent>
          <mc:Choice Requires="wps">
            <w:drawing>
              <wp:anchor distT="0" distB="0" distL="114300" distR="114300" simplePos="0" relativeHeight="251659264" behindDoc="0" locked="0" layoutInCell="1" allowOverlap="1" wp14:anchorId="4129554F" wp14:editId="69BA84A6">
                <wp:simplePos x="0" y="0"/>
                <wp:positionH relativeFrom="column">
                  <wp:posOffset>-889635</wp:posOffset>
                </wp:positionH>
                <wp:positionV relativeFrom="paragraph">
                  <wp:posOffset>-700405</wp:posOffset>
                </wp:positionV>
                <wp:extent cx="219075" cy="102489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19075" cy="10248900"/>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7ADFE" id="Rectangle 1" o:spid="_x0000_s1026" style="position:absolute;margin-left:-70.05pt;margin-top:-55.15pt;width:17.25pt;height:8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" fillcolor="#1f4d78 [1604]" strokecolor="#1f4d78 [1604]" strokeweight="1pt"/>
            </w:pict>
          </mc:Fallback>
        </mc:AlternateContent>
      </w:r>
    </w:p>
    <w:p w14:paraId="2CFAD3D7" w14:textId="77777777" w:rsidR="003F0E20" w:rsidRDefault="003F0E20" w:rsidP="003F0E20">
      <w:pPr>
        <w:tabs>
          <w:tab w:val="left" w:pos="993"/>
        </w:tabs>
        <w:jc w:val="center"/>
        <w:rPr>
          <w:b/>
          <w:sz w:val="32"/>
        </w:rPr>
      </w:pPr>
    </w:p>
    <w:p w14:paraId="2D9DB2A7" w14:textId="77777777" w:rsidR="003F0E20" w:rsidRDefault="003F0E20" w:rsidP="003F0E20">
      <w:pPr>
        <w:tabs>
          <w:tab w:val="left" w:pos="993"/>
        </w:tabs>
        <w:jc w:val="center"/>
        <w:rPr>
          <w:b/>
          <w:sz w:val="32"/>
        </w:rPr>
      </w:pPr>
    </w:p>
    <w:p w14:paraId="15DB7874" w14:textId="77777777" w:rsidR="00892007" w:rsidRDefault="003F0E20" w:rsidP="003F0E20">
      <w:pPr>
        <w:tabs>
          <w:tab w:val="left" w:pos="993"/>
        </w:tabs>
        <w:jc w:val="center"/>
        <w:rPr>
          <w:b/>
          <w:sz w:val="36"/>
        </w:rPr>
      </w:pPr>
      <w:r w:rsidRPr="00EA3721">
        <w:rPr>
          <w:b/>
          <w:sz w:val="36"/>
        </w:rPr>
        <w:t>Informatīvais ziņojums “Par valsts budžeta izdevumu pārskatīšanas rezultātiem un priekšlikumi par šo rezultātu izmantošanu likumprojekta “Par vidēja termiņa budžeta ietvaru 202</w:t>
      </w:r>
      <w:r w:rsidR="00EA3721">
        <w:rPr>
          <w:b/>
          <w:sz w:val="36"/>
        </w:rPr>
        <w:t>1</w:t>
      </w:r>
      <w:r w:rsidRPr="00EA3721">
        <w:rPr>
          <w:b/>
          <w:sz w:val="36"/>
        </w:rPr>
        <w:t>., 202</w:t>
      </w:r>
      <w:r w:rsidR="00EA3721">
        <w:rPr>
          <w:b/>
          <w:sz w:val="36"/>
        </w:rPr>
        <w:t>2</w:t>
      </w:r>
      <w:r w:rsidRPr="00EA3721">
        <w:rPr>
          <w:b/>
          <w:sz w:val="36"/>
        </w:rPr>
        <w:t>. un 202</w:t>
      </w:r>
      <w:r w:rsidR="00EA3721">
        <w:rPr>
          <w:b/>
          <w:sz w:val="36"/>
        </w:rPr>
        <w:t>3</w:t>
      </w:r>
      <w:r w:rsidRPr="00EA3721">
        <w:rPr>
          <w:b/>
          <w:sz w:val="36"/>
        </w:rPr>
        <w:t>. gadam” un likumprojekta “Par valsts budžetu 202</w:t>
      </w:r>
      <w:r w:rsidR="00EA3721">
        <w:rPr>
          <w:b/>
          <w:sz w:val="36"/>
        </w:rPr>
        <w:t>1</w:t>
      </w:r>
      <w:r w:rsidRPr="00EA3721">
        <w:rPr>
          <w:b/>
          <w:sz w:val="36"/>
        </w:rPr>
        <w:t>. gadam” izstrādes procesā”</w:t>
      </w:r>
    </w:p>
    <w:p w14:paraId="1FA8AE11" w14:textId="77777777" w:rsidR="00EA3721" w:rsidRDefault="00EA3721" w:rsidP="003F0E20">
      <w:pPr>
        <w:tabs>
          <w:tab w:val="left" w:pos="993"/>
        </w:tabs>
        <w:jc w:val="center"/>
        <w:rPr>
          <w:b/>
          <w:sz w:val="36"/>
        </w:rPr>
      </w:pPr>
    </w:p>
    <w:p w14:paraId="252A974C" w14:textId="77777777" w:rsidR="00EA3721" w:rsidRDefault="00EA3721" w:rsidP="003F0E20">
      <w:pPr>
        <w:tabs>
          <w:tab w:val="left" w:pos="993"/>
        </w:tabs>
        <w:jc w:val="center"/>
        <w:rPr>
          <w:b/>
          <w:sz w:val="36"/>
        </w:rPr>
      </w:pPr>
    </w:p>
    <w:p w14:paraId="6DFAFF45" w14:textId="77777777" w:rsidR="00EA3721" w:rsidRDefault="00EA3721" w:rsidP="003F0E20">
      <w:pPr>
        <w:tabs>
          <w:tab w:val="left" w:pos="993"/>
        </w:tabs>
        <w:jc w:val="center"/>
        <w:rPr>
          <w:b/>
          <w:sz w:val="36"/>
        </w:rPr>
      </w:pPr>
    </w:p>
    <w:p w14:paraId="511FF0E7" w14:textId="77777777" w:rsidR="00EA3721" w:rsidRDefault="00EA3721" w:rsidP="00241959">
      <w:pPr>
        <w:tabs>
          <w:tab w:val="left" w:pos="993"/>
        </w:tabs>
        <w:rPr>
          <w:b/>
          <w:sz w:val="36"/>
        </w:rPr>
      </w:pPr>
    </w:p>
    <w:p w14:paraId="5169AB0E" w14:textId="77777777" w:rsidR="00EA3721" w:rsidRDefault="00EA3721" w:rsidP="003F0E20">
      <w:pPr>
        <w:tabs>
          <w:tab w:val="left" w:pos="993"/>
        </w:tabs>
        <w:jc w:val="center"/>
        <w:rPr>
          <w:b/>
          <w:sz w:val="36"/>
        </w:rPr>
      </w:pPr>
    </w:p>
    <w:p w14:paraId="5DD40975" w14:textId="77777777" w:rsidR="00EA3721" w:rsidRDefault="00EA3721" w:rsidP="003F0E20">
      <w:pPr>
        <w:tabs>
          <w:tab w:val="left" w:pos="993"/>
        </w:tabs>
        <w:jc w:val="center"/>
        <w:rPr>
          <w:sz w:val="32"/>
        </w:rPr>
      </w:pPr>
      <w:r w:rsidRPr="00EA3721">
        <w:rPr>
          <w:sz w:val="32"/>
        </w:rPr>
        <w:t>Rīga, 2020</w:t>
      </w:r>
    </w:p>
    <w:p w14:paraId="2A7BB163" w14:textId="77777777" w:rsidR="0011392E" w:rsidRDefault="0011392E" w:rsidP="003F0E20">
      <w:pPr>
        <w:tabs>
          <w:tab w:val="left" w:pos="993"/>
        </w:tabs>
        <w:jc w:val="center"/>
        <w:rPr>
          <w:sz w:val="32"/>
        </w:rPr>
      </w:pPr>
    </w:p>
    <w:p w14:paraId="6650DB4F" w14:textId="77777777" w:rsidR="00EA3721" w:rsidRDefault="00782C49" w:rsidP="003F0E20">
      <w:pPr>
        <w:tabs>
          <w:tab w:val="left" w:pos="993"/>
        </w:tabs>
        <w:jc w:val="center"/>
      </w:pPr>
      <w:r>
        <w:lastRenderedPageBreak/>
        <w:t>SATURS</w:t>
      </w:r>
    </w:p>
    <w:p w14:paraId="46FA5651" w14:textId="77777777" w:rsidR="00354828" w:rsidRDefault="00354828" w:rsidP="003F0E20">
      <w:pPr>
        <w:tabs>
          <w:tab w:val="left" w:pos="993"/>
        </w:tabs>
        <w:jc w:val="center"/>
      </w:pPr>
    </w:p>
    <w:p w14:paraId="286E10BB" w14:textId="2EEF00FD" w:rsidR="00510677" w:rsidRDefault="00D44FE6">
      <w:pPr>
        <w:pStyle w:val="TOC2"/>
        <w:rPr>
          <w:rFonts w:asciiTheme="minorHAnsi" w:eastAsiaTheme="minorEastAsia" w:hAnsiTheme="minorHAnsi" w:cstheme="minorBidi"/>
          <w:bCs w:val="0"/>
          <w:smallCaps w:val="0"/>
          <w:noProof/>
          <w:sz w:val="22"/>
          <w:szCs w:val="22"/>
          <w:lang w:eastAsia="lv-LV"/>
        </w:rPr>
      </w:pPr>
      <w:r>
        <w:fldChar w:fldCharType="begin"/>
      </w:r>
      <w:r>
        <w:instrText xml:space="preserve"> TOC \o "1-3" \h \z \u </w:instrText>
      </w:r>
      <w:r>
        <w:fldChar w:fldCharType="separate"/>
      </w:r>
      <w:hyperlink w:anchor="_Toc48200641" w:history="1">
        <w:r w:rsidR="00510677" w:rsidRPr="00401D1B">
          <w:rPr>
            <w:rStyle w:val="Hyperlink"/>
            <w:noProof/>
          </w:rPr>
          <w:t>IEVADS</w:t>
        </w:r>
        <w:r w:rsidR="00510677">
          <w:rPr>
            <w:noProof/>
            <w:webHidden/>
          </w:rPr>
          <w:tab/>
        </w:r>
        <w:r w:rsidR="00510677">
          <w:rPr>
            <w:noProof/>
            <w:webHidden/>
          </w:rPr>
          <w:tab/>
        </w:r>
        <w:r w:rsidR="00510677">
          <w:rPr>
            <w:noProof/>
            <w:webHidden/>
          </w:rPr>
          <w:fldChar w:fldCharType="begin"/>
        </w:r>
        <w:r w:rsidR="00510677">
          <w:rPr>
            <w:noProof/>
            <w:webHidden/>
          </w:rPr>
          <w:instrText xml:space="preserve"> PAGEREF _Toc48200641 \h </w:instrText>
        </w:r>
        <w:r w:rsidR="00510677">
          <w:rPr>
            <w:noProof/>
            <w:webHidden/>
          </w:rPr>
        </w:r>
        <w:r w:rsidR="00510677">
          <w:rPr>
            <w:noProof/>
            <w:webHidden/>
          </w:rPr>
          <w:fldChar w:fldCharType="separate"/>
        </w:r>
        <w:r w:rsidR="00D96F20">
          <w:rPr>
            <w:noProof/>
            <w:webHidden/>
          </w:rPr>
          <w:t>5</w:t>
        </w:r>
        <w:r w:rsidR="00510677">
          <w:rPr>
            <w:noProof/>
            <w:webHidden/>
          </w:rPr>
          <w:fldChar w:fldCharType="end"/>
        </w:r>
      </w:hyperlink>
    </w:p>
    <w:p w14:paraId="218492B4" w14:textId="504224CB" w:rsidR="00510677" w:rsidRDefault="005E1561">
      <w:pPr>
        <w:pStyle w:val="TOC1"/>
        <w:rPr>
          <w:rFonts w:asciiTheme="minorHAnsi" w:eastAsiaTheme="minorEastAsia" w:hAnsiTheme="minorHAnsi" w:cstheme="minorBidi"/>
          <w:b w:val="0"/>
          <w:bCs w:val="0"/>
          <w:caps w:val="0"/>
          <w:sz w:val="22"/>
          <w:szCs w:val="22"/>
          <w:u w:val="none"/>
          <w:lang w:eastAsia="lv-LV"/>
        </w:rPr>
      </w:pPr>
      <w:hyperlink w:anchor="_Toc48200642" w:history="1">
        <w:r w:rsidR="00510677" w:rsidRPr="00401D1B">
          <w:rPr>
            <w:rStyle w:val="Hyperlink"/>
          </w:rPr>
          <w:t>1.</w:t>
        </w:r>
        <w:r w:rsidR="00510677">
          <w:rPr>
            <w:rFonts w:asciiTheme="minorHAnsi" w:eastAsiaTheme="minorEastAsia" w:hAnsiTheme="minorHAnsi" w:cstheme="minorBidi"/>
            <w:b w:val="0"/>
            <w:bCs w:val="0"/>
            <w:caps w:val="0"/>
            <w:sz w:val="22"/>
            <w:szCs w:val="22"/>
            <w:u w:val="none"/>
            <w:lang w:eastAsia="lv-LV"/>
          </w:rPr>
          <w:tab/>
        </w:r>
        <w:r w:rsidR="00510677" w:rsidRPr="00401D1B">
          <w:rPr>
            <w:rStyle w:val="Hyperlink"/>
          </w:rPr>
          <w:t>IEPRIEKŠĒJĀS IZDEVUMU PĀRSKATĪŠANAS REZULTĀTU IEVIEŠANA</w:t>
        </w:r>
        <w:r w:rsidR="00510677">
          <w:rPr>
            <w:webHidden/>
          </w:rPr>
          <w:tab/>
        </w:r>
        <w:r w:rsidR="00510677">
          <w:rPr>
            <w:webHidden/>
          </w:rPr>
          <w:fldChar w:fldCharType="begin"/>
        </w:r>
        <w:r w:rsidR="00510677">
          <w:rPr>
            <w:webHidden/>
          </w:rPr>
          <w:instrText xml:space="preserve"> PAGEREF _Toc48200642 \h </w:instrText>
        </w:r>
        <w:r w:rsidR="00510677">
          <w:rPr>
            <w:webHidden/>
          </w:rPr>
        </w:r>
        <w:r w:rsidR="00510677">
          <w:rPr>
            <w:webHidden/>
          </w:rPr>
          <w:fldChar w:fldCharType="separate"/>
        </w:r>
        <w:r w:rsidR="00D96F20">
          <w:rPr>
            <w:webHidden/>
          </w:rPr>
          <w:t>9</w:t>
        </w:r>
        <w:r w:rsidR="00510677">
          <w:rPr>
            <w:webHidden/>
          </w:rPr>
          <w:fldChar w:fldCharType="end"/>
        </w:r>
      </w:hyperlink>
    </w:p>
    <w:p w14:paraId="75FCC2C7" w14:textId="1DE5DB46" w:rsidR="00510677" w:rsidRDefault="005E1561">
      <w:pPr>
        <w:pStyle w:val="TOC1"/>
        <w:rPr>
          <w:rFonts w:asciiTheme="minorHAnsi" w:eastAsiaTheme="minorEastAsia" w:hAnsiTheme="minorHAnsi" w:cstheme="minorBidi"/>
          <w:b w:val="0"/>
          <w:bCs w:val="0"/>
          <w:caps w:val="0"/>
          <w:sz w:val="22"/>
          <w:szCs w:val="22"/>
          <w:u w:val="none"/>
          <w:lang w:eastAsia="lv-LV"/>
        </w:rPr>
      </w:pPr>
      <w:hyperlink w:anchor="_Toc48200643" w:history="1">
        <w:r w:rsidR="00510677" w:rsidRPr="00401D1B">
          <w:rPr>
            <w:rStyle w:val="Hyperlink"/>
          </w:rPr>
          <w:t>2.</w:t>
        </w:r>
        <w:r w:rsidR="00510677">
          <w:rPr>
            <w:rFonts w:asciiTheme="minorHAnsi" w:eastAsiaTheme="minorEastAsia" w:hAnsiTheme="minorHAnsi" w:cstheme="minorBidi"/>
            <w:b w:val="0"/>
            <w:bCs w:val="0"/>
            <w:caps w:val="0"/>
            <w:sz w:val="22"/>
            <w:szCs w:val="22"/>
            <w:u w:val="none"/>
            <w:lang w:eastAsia="lv-LV"/>
          </w:rPr>
          <w:tab/>
        </w:r>
        <w:r w:rsidR="00510677" w:rsidRPr="00401D1B">
          <w:rPr>
            <w:rStyle w:val="Hyperlink"/>
          </w:rPr>
          <w:t>VALSTS BUDŽETA FINANSĒTO FUNKCIJU ANALĪZE</w:t>
        </w:r>
        <w:r w:rsidR="00510677">
          <w:rPr>
            <w:webHidden/>
          </w:rPr>
          <w:tab/>
        </w:r>
        <w:r w:rsidR="00510677">
          <w:rPr>
            <w:webHidden/>
          </w:rPr>
          <w:fldChar w:fldCharType="begin"/>
        </w:r>
        <w:r w:rsidR="00510677">
          <w:rPr>
            <w:webHidden/>
          </w:rPr>
          <w:instrText xml:space="preserve"> PAGEREF _Toc48200643 \h </w:instrText>
        </w:r>
        <w:r w:rsidR="00510677">
          <w:rPr>
            <w:webHidden/>
          </w:rPr>
        </w:r>
        <w:r w:rsidR="00510677">
          <w:rPr>
            <w:webHidden/>
          </w:rPr>
          <w:fldChar w:fldCharType="separate"/>
        </w:r>
        <w:r w:rsidR="00D96F20">
          <w:rPr>
            <w:webHidden/>
          </w:rPr>
          <w:t>26</w:t>
        </w:r>
        <w:r w:rsidR="00510677">
          <w:rPr>
            <w:webHidden/>
          </w:rPr>
          <w:fldChar w:fldCharType="end"/>
        </w:r>
      </w:hyperlink>
    </w:p>
    <w:p w14:paraId="7CC93FC1" w14:textId="77D7F6F0" w:rsidR="00510677" w:rsidRDefault="005E1561">
      <w:pPr>
        <w:pStyle w:val="TOC2"/>
        <w:rPr>
          <w:rFonts w:asciiTheme="minorHAnsi" w:eastAsiaTheme="minorEastAsia" w:hAnsiTheme="minorHAnsi" w:cstheme="minorBidi"/>
          <w:bCs w:val="0"/>
          <w:smallCaps w:val="0"/>
          <w:noProof/>
          <w:sz w:val="22"/>
          <w:szCs w:val="22"/>
          <w:lang w:eastAsia="lv-LV"/>
        </w:rPr>
      </w:pPr>
      <w:hyperlink w:anchor="_Toc48200644" w:history="1">
        <w:r w:rsidR="00510677" w:rsidRPr="00401D1B">
          <w:rPr>
            <w:rStyle w:val="Hyperlink"/>
            <w:noProof/>
          </w:rPr>
          <w:t>2.1.</w:t>
        </w:r>
        <w:r w:rsidR="00510677">
          <w:rPr>
            <w:rFonts w:asciiTheme="minorHAnsi" w:eastAsiaTheme="minorEastAsia" w:hAnsiTheme="minorHAnsi" w:cstheme="minorBidi"/>
            <w:bCs w:val="0"/>
            <w:smallCaps w:val="0"/>
            <w:noProof/>
            <w:sz w:val="22"/>
            <w:szCs w:val="22"/>
            <w:lang w:eastAsia="lv-LV"/>
          </w:rPr>
          <w:tab/>
        </w:r>
        <w:r w:rsidR="00510677" w:rsidRPr="00401D1B">
          <w:rPr>
            <w:rStyle w:val="Hyperlink"/>
            <w:noProof/>
          </w:rPr>
          <w:t>Valsts budžeta programmu/apakšprogrammu stratēģiskās pārskatīšanas matrica detalizācijas līmenis funkcijas un aktivitātes</w:t>
        </w:r>
        <w:r w:rsidR="00510677">
          <w:rPr>
            <w:noProof/>
            <w:webHidden/>
          </w:rPr>
          <w:tab/>
        </w:r>
        <w:r w:rsidR="00510677">
          <w:rPr>
            <w:noProof/>
            <w:webHidden/>
          </w:rPr>
          <w:fldChar w:fldCharType="begin"/>
        </w:r>
        <w:r w:rsidR="00510677">
          <w:rPr>
            <w:noProof/>
            <w:webHidden/>
          </w:rPr>
          <w:instrText xml:space="preserve"> PAGEREF _Toc48200644 \h </w:instrText>
        </w:r>
        <w:r w:rsidR="00510677">
          <w:rPr>
            <w:noProof/>
            <w:webHidden/>
          </w:rPr>
        </w:r>
        <w:r w:rsidR="00510677">
          <w:rPr>
            <w:noProof/>
            <w:webHidden/>
          </w:rPr>
          <w:fldChar w:fldCharType="separate"/>
        </w:r>
        <w:r w:rsidR="00D96F20">
          <w:rPr>
            <w:noProof/>
            <w:webHidden/>
          </w:rPr>
          <w:t>26</w:t>
        </w:r>
        <w:r w:rsidR="00510677">
          <w:rPr>
            <w:noProof/>
            <w:webHidden/>
          </w:rPr>
          <w:fldChar w:fldCharType="end"/>
        </w:r>
      </w:hyperlink>
    </w:p>
    <w:p w14:paraId="4F9FCBDE" w14:textId="5239A075" w:rsidR="00510677" w:rsidRDefault="005E1561">
      <w:pPr>
        <w:pStyle w:val="TOC1"/>
        <w:rPr>
          <w:rFonts w:asciiTheme="minorHAnsi" w:eastAsiaTheme="minorEastAsia" w:hAnsiTheme="minorHAnsi" w:cstheme="minorBidi"/>
          <w:b w:val="0"/>
          <w:bCs w:val="0"/>
          <w:caps w:val="0"/>
          <w:sz w:val="22"/>
          <w:szCs w:val="22"/>
          <w:u w:val="none"/>
          <w:lang w:eastAsia="lv-LV"/>
        </w:rPr>
      </w:pPr>
      <w:hyperlink w:anchor="_Toc48200645" w:history="1">
        <w:r w:rsidR="00510677" w:rsidRPr="00401D1B">
          <w:rPr>
            <w:rStyle w:val="Hyperlink"/>
          </w:rPr>
          <w:t>3.</w:t>
        </w:r>
        <w:r w:rsidR="00510677">
          <w:rPr>
            <w:rFonts w:asciiTheme="minorHAnsi" w:eastAsiaTheme="minorEastAsia" w:hAnsiTheme="minorHAnsi" w:cstheme="minorBidi"/>
            <w:b w:val="0"/>
            <w:bCs w:val="0"/>
            <w:caps w:val="0"/>
            <w:sz w:val="22"/>
            <w:szCs w:val="22"/>
            <w:u w:val="none"/>
            <w:lang w:eastAsia="lv-LV"/>
          </w:rPr>
          <w:tab/>
        </w:r>
        <w:r w:rsidR="00510677" w:rsidRPr="00401D1B">
          <w:rPr>
            <w:rStyle w:val="Hyperlink"/>
          </w:rPr>
          <w:t>NOZARES MINISTRIJU PĀRRAUDZĪBĀ ESOŠO FINANSĒŠANAS POLITIKU ANALĪZE</w:t>
        </w:r>
        <w:r w:rsidR="00510677">
          <w:rPr>
            <w:webHidden/>
          </w:rPr>
          <w:tab/>
        </w:r>
        <w:r w:rsidR="00510677">
          <w:rPr>
            <w:webHidden/>
          </w:rPr>
          <w:fldChar w:fldCharType="begin"/>
        </w:r>
        <w:r w:rsidR="00510677">
          <w:rPr>
            <w:webHidden/>
          </w:rPr>
          <w:instrText xml:space="preserve"> PAGEREF _Toc48200645 \h </w:instrText>
        </w:r>
        <w:r w:rsidR="00510677">
          <w:rPr>
            <w:webHidden/>
          </w:rPr>
        </w:r>
        <w:r w:rsidR="00510677">
          <w:rPr>
            <w:webHidden/>
          </w:rPr>
          <w:fldChar w:fldCharType="separate"/>
        </w:r>
        <w:r w:rsidR="00D96F20">
          <w:rPr>
            <w:webHidden/>
          </w:rPr>
          <w:t>37</w:t>
        </w:r>
        <w:r w:rsidR="00510677">
          <w:rPr>
            <w:webHidden/>
          </w:rPr>
          <w:fldChar w:fldCharType="end"/>
        </w:r>
      </w:hyperlink>
    </w:p>
    <w:p w14:paraId="405CEE1F" w14:textId="74DFBB2D" w:rsidR="00510677" w:rsidRDefault="005E1561">
      <w:pPr>
        <w:pStyle w:val="TOC2"/>
        <w:rPr>
          <w:rFonts w:asciiTheme="minorHAnsi" w:eastAsiaTheme="minorEastAsia" w:hAnsiTheme="minorHAnsi" w:cstheme="minorBidi"/>
          <w:bCs w:val="0"/>
          <w:smallCaps w:val="0"/>
          <w:noProof/>
          <w:sz w:val="22"/>
          <w:szCs w:val="22"/>
          <w:lang w:eastAsia="lv-LV"/>
        </w:rPr>
      </w:pPr>
      <w:hyperlink w:anchor="_Toc48200646" w:history="1">
        <w:r w:rsidR="00510677" w:rsidRPr="00401D1B">
          <w:rPr>
            <w:rStyle w:val="Hyperlink"/>
            <w:noProof/>
          </w:rPr>
          <w:t>3.1.</w:t>
        </w:r>
        <w:r w:rsidR="00510677">
          <w:rPr>
            <w:rFonts w:asciiTheme="minorHAnsi" w:eastAsiaTheme="minorEastAsia" w:hAnsiTheme="minorHAnsi" w:cstheme="minorBidi"/>
            <w:bCs w:val="0"/>
            <w:smallCaps w:val="0"/>
            <w:noProof/>
            <w:sz w:val="22"/>
            <w:szCs w:val="22"/>
            <w:lang w:eastAsia="lv-LV"/>
          </w:rPr>
          <w:tab/>
        </w:r>
        <w:r w:rsidR="00510677" w:rsidRPr="00401D1B">
          <w:rPr>
            <w:rStyle w:val="Hyperlink"/>
            <w:noProof/>
          </w:rPr>
          <w:t>Kārtējā budžeta gadā un iepriekšējos gados piešķirtā finansējuma attīstības izdevumiem pārskatīšana</w:t>
        </w:r>
        <w:r w:rsidR="00510677">
          <w:rPr>
            <w:noProof/>
            <w:webHidden/>
          </w:rPr>
          <w:tab/>
        </w:r>
        <w:r w:rsidR="00510677">
          <w:rPr>
            <w:noProof/>
            <w:webHidden/>
          </w:rPr>
          <w:fldChar w:fldCharType="begin"/>
        </w:r>
        <w:r w:rsidR="00510677">
          <w:rPr>
            <w:noProof/>
            <w:webHidden/>
          </w:rPr>
          <w:instrText xml:space="preserve"> PAGEREF _Toc48200646 \h </w:instrText>
        </w:r>
        <w:r w:rsidR="00510677">
          <w:rPr>
            <w:noProof/>
            <w:webHidden/>
          </w:rPr>
        </w:r>
        <w:r w:rsidR="00510677">
          <w:rPr>
            <w:noProof/>
            <w:webHidden/>
          </w:rPr>
          <w:fldChar w:fldCharType="separate"/>
        </w:r>
        <w:r w:rsidR="00D96F20">
          <w:rPr>
            <w:noProof/>
            <w:webHidden/>
          </w:rPr>
          <w:t>37</w:t>
        </w:r>
        <w:r w:rsidR="00510677">
          <w:rPr>
            <w:noProof/>
            <w:webHidden/>
          </w:rPr>
          <w:fldChar w:fldCharType="end"/>
        </w:r>
      </w:hyperlink>
    </w:p>
    <w:p w14:paraId="4827F95F" w14:textId="55602A36" w:rsidR="00510677" w:rsidRDefault="005E1561">
      <w:pPr>
        <w:pStyle w:val="TOC2"/>
        <w:rPr>
          <w:rFonts w:asciiTheme="minorHAnsi" w:eastAsiaTheme="minorEastAsia" w:hAnsiTheme="minorHAnsi" w:cstheme="minorBidi"/>
          <w:bCs w:val="0"/>
          <w:smallCaps w:val="0"/>
          <w:noProof/>
          <w:sz w:val="22"/>
          <w:szCs w:val="22"/>
          <w:lang w:eastAsia="lv-LV"/>
        </w:rPr>
      </w:pPr>
      <w:hyperlink w:anchor="_Toc48200647" w:history="1">
        <w:r w:rsidR="00510677" w:rsidRPr="00401D1B">
          <w:rPr>
            <w:rStyle w:val="Hyperlink"/>
            <w:noProof/>
          </w:rPr>
          <w:t>3.2.</w:t>
        </w:r>
        <w:r w:rsidR="00510677">
          <w:rPr>
            <w:rFonts w:asciiTheme="minorHAnsi" w:eastAsiaTheme="minorEastAsia" w:hAnsiTheme="minorHAnsi" w:cstheme="minorBidi"/>
            <w:bCs w:val="0"/>
            <w:smallCaps w:val="0"/>
            <w:noProof/>
            <w:sz w:val="22"/>
            <w:szCs w:val="22"/>
            <w:lang w:eastAsia="lv-LV"/>
          </w:rPr>
          <w:tab/>
        </w:r>
        <w:r w:rsidR="00510677" w:rsidRPr="00401D1B">
          <w:rPr>
            <w:rStyle w:val="Hyperlink"/>
            <w:noProof/>
          </w:rPr>
          <w:t>Veselības nozares izvērtējums</w:t>
        </w:r>
        <w:r w:rsidR="00510677">
          <w:rPr>
            <w:noProof/>
            <w:webHidden/>
          </w:rPr>
          <w:tab/>
        </w:r>
        <w:r w:rsidR="00510677">
          <w:rPr>
            <w:noProof/>
            <w:webHidden/>
          </w:rPr>
          <w:fldChar w:fldCharType="begin"/>
        </w:r>
        <w:r w:rsidR="00510677">
          <w:rPr>
            <w:noProof/>
            <w:webHidden/>
          </w:rPr>
          <w:instrText xml:space="preserve"> PAGEREF _Toc48200647 \h </w:instrText>
        </w:r>
        <w:r w:rsidR="00510677">
          <w:rPr>
            <w:noProof/>
            <w:webHidden/>
          </w:rPr>
        </w:r>
        <w:r w:rsidR="00510677">
          <w:rPr>
            <w:noProof/>
            <w:webHidden/>
          </w:rPr>
          <w:fldChar w:fldCharType="separate"/>
        </w:r>
        <w:r w:rsidR="00D96F20">
          <w:rPr>
            <w:noProof/>
            <w:webHidden/>
          </w:rPr>
          <w:t>50</w:t>
        </w:r>
        <w:r w:rsidR="00510677">
          <w:rPr>
            <w:noProof/>
            <w:webHidden/>
          </w:rPr>
          <w:fldChar w:fldCharType="end"/>
        </w:r>
      </w:hyperlink>
    </w:p>
    <w:p w14:paraId="409690BF" w14:textId="6E69D9FD" w:rsidR="00510677" w:rsidRDefault="005E1561">
      <w:pPr>
        <w:pStyle w:val="TOC3"/>
        <w:rPr>
          <w:rFonts w:asciiTheme="minorHAnsi" w:eastAsiaTheme="minorEastAsia" w:hAnsiTheme="minorHAnsi" w:cstheme="minorBidi"/>
          <w:noProof/>
          <w:sz w:val="22"/>
          <w:szCs w:val="22"/>
          <w:lang w:eastAsia="lv-LV"/>
        </w:rPr>
      </w:pPr>
      <w:hyperlink w:anchor="_Toc48200648" w:history="1">
        <w:r w:rsidR="00510677" w:rsidRPr="00401D1B">
          <w:rPr>
            <w:rStyle w:val="Hyperlink"/>
            <w:noProof/>
          </w:rPr>
          <w:t>3.2.1.</w:t>
        </w:r>
        <w:r w:rsidR="00510677">
          <w:rPr>
            <w:rFonts w:asciiTheme="minorHAnsi" w:eastAsiaTheme="minorEastAsia" w:hAnsiTheme="minorHAnsi" w:cstheme="minorBidi"/>
            <w:noProof/>
            <w:sz w:val="22"/>
            <w:szCs w:val="22"/>
            <w:lang w:eastAsia="lv-LV"/>
          </w:rPr>
          <w:tab/>
        </w:r>
        <w:r w:rsidR="00510677" w:rsidRPr="00401D1B">
          <w:rPr>
            <w:rStyle w:val="Hyperlink"/>
            <w:noProof/>
          </w:rPr>
          <w:t>Valsts apmaksāto veselības aprūpes pakalpojumu analīze</w:t>
        </w:r>
        <w:r w:rsidR="00510677">
          <w:rPr>
            <w:noProof/>
            <w:webHidden/>
          </w:rPr>
          <w:tab/>
        </w:r>
        <w:r w:rsidR="00510677">
          <w:rPr>
            <w:noProof/>
            <w:webHidden/>
          </w:rPr>
          <w:fldChar w:fldCharType="begin"/>
        </w:r>
        <w:r w:rsidR="00510677">
          <w:rPr>
            <w:noProof/>
            <w:webHidden/>
          </w:rPr>
          <w:instrText xml:space="preserve"> PAGEREF _Toc48200648 \h </w:instrText>
        </w:r>
        <w:r w:rsidR="00510677">
          <w:rPr>
            <w:noProof/>
            <w:webHidden/>
          </w:rPr>
        </w:r>
        <w:r w:rsidR="00510677">
          <w:rPr>
            <w:noProof/>
            <w:webHidden/>
          </w:rPr>
          <w:fldChar w:fldCharType="separate"/>
        </w:r>
        <w:r w:rsidR="00D96F20">
          <w:rPr>
            <w:noProof/>
            <w:webHidden/>
          </w:rPr>
          <w:t>50</w:t>
        </w:r>
        <w:r w:rsidR="00510677">
          <w:rPr>
            <w:noProof/>
            <w:webHidden/>
          </w:rPr>
          <w:fldChar w:fldCharType="end"/>
        </w:r>
      </w:hyperlink>
    </w:p>
    <w:p w14:paraId="6B3BC40E" w14:textId="45639253" w:rsidR="00510677" w:rsidRDefault="005E1561">
      <w:pPr>
        <w:pStyle w:val="TOC3"/>
        <w:rPr>
          <w:rFonts w:asciiTheme="minorHAnsi" w:eastAsiaTheme="minorEastAsia" w:hAnsiTheme="minorHAnsi" w:cstheme="minorBidi"/>
          <w:noProof/>
          <w:sz w:val="22"/>
          <w:szCs w:val="22"/>
          <w:lang w:eastAsia="lv-LV"/>
        </w:rPr>
      </w:pPr>
      <w:hyperlink w:anchor="_Toc48200649" w:history="1">
        <w:r w:rsidR="00510677" w:rsidRPr="00401D1B">
          <w:rPr>
            <w:rStyle w:val="Hyperlink"/>
            <w:noProof/>
          </w:rPr>
          <w:t>3.2.2.</w:t>
        </w:r>
        <w:r w:rsidR="00510677">
          <w:rPr>
            <w:rFonts w:asciiTheme="minorHAnsi" w:eastAsiaTheme="minorEastAsia" w:hAnsiTheme="minorHAnsi" w:cstheme="minorBidi"/>
            <w:noProof/>
            <w:sz w:val="22"/>
            <w:szCs w:val="22"/>
            <w:lang w:eastAsia="lv-LV"/>
          </w:rPr>
          <w:tab/>
        </w:r>
        <w:r w:rsidR="00510677" w:rsidRPr="00401D1B">
          <w:rPr>
            <w:rStyle w:val="Hyperlink"/>
            <w:noProof/>
          </w:rPr>
          <w:t>Izdevumu analīze veselības aprūpei drošības struktūrās</w:t>
        </w:r>
        <w:r w:rsidR="00510677">
          <w:rPr>
            <w:noProof/>
            <w:webHidden/>
          </w:rPr>
          <w:tab/>
        </w:r>
        <w:r w:rsidR="00510677">
          <w:rPr>
            <w:noProof/>
            <w:webHidden/>
          </w:rPr>
          <w:fldChar w:fldCharType="begin"/>
        </w:r>
        <w:r w:rsidR="00510677">
          <w:rPr>
            <w:noProof/>
            <w:webHidden/>
          </w:rPr>
          <w:instrText xml:space="preserve"> PAGEREF _Toc48200649 \h </w:instrText>
        </w:r>
        <w:r w:rsidR="00510677">
          <w:rPr>
            <w:noProof/>
            <w:webHidden/>
          </w:rPr>
        </w:r>
        <w:r w:rsidR="00510677">
          <w:rPr>
            <w:noProof/>
            <w:webHidden/>
          </w:rPr>
          <w:fldChar w:fldCharType="separate"/>
        </w:r>
        <w:r w:rsidR="00D96F20">
          <w:rPr>
            <w:noProof/>
            <w:webHidden/>
          </w:rPr>
          <w:t>70</w:t>
        </w:r>
        <w:r w:rsidR="00510677">
          <w:rPr>
            <w:noProof/>
            <w:webHidden/>
          </w:rPr>
          <w:fldChar w:fldCharType="end"/>
        </w:r>
      </w:hyperlink>
    </w:p>
    <w:p w14:paraId="6EDD30AA" w14:textId="1F2794D8" w:rsidR="00510677" w:rsidRDefault="005E1561">
      <w:pPr>
        <w:pStyle w:val="TOC2"/>
        <w:rPr>
          <w:rFonts w:asciiTheme="minorHAnsi" w:eastAsiaTheme="minorEastAsia" w:hAnsiTheme="minorHAnsi" w:cstheme="minorBidi"/>
          <w:bCs w:val="0"/>
          <w:smallCaps w:val="0"/>
          <w:noProof/>
          <w:sz w:val="22"/>
          <w:szCs w:val="22"/>
          <w:lang w:eastAsia="lv-LV"/>
        </w:rPr>
      </w:pPr>
      <w:hyperlink w:anchor="_Toc48200650" w:history="1">
        <w:r w:rsidR="00510677" w:rsidRPr="00401D1B">
          <w:rPr>
            <w:rStyle w:val="Hyperlink"/>
            <w:noProof/>
          </w:rPr>
          <w:t>3.3.</w:t>
        </w:r>
        <w:r w:rsidR="00510677">
          <w:rPr>
            <w:rFonts w:asciiTheme="minorHAnsi" w:eastAsiaTheme="minorEastAsia" w:hAnsiTheme="minorHAnsi" w:cstheme="minorBidi"/>
            <w:bCs w:val="0"/>
            <w:smallCaps w:val="0"/>
            <w:noProof/>
            <w:sz w:val="22"/>
            <w:szCs w:val="22"/>
            <w:lang w:eastAsia="lv-LV"/>
          </w:rPr>
          <w:tab/>
        </w:r>
        <w:r w:rsidR="00510677" w:rsidRPr="00401D1B">
          <w:rPr>
            <w:rStyle w:val="Hyperlink"/>
            <w:noProof/>
          </w:rPr>
          <w:t>Izglītības nozares izvērtējums</w:t>
        </w:r>
        <w:r w:rsidR="00510677">
          <w:rPr>
            <w:noProof/>
            <w:webHidden/>
          </w:rPr>
          <w:tab/>
        </w:r>
        <w:r w:rsidR="00510677">
          <w:rPr>
            <w:noProof/>
            <w:webHidden/>
          </w:rPr>
          <w:fldChar w:fldCharType="begin"/>
        </w:r>
        <w:r w:rsidR="00510677">
          <w:rPr>
            <w:noProof/>
            <w:webHidden/>
          </w:rPr>
          <w:instrText xml:space="preserve"> PAGEREF _Toc48200650 \h </w:instrText>
        </w:r>
        <w:r w:rsidR="00510677">
          <w:rPr>
            <w:noProof/>
            <w:webHidden/>
          </w:rPr>
        </w:r>
        <w:r w:rsidR="00510677">
          <w:rPr>
            <w:noProof/>
            <w:webHidden/>
          </w:rPr>
          <w:fldChar w:fldCharType="separate"/>
        </w:r>
        <w:r w:rsidR="00D96F20">
          <w:rPr>
            <w:noProof/>
            <w:webHidden/>
          </w:rPr>
          <w:t>78</w:t>
        </w:r>
        <w:r w:rsidR="00510677">
          <w:rPr>
            <w:noProof/>
            <w:webHidden/>
          </w:rPr>
          <w:fldChar w:fldCharType="end"/>
        </w:r>
      </w:hyperlink>
    </w:p>
    <w:p w14:paraId="36A0D308" w14:textId="4A6F7CE8" w:rsidR="00510677" w:rsidRDefault="005E1561">
      <w:pPr>
        <w:pStyle w:val="TOC3"/>
        <w:rPr>
          <w:rFonts w:asciiTheme="minorHAnsi" w:eastAsiaTheme="minorEastAsia" w:hAnsiTheme="minorHAnsi" w:cstheme="minorBidi"/>
          <w:noProof/>
          <w:sz w:val="22"/>
          <w:szCs w:val="22"/>
          <w:lang w:eastAsia="lv-LV"/>
        </w:rPr>
      </w:pPr>
      <w:hyperlink w:anchor="_Toc48200651" w:history="1">
        <w:r w:rsidR="00510677" w:rsidRPr="00401D1B">
          <w:rPr>
            <w:rStyle w:val="Hyperlink"/>
            <w:noProof/>
          </w:rPr>
          <w:t>3.3.1.</w:t>
        </w:r>
        <w:r w:rsidR="00510677">
          <w:rPr>
            <w:rFonts w:asciiTheme="minorHAnsi" w:eastAsiaTheme="minorEastAsia" w:hAnsiTheme="minorHAnsi" w:cstheme="minorBidi"/>
            <w:noProof/>
            <w:sz w:val="22"/>
            <w:szCs w:val="22"/>
            <w:lang w:eastAsia="lv-LV"/>
          </w:rPr>
          <w:tab/>
        </w:r>
        <w:r w:rsidR="00510677" w:rsidRPr="00401D1B">
          <w:rPr>
            <w:rStyle w:val="Hyperlink"/>
            <w:noProof/>
          </w:rPr>
          <w:t>Profesionālās izglītības izvērtējums</w:t>
        </w:r>
        <w:r w:rsidR="00510677">
          <w:rPr>
            <w:noProof/>
            <w:webHidden/>
          </w:rPr>
          <w:tab/>
        </w:r>
        <w:r w:rsidR="00510677">
          <w:rPr>
            <w:noProof/>
            <w:webHidden/>
          </w:rPr>
          <w:fldChar w:fldCharType="begin"/>
        </w:r>
        <w:r w:rsidR="00510677">
          <w:rPr>
            <w:noProof/>
            <w:webHidden/>
          </w:rPr>
          <w:instrText xml:space="preserve"> PAGEREF _Toc48200651 \h </w:instrText>
        </w:r>
        <w:r w:rsidR="00510677">
          <w:rPr>
            <w:noProof/>
            <w:webHidden/>
          </w:rPr>
        </w:r>
        <w:r w:rsidR="00510677">
          <w:rPr>
            <w:noProof/>
            <w:webHidden/>
          </w:rPr>
          <w:fldChar w:fldCharType="separate"/>
        </w:r>
        <w:r w:rsidR="00D96F20">
          <w:rPr>
            <w:noProof/>
            <w:webHidden/>
          </w:rPr>
          <w:t>78</w:t>
        </w:r>
        <w:r w:rsidR="00510677">
          <w:rPr>
            <w:noProof/>
            <w:webHidden/>
          </w:rPr>
          <w:fldChar w:fldCharType="end"/>
        </w:r>
      </w:hyperlink>
    </w:p>
    <w:p w14:paraId="52CCBBB0" w14:textId="515933C3" w:rsidR="00510677" w:rsidRDefault="005E1561">
      <w:pPr>
        <w:pStyle w:val="TOC3"/>
        <w:rPr>
          <w:rFonts w:asciiTheme="minorHAnsi" w:eastAsiaTheme="minorEastAsia" w:hAnsiTheme="minorHAnsi" w:cstheme="minorBidi"/>
          <w:noProof/>
          <w:sz w:val="22"/>
          <w:szCs w:val="22"/>
          <w:lang w:eastAsia="lv-LV"/>
        </w:rPr>
      </w:pPr>
      <w:hyperlink w:anchor="_Toc48200652" w:history="1">
        <w:r w:rsidR="00510677" w:rsidRPr="00401D1B">
          <w:rPr>
            <w:rStyle w:val="Hyperlink"/>
            <w:noProof/>
          </w:rPr>
          <w:t>3.3.2.</w:t>
        </w:r>
        <w:r w:rsidR="00510677">
          <w:rPr>
            <w:rFonts w:asciiTheme="minorHAnsi" w:eastAsiaTheme="minorEastAsia" w:hAnsiTheme="minorHAnsi" w:cstheme="minorBidi"/>
            <w:noProof/>
            <w:sz w:val="22"/>
            <w:szCs w:val="22"/>
            <w:lang w:eastAsia="lv-LV"/>
          </w:rPr>
          <w:tab/>
        </w:r>
        <w:r w:rsidR="00510677" w:rsidRPr="00401D1B">
          <w:rPr>
            <w:rStyle w:val="Hyperlink"/>
            <w:noProof/>
          </w:rPr>
          <w:t>Augstākās izglītības finansēšana</w:t>
        </w:r>
        <w:r w:rsidR="00510677">
          <w:rPr>
            <w:noProof/>
            <w:webHidden/>
          </w:rPr>
          <w:tab/>
        </w:r>
        <w:r w:rsidR="00510677">
          <w:rPr>
            <w:noProof/>
            <w:webHidden/>
          </w:rPr>
          <w:fldChar w:fldCharType="begin"/>
        </w:r>
        <w:r w:rsidR="00510677">
          <w:rPr>
            <w:noProof/>
            <w:webHidden/>
          </w:rPr>
          <w:instrText xml:space="preserve"> PAGEREF _Toc48200652 \h </w:instrText>
        </w:r>
        <w:r w:rsidR="00510677">
          <w:rPr>
            <w:noProof/>
            <w:webHidden/>
          </w:rPr>
        </w:r>
        <w:r w:rsidR="00510677">
          <w:rPr>
            <w:noProof/>
            <w:webHidden/>
          </w:rPr>
          <w:fldChar w:fldCharType="separate"/>
        </w:r>
        <w:r w:rsidR="00D96F20">
          <w:rPr>
            <w:noProof/>
            <w:webHidden/>
          </w:rPr>
          <w:t>84</w:t>
        </w:r>
        <w:r w:rsidR="00510677">
          <w:rPr>
            <w:noProof/>
            <w:webHidden/>
          </w:rPr>
          <w:fldChar w:fldCharType="end"/>
        </w:r>
      </w:hyperlink>
    </w:p>
    <w:p w14:paraId="13492A5A" w14:textId="7D054E50" w:rsidR="00510677" w:rsidRDefault="005E1561">
      <w:pPr>
        <w:pStyle w:val="TOC3"/>
        <w:rPr>
          <w:rFonts w:asciiTheme="minorHAnsi" w:eastAsiaTheme="minorEastAsia" w:hAnsiTheme="minorHAnsi" w:cstheme="minorBidi"/>
          <w:noProof/>
          <w:sz w:val="22"/>
          <w:szCs w:val="22"/>
          <w:lang w:eastAsia="lv-LV"/>
        </w:rPr>
      </w:pPr>
      <w:hyperlink w:anchor="_Toc48200653" w:history="1">
        <w:r w:rsidR="00510677" w:rsidRPr="00401D1B">
          <w:rPr>
            <w:rStyle w:val="Hyperlink"/>
            <w:noProof/>
          </w:rPr>
          <w:t>3.3.3.</w:t>
        </w:r>
        <w:r w:rsidR="00510677">
          <w:rPr>
            <w:rFonts w:asciiTheme="minorHAnsi" w:eastAsiaTheme="minorEastAsia" w:hAnsiTheme="minorHAnsi" w:cstheme="minorBidi"/>
            <w:noProof/>
            <w:sz w:val="22"/>
            <w:szCs w:val="22"/>
            <w:lang w:eastAsia="lv-LV"/>
          </w:rPr>
          <w:tab/>
        </w:r>
        <w:r w:rsidR="00510677" w:rsidRPr="00401D1B">
          <w:rPr>
            <w:rStyle w:val="Hyperlink"/>
            <w:noProof/>
          </w:rPr>
          <w:t>Sporta nozares finansēšana</w:t>
        </w:r>
        <w:r w:rsidR="00510677">
          <w:rPr>
            <w:noProof/>
            <w:webHidden/>
          </w:rPr>
          <w:tab/>
        </w:r>
        <w:r w:rsidR="00510677">
          <w:rPr>
            <w:noProof/>
            <w:webHidden/>
          </w:rPr>
          <w:fldChar w:fldCharType="begin"/>
        </w:r>
        <w:r w:rsidR="00510677">
          <w:rPr>
            <w:noProof/>
            <w:webHidden/>
          </w:rPr>
          <w:instrText xml:space="preserve"> PAGEREF _Toc48200653 \h </w:instrText>
        </w:r>
        <w:r w:rsidR="00510677">
          <w:rPr>
            <w:noProof/>
            <w:webHidden/>
          </w:rPr>
        </w:r>
        <w:r w:rsidR="00510677">
          <w:rPr>
            <w:noProof/>
            <w:webHidden/>
          </w:rPr>
          <w:fldChar w:fldCharType="separate"/>
        </w:r>
        <w:r w:rsidR="00D96F20">
          <w:rPr>
            <w:noProof/>
            <w:webHidden/>
          </w:rPr>
          <w:t>94</w:t>
        </w:r>
        <w:r w:rsidR="00510677">
          <w:rPr>
            <w:noProof/>
            <w:webHidden/>
          </w:rPr>
          <w:fldChar w:fldCharType="end"/>
        </w:r>
      </w:hyperlink>
    </w:p>
    <w:p w14:paraId="78EA893F" w14:textId="6E3FAC09" w:rsidR="00510677" w:rsidRDefault="005E1561">
      <w:pPr>
        <w:pStyle w:val="TOC2"/>
        <w:rPr>
          <w:rFonts w:asciiTheme="minorHAnsi" w:eastAsiaTheme="minorEastAsia" w:hAnsiTheme="minorHAnsi" w:cstheme="minorBidi"/>
          <w:bCs w:val="0"/>
          <w:smallCaps w:val="0"/>
          <w:noProof/>
          <w:sz w:val="22"/>
          <w:szCs w:val="22"/>
          <w:lang w:eastAsia="lv-LV"/>
        </w:rPr>
      </w:pPr>
      <w:hyperlink w:anchor="_Toc48200654" w:history="1">
        <w:r w:rsidR="00510677" w:rsidRPr="00401D1B">
          <w:rPr>
            <w:rStyle w:val="Hyperlink"/>
            <w:noProof/>
          </w:rPr>
          <w:t>3.4.</w:t>
        </w:r>
        <w:r w:rsidR="00510677">
          <w:rPr>
            <w:rFonts w:asciiTheme="minorHAnsi" w:eastAsiaTheme="minorEastAsia" w:hAnsiTheme="minorHAnsi" w:cstheme="minorBidi"/>
            <w:bCs w:val="0"/>
            <w:smallCaps w:val="0"/>
            <w:noProof/>
            <w:sz w:val="22"/>
            <w:szCs w:val="22"/>
            <w:lang w:eastAsia="lv-LV"/>
          </w:rPr>
          <w:tab/>
        </w:r>
        <w:r w:rsidR="00510677" w:rsidRPr="00401D1B">
          <w:rPr>
            <w:rStyle w:val="Hyperlink"/>
            <w:noProof/>
          </w:rPr>
          <w:t>Iekšlietu nozares budžeta analīze</w:t>
        </w:r>
        <w:r w:rsidR="00510677">
          <w:rPr>
            <w:noProof/>
            <w:webHidden/>
          </w:rPr>
          <w:tab/>
        </w:r>
        <w:r w:rsidR="00510677">
          <w:rPr>
            <w:noProof/>
            <w:webHidden/>
          </w:rPr>
          <w:fldChar w:fldCharType="begin"/>
        </w:r>
        <w:r w:rsidR="00510677">
          <w:rPr>
            <w:noProof/>
            <w:webHidden/>
          </w:rPr>
          <w:instrText xml:space="preserve"> PAGEREF _Toc48200654 \h </w:instrText>
        </w:r>
        <w:r w:rsidR="00510677">
          <w:rPr>
            <w:noProof/>
            <w:webHidden/>
          </w:rPr>
        </w:r>
        <w:r w:rsidR="00510677">
          <w:rPr>
            <w:noProof/>
            <w:webHidden/>
          </w:rPr>
          <w:fldChar w:fldCharType="separate"/>
        </w:r>
        <w:r w:rsidR="00D96F20">
          <w:rPr>
            <w:noProof/>
            <w:webHidden/>
          </w:rPr>
          <w:t>102</w:t>
        </w:r>
        <w:r w:rsidR="00510677">
          <w:rPr>
            <w:noProof/>
            <w:webHidden/>
          </w:rPr>
          <w:fldChar w:fldCharType="end"/>
        </w:r>
      </w:hyperlink>
    </w:p>
    <w:p w14:paraId="58A02BD3" w14:textId="729A21E9" w:rsidR="00510677" w:rsidRDefault="005E1561">
      <w:pPr>
        <w:pStyle w:val="TOC2"/>
        <w:rPr>
          <w:rFonts w:asciiTheme="minorHAnsi" w:eastAsiaTheme="minorEastAsia" w:hAnsiTheme="minorHAnsi" w:cstheme="minorBidi"/>
          <w:bCs w:val="0"/>
          <w:smallCaps w:val="0"/>
          <w:noProof/>
          <w:sz w:val="22"/>
          <w:szCs w:val="22"/>
          <w:lang w:eastAsia="lv-LV"/>
        </w:rPr>
      </w:pPr>
      <w:hyperlink w:anchor="_Toc48200655" w:history="1">
        <w:r w:rsidR="00510677" w:rsidRPr="00401D1B">
          <w:rPr>
            <w:rStyle w:val="Hyperlink"/>
            <w:noProof/>
          </w:rPr>
          <w:t>3.5.</w:t>
        </w:r>
        <w:r w:rsidR="00510677">
          <w:rPr>
            <w:rFonts w:asciiTheme="minorHAnsi" w:eastAsiaTheme="minorEastAsia" w:hAnsiTheme="minorHAnsi" w:cstheme="minorBidi"/>
            <w:bCs w:val="0"/>
            <w:smallCaps w:val="0"/>
            <w:noProof/>
            <w:sz w:val="22"/>
            <w:szCs w:val="22"/>
            <w:lang w:eastAsia="lv-LV"/>
          </w:rPr>
          <w:tab/>
        </w:r>
        <w:r w:rsidR="00510677" w:rsidRPr="00401D1B">
          <w:rPr>
            <w:rStyle w:val="Hyperlink"/>
            <w:noProof/>
          </w:rPr>
          <w:t>Publiskās privātās partnerības (PPP) potenciālā loma attīstības un produktivitātes veicināšanā</w:t>
        </w:r>
        <w:r w:rsidR="00510677">
          <w:rPr>
            <w:noProof/>
            <w:webHidden/>
          </w:rPr>
          <w:tab/>
        </w:r>
        <w:r w:rsidR="00510677">
          <w:rPr>
            <w:noProof/>
            <w:webHidden/>
          </w:rPr>
          <w:fldChar w:fldCharType="begin"/>
        </w:r>
        <w:r w:rsidR="00510677">
          <w:rPr>
            <w:noProof/>
            <w:webHidden/>
          </w:rPr>
          <w:instrText xml:space="preserve"> PAGEREF _Toc48200655 \h </w:instrText>
        </w:r>
        <w:r w:rsidR="00510677">
          <w:rPr>
            <w:noProof/>
            <w:webHidden/>
          </w:rPr>
        </w:r>
        <w:r w:rsidR="00510677">
          <w:rPr>
            <w:noProof/>
            <w:webHidden/>
          </w:rPr>
          <w:fldChar w:fldCharType="separate"/>
        </w:r>
        <w:r w:rsidR="00D96F20">
          <w:rPr>
            <w:noProof/>
            <w:webHidden/>
          </w:rPr>
          <w:t>116</w:t>
        </w:r>
        <w:r w:rsidR="00510677">
          <w:rPr>
            <w:noProof/>
            <w:webHidden/>
          </w:rPr>
          <w:fldChar w:fldCharType="end"/>
        </w:r>
      </w:hyperlink>
    </w:p>
    <w:p w14:paraId="13BE13E6" w14:textId="7BC96C20" w:rsidR="00510677" w:rsidRDefault="005E1561">
      <w:pPr>
        <w:pStyle w:val="TOC1"/>
        <w:rPr>
          <w:rFonts w:asciiTheme="minorHAnsi" w:eastAsiaTheme="minorEastAsia" w:hAnsiTheme="minorHAnsi" w:cstheme="minorBidi"/>
          <w:b w:val="0"/>
          <w:bCs w:val="0"/>
          <w:caps w:val="0"/>
          <w:sz w:val="22"/>
          <w:szCs w:val="22"/>
          <w:u w:val="none"/>
          <w:lang w:eastAsia="lv-LV"/>
        </w:rPr>
      </w:pPr>
      <w:hyperlink w:anchor="_Toc48200656" w:history="1">
        <w:r w:rsidR="00510677" w:rsidRPr="00401D1B">
          <w:rPr>
            <w:rStyle w:val="Hyperlink"/>
          </w:rPr>
          <w:t>4.</w:t>
        </w:r>
        <w:r w:rsidR="00510677">
          <w:rPr>
            <w:rFonts w:asciiTheme="minorHAnsi" w:eastAsiaTheme="minorEastAsia" w:hAnsiTheme="minorHAnsi" w:cstheme="minorBidi"/>
            <w:b w:val="0"/>
            <w:bCs w:val="0"/>
            <w:caps w:val="0"/>
            <w:sz w:val="22"/>
            <w:szCs w:val="22"/>
            <w:u w:val="none"/>
            <w:lang w:eastAsia="lv-LV"/>
          </w:rPr>
          <w:tab/>
        </w:r>
        <w:r w:rsidR="00510677" w:rsidRPr="00401D1B">
          <w:rPr>
            <w:rStyle w:val="Hyperlink"/>
          </w:rPr>
          <w:t>VIDĒJA TERMIŅA IZDEVUMU PĀRSKATĪŠANAS REZULTĀTI</w:t>
        </w:r>
        <w:r w:rsidR="00510677">
          <w:rPr>
            <w:webHidden/>
          </w:rPr>
          <w:tab/>
        </w:r>
        <w:r w:rsidR="00510677">
          <w:rPr>
            <w:webHidden/>
          </w:rPr>
          <w:fldChar w:fldCharType="begin"/>
        </w:r>
        <w:r w:rsidR="00510677">
          <w:rPr>
            <w:webHidden/>
          </w:rPr>
          <w:instrText xml:space="preserve"> PAGEREF _Toc48200656 \h </w:instrText>
        </w:r>
        <w:r w:rsidR="00510677">
          <w:rPr>
            <w:webHidden/>
          </w:rPr>
        </w:r>
        <w:r w:rsidR="00510677">
          <w:rPr>
            <w:webHidden/>
          </w:rPr>
          <w:fldChar w:fldCharType="separate"/>
        </w:r>
        <w:r w:rsidR="00D96F20">
          <w:rPr>
            <w:webHidden/>
          </w:rPr>
          <w:t>136</w:t>
        </w:r>
        <w:r w:rsidR="00510677">
          <w:rPr>
            <w:webHidden/>
          </w:rPr>
          <w:fldChar w:fldCharType="end"/>
        </w:r>
      </w:hyperlink>
    </w:p>
    <w:p w14:paraId="7E0E14A6" w14:textId="0EF4BE59" w:rsidR="00510677" w:rsidRDefault="005E1561">
      <w:pPr>
        <w:pStyle w:val="TOC2"/>
        <w:rPr>
          <w:rFonts w:asciiTheme="minorHAnsi" w:eastAsiaTheme="minorEastAsia" w:hAnsiTheme="minorHAnsi" w:cstheme="minorBidi"/>
          <w:bCs w:val="0"/>
          <w:smallCaps w:val="0"/>
          <w:noProof/>
          <w:sz w:val="22"/>
          <w:szCs w:val="22"/>
          <w:lang w:eastAsia="lv-LV"/>
        </w:rPr>
      </w:pPr>
      <w:hyperlink w:anchor="_Toc48200657" w:history="1">
        <w:r w:rsidR="00510677" w:rsidRPr="00401D1B">
          <w:rPr>
            <w:rStyle w:val="Hyperlink"/>
            <w:noProof/>
          </w:rPr>
          <w:t>4.1.</w:t>
        </w:r>
        <w:r w:rsidR="00510677">
          <w:rPr>
            <w:rFonts w:asciiTheme="minorHAnsi" w:eastAsiaTheme="minorEastAsia" w:hAnsiTheme="minorHAnsi" w:cstheme="minorBidi"/>
            <w:bCs w:val="0"/>
            <w:smallCaps w:val="0"/>
            <w:noProof/>
            <w:sz w:val="22"/>
            <w:szCs w:val="22"/>
            <w:lang w:eastAsia="lv-LV"/>
          </w:rPr>
          <w:tab/>
        </w:r>
        <w:r w:rsidR="00510677" w:rsidRPr="00401D1B">
          <w:rPr>
            <w:rStyle w:val="Hyperlink"/>
            <w:noProof/>
          </w:rPr>
          <w:t>Atbalsta funkciju centralizācijas iespējas</w:t>
        </w:r>
        <w:r w:rsidR="00510677">
          <w:rPr>
            <w:noProof/>
            <w:webHidden/>
          </w:rPr>
          <w:tab/>
        </w:r>
        <w:r w:rsidR="00510677">
          <w:rPr>
            <w:noProof/>
            <w:webHidden/>
          </w:rPr>
          <w:fldChar w:fldCharType="begin"/>
        </w:r>
        <w:r w:rsidR="00510677">
          <w:rPr>
            <w:noProof/>
            <w:webHidden/>
          </w:rPr>
          <w:instrText xml:space="preserve"> PAGEREF _Toc48200657 \h </w:instrText>
        </w:r>
        <w:r w:rsidR="00510677">
          <w:rPr>
            <w:noProof/>
            <w:webHidden/>
          </w:rPr>
        </w:r>
        <w:r w:rsidR="00510677">
          <w:rPr>
            <w:noProof/>
            <w:webHidden/>
          </w:rPr>
          <w:fldChar w:fldCharType="separate"/>
        </w:r>
        <w:r w:rsidR="00D96F20">
          <w:rPr>
            <w:noProof/>
            <w:webHidden/>
          </w:rPr>
          <w:t>136</w:t>
        </w:r>
        <w:r w:rsidR="00510677">
          <w:rPr>
            <w:noProof/>
            <w:webHidden/>
          </w:rPr>
          <w:fldChar w:fldCharType="end"/>
        </w:r>
      </w:hyperlink>
    </w:p>
    <w:p w14:paraId="7D3B2A0C" w14:textId="04012BDF" w:rsidR="00510677" w:rsidRDefault="005E1561">
      <w:pPr>
        <w:pStyle w:val="TOC2"/>
        <w:rPr>
          <w:rFonts w:asciiTheme="minorHAnsi" w:eastAsiaTheme="minorEastAsia" w:hAnsiTheme="minorHAnsi" w:cstheme="minorBidi"/>
          <w:bCs w:val="0"/>
          <w:smallCaps w:val="0"/>
          <w:noProof/>
          <w:sz w:val="22"/>
          <w:szCs w:val="22"/>
          <w:lang w:eastAsia="lv-LV"/>
        </w:rPr>
      </w:pPr>
      <w:hyperlink w:anchor="_Toc48200658" w:history="1">
        <w:r w:rsidR="00510677" w:rsidRPr="00401D1B">
          <w:rPr>
            <w:rStyle w:val="Hyperlink"/>
            <w:noProof/>
          </w:rPr>
          <w:t>4.2.</w:t>
        </w:r>
        <w:r w:rsidR="00510677">
          <w:rPr>
            <w:rFonts w:asciiTheme="minorHAnsi" w:eastAsiaTheme="minorEastAsia" w:hAnsiTheme="minorHAnsi" w:cstheme="minorBidi"/>
            <w:bCs w:val="0"/>
            <w:smallCaps w:val="0"/>
            <w:noProof/>
            <w:sz w:val="22"/>
            <w:szCs w:val="22"/>
            <w:lang w:eastAsia="lv-LV"/>
          </w:rPr>
          <w:tab/>
        </w:r>
        <w:r w:rsidR="00510677" w:rsidRPr="00401D1B">
          <w:rPr>
            <w:rStyle w:val="Hyperlink"/>
            <w:noProof/>
          </w:rPr>
          <w:t>Valsts budžeta izpildes analīzes pilnveide</w:t>
        </w:r>
        <w:r w:rsidR="00510677">
          <w:rPr>
            <w:noProof/>
            <w:webHidden/>
          </w:rPr>
          <w:tab/>
        </w:r>
        <w:r w:rsidR="00510677">
          <w:rPr>
            <w:noProof/>
            <w:webHidden/>
          </w:rPr>
          <w:fldChar w:fldCharType="begin"/>
        </w:r>
        <w:r w:rsidR="00510677">
          <w:rPr>
            <w:noProof/>
            <w:webHidden/>
          </w:rPr>
          <w:instrText xml:space="preserve"> PAGEREF _Toc48200658 \h </w:instrText>
        </w:r>
        <w:r w:rsidR="00510677">
          <w:rPr>
            <w:noProof/>
            <w:webHidden/>
          </w:rPr>
        </w:r>
        <w:r w:rsidR="00510677">
          <w:rPr>
            <w:noProof/>
            <w:webHidden/>
          </w:rPr>
          <w:fldChar w:fldCharType="separate"/>
        </w:r>
        <w:r w:rsidR="00D96F20">
          <w:rPr>
            <w:noProof/>
            <w:webHidden/>
          </w:rPr>
          <w:t>140</w:t>
        </w:r>
        <w:r w:rsidR="00510677">
          <w:rPr>
            <w:noProof/>
            <w:webHidden/>
          </w:rPr>
          <w:fldChar w:fldCharType="end"/>
        </w:r>
      </w:hyperlink>
    </w:p>
    <w:p w14:paraId="61C91767" w14:textId="6A5FF1AF" w:rsidR="00510677" w:rsidRDefault="005E1561">
      <w:pPr>
        <w:pStyle w:val="TOC2"/>
        <w:rPr>
          <w:rFonts w:asciiTheme="minorHAnsi" w:eastAsiaTheme="minorEastAsia" w:hAnsiTheme="minorHAnsi" w:cstheme="minorBidi"/>
          <w:bCs w:val="0"/>
          <w:smallCaps w:val="0"/>
          <w:noProof/>
          <w:sz w:val="22"/>
          <w:szCs w:val="22"/>
          <w:lang w:eastAsia="lv-LV"/>
        </w:rPr>
      </w:pPr>
      <w:hyperlink w:anchor="_Toc48200659" w:history="1">
        <w:r w:rsidR="00510677" w:rsidRPr="00401D1B">
          <w:rPr>
            <w:rStyle w:val="Hyperlink"/>
            <w:noProof/>
          </w:rPr>
          <w:t>4.3.</w:t>
        </w:r>
        <w:r w:rsidR="00510677">
          <w:rPr>
            <w:rFonts w:asciiTheme="minorHAnsi" w:eastAsiaTheme="minorEastAsia" w:hAnsiTheme="minorHAnsi" w:cstheme="minorBidi"/>
            <w:bCs w:val="0"/>
            <w:smallCaps w:val="0"/>
            <w:noProof/>
            <w:sz w:val="22"/>
            <w:szCs w:val="22"/>
            <w:lang w:eastAsia="lv-LV"/>
          </w:rPr>
          <w:tab/>
        </w:r>
        <w:r w:rsidR="00510677" w:rsidRPr="00401D1B">
          <w:rPr>
            <w:rStyle w:val="Hyperlink"/>
            <w:noProof/>
          </w:rPr>
          <w:t>Budžeta plānošanas un izpildes procesu vadības sistēmas tālāka pilnveidošana</w:t>
        </w:r>
        <w:r w:rsidR="00510677">
          <w:rPr>
            <w:noProof/>
            <w:webHidden/>
          </w:rPr>
          <w:tab/>
        </w:r>
        <w:r w:rsidR="00510677">
          <w:rPr>
            <w:noProof/>
            <w:webHidden/>
          </w:rPr>
          <w:fldChar w:fldCharType="begin"/>
        </w:r>
        <w:r w:rsidR="00510677">
          <w:rPr>
            <w:noProof/>
            <w:webHidden/>
          </w:rPr>
          <w:instrText xml:space="preserve"> PAGEREF _Toc48200659 \h </w:instrText>
        </w:r>
        <w:r w:rsidR="00510677">
          <w:rPr>
            <w:noProof/>
            <w:webHidden/>
          </w:rPr>
        </w:r>
        <w:r w:rsidR="00510677">
          <w:rPr>
            <w:noProof/>
            <w:webHidden/>
          </w:rPr>
          <w:fldChar w:fldCharType="separate"/>
        </w:r>
        <w:r w:rsidR="00D96F20">
          <w:rPr>
            <w:noProof/>
            <w:webHidden/>
          </w:rPr>
          <w:t>145</w:t>
        </w:r>
        <w:r w:rsidR="00510677">
          <w:rPr>
            <w:noProof/>
            <w:webHidden/>
          </w:rPr>
          <w:fldChar w:fldCharType="end"/>
        </w:r>
      </w:hyperlink>
    </w:p>
    <w:p w14:paraId="7A93ACCC" w14:textId="70503DEF" w:rsidR="00510677" w:rsidRDefault="005E1561">
      <w:pPr>
        <w:pStyle w:val="TOC2"/>
        <w:rPr>
          <w:rFonts w:asciiTheme="minorHAnsi" w:eastAsiaTheme="minorEastAsia" w:hAnsiTheme="minorHAnsi" w:cstheme="minorBidi"/>
          <w:bCs w:val="0"/>
          <w:smallCaps w:val="0"/>
          <w:noProof/>
          <w:sz w:val="22"/>
          <w:szCs w:val="22"/>
          <w:lang w:eastAsia="lv-LV"/>
        </w:rPr>
      </w:pPr>
      <w:hyperlink w:anchor="_Toc48200660" w:history="1">
        <w:r w:rsidR="00510677" w:rsidRPr="00401D1B">
          <w:rPr>
            <w:rStyle w:val="Hyperlink"/>
            <w:noProof/>
          </w:rPr>
          <w:t>4.4.</w:t>
        </w:r>
        <w:r w:rsidR="00510677">
          <w:rPr>
            <w:rFonts w:asciiTheme="minorHAnsi" w:eastAsiaTheme="minorEastAsia" w:hAnsiTheme="minorHAnsi" w:cstheme="minorBidi"/>
            <w:bCs w:val="0"/>
            <w:smallCaps w:val="0"/>
            <w:noProof/>
            <w:sz w:val="22"/>
            <w:szCs w:val="22"/>
            <w:lang w:eastAsia="lv-LV"/>
          </w:rPr>
          <w:tab/>
        </w:r>
        <w:r w:rsidR="00510677" w:rsidRPr="00401D1B">
          <w:rPr>
            <w:rStyle w:val="Hyperlink"/>
            <w:noProof/>
          </w:rPr>
          <w:t>IKT jomas finansēšanas, informācijas sistēmu un datu centru analīze</w:t>
        </w:r>
        <w:r w:rsidR="00510677">
          <w:rPr>
            <w:noProof/>
            <w:webHidden/>
          </w:rPr>
          <w:tab/>
        </w:r>
        <w:r w:rsidR="00510677">
          <w:rPr>
            <w:noProof/>
            <w:webHidden/>
          </w:rPr>
          <w:fldChar w:fldCharType="begin"/>
        </w:r>
        <w:r w:rsidR="00510677">
          <w:rPr>
            <w:noProof/>
            <w:webHidden/>
          </w:rPr>
          <w:instrText xml:space="preserve"> PAGEREF _Toc48200660 \h </w:instrText>
        </w:r>
        <w:r w:rsidR="00510677">
          <w:rPr>
            <w:noProof/>
            <w:webHidden/>
          </w:rPr>
        </w:r>
        <w:r w:rsidR="00510677">
          <w:rPr>
            <w:noProof/>
            <w:webHidden/>
          </w:rPr>
          <w:fldChar w:fldCharType="separate"/>
        </w:r>
        <w:r w:rsidR="00D96F20">
          <w:rPr>
            <w:noProof/>
            <w:webHidden/>
          </w:rPr>
          <w:t>149</w:t>
        </w:r>
        <w:r w:rsidR="00510677">
          <w:rPr>
            <w:noProof/>
            <w:webHidden/>
          </w:rPr>
          <w:fldChar w:fldCharType="end"/>
        </w:r>
      </w:hyperlink>
    </w:p>
    <w:p w14:paraId="0E58FAE9" w14:textId="270FD05D" w:rsidR="00510677" w:rsidRDefault="005E1561">
      <w:pPr>
        <w:pStyle w:val="TOC2"/>
        <w:rPr>
          <w:rFonts w:asciiTheme="minorHAnsi" w:eastAsiaTheme="minorEastAsia" w:hAnsiTheme="minorHAnsi" w:cstheme="minorBidi"/>
          <w:bCs w:val="0"/>
          <w:smallCaps w:val="0"/>
          <w:noProof/>
          <w:sz w:val="22"/>
          <w:szCs w:val="22"/>
          <w:lang w:eastAsia="lv-LV"/>
        </w:rPr>
      </w:pPr>
      <w:hyperlink w:anchor="_Toc48200661" w:history="1">
        <w:r w:rsidR="00510677" w:rsidRPr="00401D1B">
          <w:rPr>
            <w:rStyle w:val="Hyperlink"/>
            <w:noProof/>
          </w:rPr>
          <w:t>4.5.</w:t>
        </w:r>
        <w:r w:rsidR="00510677">
          <w:rPr>
            <w:rFonts w:asciiTheme="minorHAnsi" w:eastAsiaTheme="minorEastAsia" w:hAnsiTheme="minorHAnsi" w:cstheme="minorBidi"/>
            <w:bCs w:val="0"/>
            <w:smallCaps w:val="0"/>
            <w:noProof/>
            <w:sz w:val="22"/>
            <w:szCs w:val="22"/>
            <w:lang w:eastAsia="lv-LV"/>
          </w:rPr>
          <w:tab/>
        </w:r>
        <w:r w:rsidR="00510677" w:rsidRPr="00401D1B">
          <w:rPr>
            <w:rStyle w:val="Hyperlink"/>
            <w:noProof/>
          </w:rPr>
          <w:t>Izdevumu sasaistes nodrošināšanai ar resursu avotu</w:t>
        </w:r>
        <w:r w:rsidR="00510677">
          <w:rPr>
            <w:noProof/>
            <w:webHidden/>
          </w:rPr>
          <w:tab/>
        </w:r>
        <w:r w:rsidR="00510677">
          <w:rPr>
            <w:noProof/>
            <w:webHidden/>
          </w:rPr>
          <w:fldChar w:fldCharType="begin"/>
        </w:r>
        <w:r w:rsidR="00510677">
          <w:rPr>
            <w:noProof/>
            <w:webHidden/>
          </w:rPr>
          <w:instrText xml:space="preserve"> PAGEREF _Toc48200661 \h </w:instrText>
        </w:r>
        <w:r w:rsidR="00510677">
          <w:rPr>
            <w:noProof/>
            <w:webHidden/>
          </w:rPr>
        </w:r>
        <w:r w:rsidR="00510677">
          <w:rPr>
            <w:noProof/>
            <w:webHidden/>
          </w:rPr>
          <w:fldChar w:fldCharType="separate"/>
        </w:r>
        <w:r w:rsidR="00D96F20">
          <w:rPr>
            <w:noProof/>
            <w:webHidden/>
          </w:rPr>
          <w:t>156</w:t>
        </w:r>
        <w:r w:rsidR="00510677">
          <w:rPr>
            <w:noProof/>
            <w:webHidden/>
          </w:rPr>
          <w:fldChar w:fldCharType="end"/>
        </w:r>
      </w:hyperlink>
    </w:p>
    <w:p w14:paraId="0F8D194F" w14:textId="6EF0D6D1" w:rsidR="0092679D" w:rsidRDefault="00D44FE6" w:rsidP="001602F9">
      <w:pPr>
        <w:tabs>
          <w:tab w:val="left" w:pos="993"/>
        </w:tabs>
        <w:jc w:val="center"/>
      </w:pPr>
      <w:r>
        <w:fldChar w:fldCharType="end"/>
      </w:r>
    </w:p>
    <w:p w14:paraId="3310AB17" w14:textId="77777777" w:rsidR="0092679D" w:rsidRDefault="0092679D" w:rsidP="001602F9">
      <w:pPr>
        <w:tabs>
          <w:tab w:val="left" w:pos="993"/>
        </w:tabs>
        <w:jc w:val="center"/>
      </w:pPr>
    </w:p>
    <w:p w14:paraId="21805E75" w14:textId="77777777" w:rsidR="00C446A7" w:rsidRDefault="00C446A7" w:rsidP="00E158D6">
      <w:pPr>
        <w:tabs>
          <w:tab w:val="left" w:pos="993"/>
        </w:tabs>
      </w:pPr>
    </w:p>
    <w:p w14:paraId="54B484D2" w14:textId="77777777" w:rsidR="00593F5F" w:rsidRDefault="00593F5F" w:rsidP="00E158D6">
      <w:pPr>
        <w:tabs>
          <w:tab w:val="left" w:pos="993"/>
        </w:tabs>
      </w:pPr>
    </w:p>
    <w:p w14:paraId="2C584FB8" w14:textId="43180501" w:rsidR="00593F5F" w:rsidRDefault="00593F5F" w:rsidP="00E158D6">
      <w:pPr>
        <w:tabs>
          <w:tab w:val="left" w:pos="993"/>
        </w:tabs>
      </w:pPr>
    </w:p>
    <w:p w14:paraId="52F7211B" w14:textId="3018D266" w:rsidR="00895E21" w:rsidRDefault="00895E21" w:rsidP="00E158D6">
      <w:pPr>
        <w:tabs>
          <w:tab w:val="left" w:pos="993"/>
        </w:tabs>
      </w:pPr>
    </w:p>
    <w:p w14:paraId="6DBDEBC9" w14:textId="77777777" w:rsidR="00354828" w:rsidRPr="00354828" w:rsidRDefault="00354828" w:rsidP="001602F9">
      <w:pPr>
        <w:tabs>
          <w:tab w:val="left" w:pos="993"/>
        </w:tabs>
        <w:jc w:val="center"/>
        <w:rPr>
          <w:b/>
        </w:rPr>
      </w:pPr>
      <w:r w:rsidRPr="00354828">
        <w:rPr>
          <w:b/>
        </w:rPr>
        <w:lastRenderedPageBreak/>
        <w:t>INFORMATĪVAJĀ ZIŅOJUMĀ LIETOTIE SAĪSINĀJUMI</w:t>
      </w:r>
    </w:p>
    <w:tbl>
      <w:tblPr>
        <w:tblW w:w="9214" w:type="dxa"/>
        <w:tblLook w:val="04A0" w:firstRow="1" w:lastRow="0" w:firstColumn="1" w:lastColumn="0" w:noHBand="0" w:noVBand="1"/>
      </w:tblPr>
      <w:tblGrid>
        <w:gridCol w:w="1560"/>
        <w:gridCol w:w="7654"/>
      </w:tblGrid>
      <w:tr w:rsidR="00354828" w:rsidRPr="00354828" w14:paraId="7D249194" w14:textId="77777777" w:rsidTr="00C472A7">
        <w:trPr>
          <w:trHeight w:val="269"/>
        </w:trPr>
        <w:tc>
          <w:tcPr>
            <w:tcW w:w="1560" w:type="dxa"/>
            <w:shd w:val="clear" w:color="auto" w:fill="auto"/>
          </w:tcPr>
          <w:p w14:paraId="2A0B7C33" w14:textId="77777777" w:rsidR="00354828" w:rsidRPr="00354828" w:rsidRDefault="00354828" w:rsidP="00354828">
            <w:pPr>
              <w:tabs>
                <w:tab w:val="left" w:pos="1494"/>
              </w:tabs>
              <w:spacing w:after="0" w:line="240" w:lineRule="auto"/>
              <w:jc w:val="both"/>
            </w:pPr>
            <w:r w:rsidRPr="00354828">
              <w:t>AiM</w:t>
            </w:r>
          </w:p>
        </w:tc>
        <w:tc>
          <w:tcPr>
            <w:tcW w:w="7654" w:type="dxa"/>
            <w:shd w:val="clear" w:color="auto" w:fill="auto"/>
          </w:tcPr>
          <w:p w14:paraId="15A885E0" w14:textId="77777777" w:rsidR="00354828" w:rsidRPr="00354828" w:rsidRDefault="00354828" w:rsidP="00354828">
            <w:pPr>
              <w:tabs>
                <w:tab w:val="left" w:pos="1494"/>
              </w:tabs>
              <w:spacing w:after="0" w:line="240" w:lineRule="auto"/>
              <w:jc w:val="both"/>
            </w:pPr>
            <w:r w:rsidRPr="00354828">
              <w:t>Aizsardzības ministrija</w:t>
            </w:r>
          </w:p>
        </w:tc>
      </w:tr>
      <w:tr w:rsidR="00354828" w:rsidRPr="00354828" w14:paraId="5612CB1C" w14:textId="77777777" w:rsidTr="00C472A7">
        <w:trPr>
          <w:trHeight w:val="269"/>
        </w:trPr>
        <w:tc>
          <w:tcPr>
            <w:tcW w:w="1560" w:type="dxa"/>
            <w:shd w:val="clear" w:color="auto" w:fill="auto"/>
          </w:tcPr>
          <w:p w14:paraId="1036B168" w14:textId="77777777" w:rsidR="00354828" w:rsidRPr="00354828" w:rsidRDefault="00354828" w:rsidP="00354828">
            <w:pPr>
              <w:tabs>
                <w:tab w:val="left" w:pos="1494"/>
              </w:tabs>
              <w:spacing w:after="0" w:line="240" w:lineRule="auto"/>
              <w:jc w:val="both"/>
            </w:pPr>
            <w:r w:rsidRPr="00354828">
              <w:t>ĀM</w:t>
            </w:r>
          </w:p>
          <w:p w14:paraId="1D409C41" w14:textId="77777777" w:rsidR="00354828" w:rsidRPr="00354828" w:rsidRDefault="00882790" w:rsidP="00354828">
            <w:pPr>
              <w:tabs>
                <w:tab w:val="left" w:pos="1494"/>
              </w:tabs>
              <w:spacing w:after="0" w:line="240" w:lineRule="auto"/>
              <w:jc w:val="both"/>
            </w:pPr>
            <w:r>
              <w:t>B</w:t>
            </w:r>
            <w:r w:rsidR="00354828" w:rsidRPr="00354828">
              <w:t>A</w:t>
            </w:r>
          </w:p>
        </w:tc>
        <w:tc>
          <w:tcPr>
            <w:tcW w:w="7654" w:type="dxa"/>
            <w:shd w:val="clear" w:color="auto" w:fill="auto"/>
          </w:tcPr>
          <w:p w14:paraId="52B7294D" w14:textId="77777777" w:rsidR="00354828" w:rsidRPr="00354828" w:rsidRDefault="00354828" w:rsidP="00354828">
            <w:pPr>
              <w:tabs>
                <w:tab w:val="left" w:pos="1494"/>
              </w:tabs>
              <w:spacing w:after="0" w:line="240" w:lineRule="auto"/>
              <w:jc w:val="both"/>
            </w:pPr>
            <w:r w:rsidRPr="00354828">
              <w:t>Ārlietu ministrija</w:t>
            </w:r>
          </w:p>
          <w:p w14:paraId="57B857F2" w14:textId="77777777" w:rsidR="00354828" w:rsidRPr="00354828" w:rsidRDefault="00882790" w:rsidP="00354828">
            <w:pPr>
              <w:tabs>
                <w:tab w:val="left" w:pos="1494"/>
              </w:tabs>
              <w:spacing w:after="0" w:line="240" w:lineRule="auto"/>
              <w:jc w:val="both"/>
            </w:pPr>
            <w:r>
              <w:t>Banku Augstskola</w:t>
            </w:r>
          </w:p>
        </w:tc>
      </w:tr>
      <w:tr w:rsidR="00C472A7" w:rsidRPr="00354828" w14:paraId="1FFD610D" w14:textId="77777777" w:rsidTr="00C472A7">
        <w:trPr>
          <w:trHeight w:val="269"/>
        </w:trPr>
        <w:tc>
          <w:tcPr>
            <w:tcW w:w="1560" w:type="dxa"/>
            <w:shd w:val="clear" w:color="auto" w:fill="auto"/>
          </w:tcPr>
          <w:p w14:paraId="2A06D61A" w14:textId="77777777" w:rsidR="00C472A7" w:rsidRPr="00354828" w:rsidRDefault="00C472A7" w:rsidP="00354828">
            <w:pPr>
              <w:tabs>
                <w:tab w:val="left" w:pos="1494"/>
              </w:tabs>
              <w:spacing w:after="0" w:line="240" w:lineRule="auto"/>
              <w:jc w:val="both"/>
            </w:pPr>
            <w:r>
              <w:t>BA UK</w:t>
            </w:r>
          </w:p>
        </w:tc>
        <w:tc>
          <w:tcPr>
            <w:tcW w:w="7654" w:type="dxa"/>
            <w:shd w:val="clear" w:color="auto" w:fill="auto"/>
          </w:tcPr>
          <w:p w14:paraId="6350709F" w14:textId="77777777" w:rsidR="00C472A7" w:rsidRPr="00354828" w:rsidRDefault="00C472A7" w:rsidP="00354828">
            <w:pPr>
              <w:tabs>
                <w:tab w:val="left" w:pos="1494"/>
              </w:tabs>
              <w:spacing w:after="0" w:line="240" w:lineRule="auto"/>
              <w:jc w:val="both"/>
            </w:pPr>
            <w:r>
              <w:t>Banku Augstskolas Uzņēmējdarbības koledža</w:t>
            </w:r>
          </w:p>
        </w:tc>
      </w:tr>
      <w:tr w:rsidR="00882790" w:rsidRPr="00354828" w14:paraId="5CE4C8EF" w14:textId="77777777" w:rsidTr="00C472A7">
        <w:trPr>
          <w:trHeight w:val="269"/>
        </w:trPr>
        <w:tc>
          <w:tcPr>
            <w:tcW w:w="1560" w:type="dxa"/>
            <w:shd w:val="clear" w:color="auto" w:fill="auto"/>
          </w:tcPr>
          <w:p w14:paraId="5680E8AB" w14:textId="77777777" w:rsidR="00882790" w:rsidRPr="00354828" w:rsidRDefault="00882790" w:rsidP="00354828">
            <w:pPr>
              <w:tabs>
                <w:tab w:val="left" w:pos="1494"/>
              </w:tabs>
              <w:spacing w:after="0" w:line="240" w:lineRule="auto"/>
              <w:jc w:val="both"/>
            </w:pPr>
            <w:r w:rsidRPr="00354828">
              <w:t>CFLA</w:t>
            </w:r>
          </w:p>
        </w:tc>
        <w:tc>
          <w:tcPr>
            <w:tcW w:w="7654" w:type="dxa"/>
            <w:shd w:val="clear" w:color="auto" w:fill="auto"/>
          </w:tcPr>
          <w:p w14:paraId="2A6AC3C3" w14:textId="77777777" w:rsidR="00882790" w:rsidRPr="00354828" w:rsidRDefault="00882790" w:rsidP="00354828">
            <w:pPr>
              <w:tabs>
                <w:tab w:val="left" w:pos="1494"/>
              </w:tabs>
              <w:spacing w:after="0" w:line="240" w:lineRule="auto"/>
              <w:jc w:val="both"/>
            </w:pPr>
            <w:r w:rsidRPr="00354828">
              <w:t>Centrālā finanšu un līgumu aģentūra</w:t>
            </w:r>
          </w:p>
        </w:tc>
      </w:tr>
      <w:tr w:rsidR="002F4546" w:rsidRPr="00354828" w14:paraId="1E5AD364" w14:textId="77777777" w:rsidTr="00C472A7">
        <w:trPr>
          <w:trHeight w:val="269"/>
        </w:trPr>
        <w:tc>
          <w:tcPr>
            <w:tcW w:w="1560" w:type="dxa"/>
            <w:shd w:val="clear" w:color="auto" w:fill="auto"/>
          </w:tcPr>
          <w:p w14:paraId="4FFD6266" w14:textId="77777777" w:rsidR="002F4546" w:rsidRPr="00354828" w:rsidRDefault="002F4546" w:rsidP="00354828">
            <w:pPr>
              <w:tabs>
                <w:tab w:val="left" w:pos="1494"/>
              </w:tabs>
              <w:spacing w:after="0" w:line="240" w:lineRule="auto"/>
              <w:jc w:val="both"/>
            </w:pPr>
            <w:r>
              <w:t>CMEK</w:t>
            </w:r>
          </w:p>
        </w:tc>
        <w:tc>
          <w:tcPr>
            <w:tcW w:w="7654" w:type="dxa"/>
            <w:shd w:val="clear" w:color="auto" w:fill="auto"/>
          </w:tcPr>
          <w:p w14:paraId="46B4BA45" w14:textId="77777777" w:rsidR="002F4546" w:rsidRPr="00354828" w:rsidRDefault="002F4546" w:rsidP="00354828">
            <w:pPr>
              <w:tabs>
                <w:tab w:val="left" w:pos="1494"/>
              </w:tabs>
              <w:spacing w:after="0" w:line="240" w:lineRule="auto"/>
              <w:jc w:val="both"/>
            </w:pPr>
            <w:r w:rsidRPr="002F4546">
              <w:t>Centrālā medicīniskās ekspertīzes komisija</w:t>
            </w:r>
          </w:p>
        </w:tc>
      </w:tr>
      <w:tr w:rsidR="0063174D" w:rsidRPr="00354828" w14:paraId="310536BE" w14:textId="77777777" w:rsidTr="00C472A7">
        <w:trPr>
          <w:trHeight w:val="269"/>
        </w:trPr>
        <w:tc>
          <w:tcPr>
            <w:tcW w:w="1560" w:type="dxa"/>
            <w:shd w:val="clear" w:color="auto" w:fill="auto"/>
          </w:tcPr>
          <w:p w14:paraId="1D6C7381" w14:textId="77777777" w:rsidR="0063174D" w:rsidRDefault="0063174D" w:rsidP="00354828">
            <w:pPr>
              <w:tabs>
                <w:tab w:val="left" w:pos="1494"/>
              </w:tabs>
              <w:spacing w:after="0" w:line="240" w:lineRule="auto"/>
              <w:jc w:val="both"/>
            </w:pPr>
            <w:r>
              <w:t>CSDD</w:t>
            </w:r>
          </w:p>
        </w:tc>
        <w:tc>
          <w:tcPr>
            <w:tcW w:w="7654" w:type="dxa"/>
            <w:shd w:val="clear" w:color="auto" w:fill="auto"/>
          </w:tcPr>
          <w:p w14:paraId="6497DCF9" w14:textId="77777777" w:rsidR="0063174D" w:rsidRPr="002F4546" w:rsidRDefault="0063174D" w:rsidP="00354828">
            <w:pPr>
              <w:tabs>
                <w:tab w:val="left" w:pos="1494"/>
              </w:tabs>
              <w:spacing w:after="0" w:line="240" w:lineRule="auto"/>
              <w:jc w:val="both"/>
            </w:pPr>
            <w:r>
              <w:t>Ceļu satiksmes drošības direkcija</w:t>
            </w:r>
          </w:p>
        </w:tc>
      </w:tr>
      <w:tr w:rsidR="00371B3E" w:rsidRPr="00354828" w14:paraId="4969B2E2" w14:textId="77777777" w:rsidTr="00C472A7">
        <w:trPr>
          <w:trHeight w:val="269"/>
        </w:trPr>
        <w:tc>
          <w:tcPr>
            <w:tcW w:w="1560" w:type="dxa"/>
            <w:shd w:val="clear" w:color="auto" w:fill="auto"/>
          </w:tcPr>
          <w:p w14:paraId="3011DB49" w14:textId="349E5A64" w:rsidR="00371B3E" w:rsidRPr="00354828" w:rsidRDefault="00371B3E" w:rsidP="00354828">
            <w:pPr>
              <w:tabs>
                <w:tab w:val="left" w:pos="1494"/>
              </w:tabs>
              <w:spacing w:after="0" w:line="240" w:lineRule="auto"/>
              <w:jc w:val="both"/>
              <w:rPr>
                <w:lang w:eastAsia="lv-LV"/>
              </w:rPr>
            </w:pPr>
            <w:r w:rsidRPr="00354828">
              <w:t>CZK</w:t>
            </w:r>
          </w:p>
        </w:tc>
        <w:tc>
          <w:tcPr>
            <w:tcW w:w="7654" w:type="dxa"/>
            <w:shd w:val="clear" w:color="auto" w:fill="auto"/>
          </w:tcPr>
          <w:p w14:paraId="38164534" w14:textId="760AFC29" w:rsidR="00371B3E" w:rsidRPr="00354828" w:rsidRDefault="00371B3E" w:rsidP="00354828">
            <w:pPr>
              <w:tabs>
                <w:tab w:val="left" w:pos="1494"/>
              </w:tabs>
              <w:spacing w:after="0" w:line="240" w:lineRule="auto"/>
              <w:jc w:val="both"/>
              <w:rPr>
                <w:lang w:eastAsia="lv-LV"/>
              </w:rPr>
            </w:pPr>
            <w:r w:rsidRPr="00354828">
              <w:t>Centrālā zemes komisija</w:t>
            </w:r>
          </w:p>
        </w:tc>
      </w:tr>
      <w:tr w:rsidR="00371B3E" w:rsidRPr="00354828" w14:paraId="6B04F89F" w14:textId="77777777" w:rsidTr="00C472A7">
        <w:trPr>
          <w:trHeight w:val="284"/>
        </w:trPr>
        <w:tc>
          <w:tcPr>
            <w:tcW w:w="1560" w:type="dxa"/>
            <w:shd w:val="clear" w:color="auto" w:fill="auto"/>
          </w:tcPr>
          <w:p w14:paraId="77005D84" w14:textId="13D92451" w:rsidR="00371B3E" w:rsidRPr="00354828" w:rsidRDefault="00371B3E" w:rsidP="00354828">
            <w:pPr>
              <w:tabs>
                <w:tab w:val="left" w:pos="1494"/>
              </w:tabs>
              <w:spacing w:after="0" w:line="240" w:lineRule="auto"/>
              <w:jc w:val="both"/>
            </w:pPr>
            <w:r>
              <w:t>DU</w:t>
            </w:r>
          </w:p>
        </w:tc>
        <w:tc>
          <w:tcPr>
            <w:tcW w:w="7654" w:type="dxa"/>
            <w:shd w:val="clear" w:color="auto" w:fill="auto"/>
          </w:tcPr>
          <w:p w14:paraId="641093DA" w14:textId="658300A5" w:rsidR="00371B3E" w:rsidRPr="00354828" w:rsidRDefault="00371B3E" w:rsidP="00354828">
            <w:pPr>
              <w:tabs>
                <w:tab w:val="left" w:pos="1494"/>
              </w:tabs>
              <w:spacing w:after="0" w:line="240" w:lineRule="auto"/>
              <w:jc w:val="both"/>
            </w:pPr>
            <w:r>
              <w:t>Daugavpils Universitāte</w:t>
            </w:r>
          </w:p>
        </w:tc>
      </w:tr>
      <w:tr w:rsidR="00371B3E" w:rsidRPr="00354828" w14:paraId="67324194" w14:textId="77777777" w:rsidTr="00C472A7">
        <w:trPr>
          <w:trHeight w:val="284"/>
        </w:trPr>
        <w:tc>
          <w:tcPr>
            <w:tcW w:w="1560" w:type="dxa"/>
            <w:shd w:val="clear" w:color="auto" w:fill="auto"/>
          </w:tcPr>
          <w:p w14:paraId="38C2D137" w14:textId="7BC254AC" w:rsidR="00371B3E" w:rsidRPr="00354828" w:rsidRDefault="00371B3E" w:rsidP="00354828">
            <w:pPr>
              <w:tabs>
                <w:tab w:val="left" w:pos="1494"/>
              </w:tabs>
              <w:spacing w:after="0" w:line="240" w:lineRule="auto"/>
              <w:jc w:val="both"/>
            </w:pPr>
            <w:r>
              <w:t>DU DMK</w:t>
            </w:r>
          </w:p>
        </w:tc>
        <w:tc>
          <w:tcPr>
            <w:tcW w:w="7654" w:type="dxa"/>
            <w:shd w:val="clear" w:color="auto" w:fill="auto"/>
          </w:tcPr>
          <w:p w14:paraId="24E102B9" w14:textId="06FA2D8E" w:rsidR="00371B3E" w:rsidRPr="00354828" w:rsidRDefault="00371B3E" w:rsidP="00354828">
            <w:pPr>
              <w:tabs>
                <w:tab w:val="left" w:pos="1494"/>
              </w:tabs>
              <w:spacing w:after="0" w:line="240" w:lineRule="auto"/>
              <w:jc w:val="both"/>
            </w:pPr>
            <w:r>
              <w:t>Daugavpils Universitātes Daugavpils medicīnas koledža</w:t>
            </w:r>
          </w:p>
        </w:tc>
      </w:tr>
      <w:tr w:rsidR="00122B02" w:rsidRPr="00354828" w14:paraId="25B93418" w14:textId="77777777" w:rsidTr="00C472A7">
        <w:trPr>
          <w:trHeight w:val="284"/>
        </w:trPr>
        <w:tc>
          <w:tcPr>
            <w:tcW w:w="1560" w:type="dxa"/>
            <w:shd w:val="clear" w:color="auto" w:fill="auto"/>
          </w:tcPr>
          <w:p w14:paraId="4C2432C8" w14:textId="6C427D33" w:rsidR="00122B02" w:rsidRDefault="00122B02" w:rsidP="00354828">
            <w:pPr>
              <w:tabs>
                <w:tab w:val="left" w:pos="1494"/>
              </w:tabs>
              <w:spacing w:after="0" w:line="240" w:lineRule="auto"/>
              <w:jc w:val="both"/>
            </w:pPr>
            <w:r>
              <w:t>EKK</w:t>
            </w:r>
          </w:p>
        </w:tc>
        <w:tc>
          <w:tcPr>
            <w:tcW w:w="7654" w:type="dxa"/>
            <w:shd w:val="clear" w:color="auto" w:fill="auto"/>
          </w:tcPr>
          <w:p w14:paraId="23BD06C3" w14:textId="57C5CF35" w:rsidR="00122B02" w:rsidRDefault="00122B02" w:rsidP="00354828">
            <w:pPr>
              <w:tabs>
                <w:tab w:val="left" w:pos="1494"/>
              </w:tabs>
              <w:spacing w:after="0" w:line="240" w:lineRule="auto"/>
              <w:jc w:val="both"/>
            </w:pPr>
            <w:r>
              <w:t>Ekonomiskās klasifikācijas kodi</w:t>
            </w:r>
          </w:p>
        </w:tc>
      </w:tr>
      <w:tr w:rsidR="00371B3E" w:rsidRPr="00354828" w14:paraId="3EA22DD0" w14:textId="77777777" w:rsidTr="00C472A7">
        <w:trPr>
          <w:trHeight w:val="284"/>
        </w:trPr>
        <w:tc>
          <w:tcPr>
            <w:tcW w:w="1560" w:type="dxa"/>
            <w:shd w:val="clear" w:color="auto" w:fill="auto"/>
          </w:tcPr>
          <w:p w14:paraId="0E0ACAD2" w14:textId="4052F260" w:rsidR="00371B3E" w:rsidRDefault="00371B3E" w:rsidP="00354828">
            <w:pPr>
              <w:tabs>
                <w:tab w:val="left" w:pos="1494"/>
              </w:tabs>
              <w:spacing w:after="0" w:line="240" w:lineRule="auto"/>
              <w:jc w:val="both"/>
            </w:pPr>
            <w:r w:rsidRPr="00586F8A">
              <w:t>EKS</w:t>
            </w:r>
          </w:p>
        </w:tc>
        <w:tc>
          <w:tcPr>
            <w:tcW w:w="7654" w:type="dxa"/>
            <w:shd w:val="clear" w:color="auto" w:fill="auto"/>
          </w:tcPr>
          <w:p w14:paraId="4F139E06" w14:textId="4AC1EC06" w:rsidR="00371B3E" w:rsidRDefault="00371B3E" w:rsidP="00354828">
            <w:pPr>
              <w:tabs>
                <w:tab w:val="left" w:pos="1494"/>
              </w:tabs>
              <w:spacing w:after="0" w:line="240" w:lineRule="auto"/>
              <w:jc w:val="both"/>
            </w:pPr>
            <w:r>
              <w:t>Eiropas Kontu sistēma</w:t>
            </w:r>
          </w:p>
        </w:tc>
      </w:tr>
      <w:tr w:rsidR="00371B3E" w:rsidRPr="00354828" w14:paraId="262B76DD" w14:textId="77777777" w:rsidTr="00C472A7">
        <w:trPr>
          <w:trHeight w:val="284"/>
        </w:trPr>
        <w:tc>
          <w:tcPr>
            <w:tcW w:w="1560" w:type="dxa"/>
            <w:shd w:val="clear" w:color="auto" w:fill="auto"/>
          </w:tcPr>
          <w:p w14:paraId="6EC45209" w14:textId="6A5B4560" w:rsidR="00371B3E" w:rsidRPr="00354828" w:rsidRDefault="00371B3E" w:rsidP="00354828">
            <w:pPr>
              <w:tabs>
                <w:tab w:val="left" w:pos="1494"/>
              </w:tabs>
              <w:spacing w:after="0" w:line="240" w:lineRule="auto"/>
              <w:jc w:val="both"/>
            </w:pPr>
            <w:r w:rsidRPr="00354828">
              <w:t>ES</w:t>
            </w:r>
          </w:p>
        </w:tc>
        <w:tc>
          <w:tcPr>
            <w:tcW w:w="7654" w:type="dxa"/>
            <w:shd w:val="clear" w:color="auto" w:fill="auto"/>
          </w:tcPr>
          <w:p w14:paraId="7C8C1C6D" w14:textId="60AB7354" w:rsidR="00371B3E" w:rsidRPr="00354828" w:rsidRDefault="00371B3E" w:rsidP="00354828">
            <w:pPr>
              <w:tabs>
                <w:tab w:val="left" w:pos="1494"/>
              </w:tabs>
              <w:spacing w:after="0" w:line="240" w:lineRule="auto"/>
              <w:jc w:val="both"/>
            </w:pPr>
            <w:r w:rsidRPr="00354828">
              <w:t>Eiropas Savienība</w:t>
            </w:r>
          </w:p>
        </w:tc>
      </w:tr>
      <w:tr w:rsidR="00371B3E" w:rsidRPr="00354828" w14:paraId="372698E4" w14:textId="77777777" w:rsidTr="00C472A7">
        <w:trPr>
          <w:trHeight w:val="269"/>
        </w:trPr>
        <w:tc>
          <w:tcPr>
            <w:tcW w:w="1560" w:type="dxa"/>
            <w:shd w:val="clear" w:color="auto" w:fill="auto"/>
          </w:tcPr>
          <w:p w14:paraId="6C7BBA19" w14:textId="02D28058" w:rsidR="00371B3E" w:rsidRPr="00354828" w:rsidRDefault="00371B3E" w:rsidP="00354828">
            <w:pPr>
              <w:tabs>
                <w:tab w:val="left" w:pos="1494"/>
              </w:tabs>
              <w:spacing w:after="0" w:line="240" w:lineRule="auto"/>
              <w:jc w:val="both"/>
            </w:pPr>
            <w:r>
              <w:t xml:space="preserve">EST </w:t>
            </w:r>
          </w:p>
        </w:tc>
        <w:tc>
          <w:tcPr>
            <w:tcW w:w="7654" w:type="dxa"/>
            <w:shd w:val="clear" w:color="auto" w:fill="auto"/>
          </w:tcPr>
          <w:p w14:paraId="619F4BAA" w14:textId="6C2BB082" w:rsidR="00371B3E" w:rsidRPr="00354828" w:rsidRDefault="00371B3E" w:rsidP="00354828">
            <w:pPr>
              <w:tabs>
                <w:tab w:val="left" w:pos="1494"/>
              </w:tabs>
              <w:spacing w:after="0" w:line="240" w:lineRule="auto"/>
              <w:jc w:val="both"/>
            </w:pPr>
            <w:r>
              <w:t>Igaunija</w:t>
            </w:r>
          </w:p>
        </w:tc>
      </w:tr>
      <w:tr w:rsidR="00371B3E" w:rsidRPr="00354828" w14:paraId="18A7D489" w14:textId="77777777" w:rsidTr="00C472A7">
        <w:trPr>
          <w:trHeight w:val="269"/>
        </w:trPr>
        <w:tc>
          <w:tcPr>
            <w:tcW w:w="1560" w:type="dxa"/>
            <w:shd w:val="clear" w:color="auto" w:fill="auto"/>
          </w:tcPr>
          <w:p w14:paraId="2950D86F" w14:textId="436F9A7D" w:rsidR="00371B3E" w:rsidRPr="00354828" w:rsidRDefault="00371B3E" w:rsidP="00354828">
            <w:pPr>
              <w:tabs>
                <w:tab w:val="left" w:pos="1494"/>
              </w:tabs>
              <w:spacing w:after="0" w:line="240" w:lineRule="auto"/>
              <w:jc w:val="both"/>
            </w:pPr>
            <w:r>
              <w:t>FEA</w:t>
            </w:r>
          </w:p>
        </w:tc>
        <w:tc>
          <w:tcPr>
            <w:tcW w:w="7654" w:type="dxa"/>
            <w:shd w:val="clear" w:color="auto" w:fill="auto"/>
          </w:tcPr>
          <w:p w14:paraId="1D8BD645" w14:textId="6421C6DC" w:rsidR="00371B3E" w:rsidRPr="00354828" w:rsidRDefault="00371B3E" w:rsidP="00354828">
            <w:pPr>
              <w:tabs>
                <w:tab w:val="left" w:pos="1494"/>
              </w:tabs>
              <w:spacing w:after="0" w:line="240" w:lineRule="auto"/>
              <w:jc w:val="both"/>
            </w:pPr>
            <w:r>
              <w:t>Finanšu un ekonomiskais aprēķins</w:t>
            </w:r>
          </w:p>
        </w:tc>
      </w:tr>
      <w:tr w:rsidR="00371B3E" w:rsidRPr="00354828" w14:paraId="219AF19F" w14:textId="77777777" w:rsidTr="00C472A7">
        <w:trPr>
          <w:trHeight w:val="269"/>
        </w:trPr>
        <w:tc>
          <w:tcPr>
            <w:tcW w:w="1560" w:type="dxa"/>
            <w:shd w:val="clear" w:color="auto" w:fill="auto"/>
          </w:tcPr>
          <w:p w14:paraId="5EC43E64" w14:textId="10538455" w:rsidR="00371B3E" w:rsidRPr="00354828" w:rsidRDefault="00371B3E" w:rsidP="00354828">
            <w:pPr>
              <w:tabs>
                <w:tab w:val="left" w:pos="1494"/>
              </w:tabs>
              <w:spacing w:after="0" w:line="240" w:lineRule="auto"/>
              <w:jc w:val="both"/>
            </w:pPr>
            <w:r>
              <w:t>FM</w:t>
            </w:r>
          </w:p>
        </w:tc>
        <w:tc>
          <w:tcPr>
            <w:tcW w:w="7654" w:type="dxa"/>
            <w:shd w:val="clear" w:color="auto" w:fill="auto"/>
          </w:tcPr>
          <w:p w14:paraId="299A5AD2" w14:textId="321570AD" w:rsidR="00371B3E" w:rsidRPr="00354828" w:rsidRDefault="00371B3E" w:rsidP="00354828">
            <w:pPr>
              <w:tabs>
                <w:tab w:val="left" w:pos="1494"/>
              </w:tabs>
              <w:spacing w:after="0" w:line="240" w:lineRule="auto"/>
              <w:jc w:val="both"/>
            </w:pPr>
            <w:r w:rsidRPr="00354828">
              <w:t>Finanšu ministrija</w:t>
            </w:r>
          </w:p>
        </w:tc>
      </w:tr>
      <w:tr w:rsidR="00371B3E" w:rsidRPr="00354828" w14:paraId="5DFFB629" w14:textId="77777777" w:rsidTr="00C472A7">
        <w:trPr>
          <w:trHeight w:val="269"/>
        </w:trPr>
        <w:tc>
          <w:tcPr>
            <w:tcW w:w="1560" w:type="dxa"/>
            <w:shd w:val="clear" w:color="auto" w:fill="auto"/>
          </w:tcPr>
          <w:p w14:paraId="5034379A" w14:textId="70318F17" w:rsidR="00371B3E" w:rsidRDefault="00371B3E" w:rsidP="00354828">
            <w:pPr>
              <w:tabs>
                <w:tab w:val="left" w:pos="1494"/>
              </w:tabs>
              <w:spacing w:after="0" w:line="240" w:lineRule="auto"/>
              <w:jc w:val="both"/>
            </w:pPr>
            <w:r>
              <w:t>IeM</w:t>
            </w:r>
          </w:p>
        </w:tc>
        <w:tc>
          <w:tcPr>
            <w:tcW w:w="7654" w:type="dxa"/>
            <w:shd w:val="clear" w:color="auto" w:fill="auto"/>
          </w:tcPr>
          <w:p w14:paraId="7E45FCC9" w14:textId="3D000DAA" w:rsidR="00371B3E" w:rsidRDefault="00371B3E" w:rsidP="00354828">
            <w:pPr>
              <w:tabs>
                <w:tab w:val="left" w:pos="1494"/>
              </w:tabs>
              <w:spacing w:after="0" w:line="240" w:lineRule="auto"/>
              <w:jc w:val="both"/>
            </w:pPr>
            <w:r>
              <w:rPr>
                <w:rFonts w:cs="Times New Roman"/>
              </w:rPr>
              <w:t>Iekšlietu ministrija</w:t>
            </w:r>
          </w:p>
        </w:tc>
      </w:tr>
      <w:tr w:rsidR="00371B3E" w:rsidRPr="00354828" w14:paraId="05B74336" w14:textId="77777777" w:rsidTr="00C472A7">
        <w:trPr>
          <w:trHeight w:val="269"/>
        </w:trPr>
        <w:tc>
          <w:tcPr>
            <w:tcW w:w="1560" w:type="dxa"/>
            <w:shd w:val="clear" w:color="auto" w:fill="auto"/>
          </w:tcPr>
          <w:p w14:paraId="35FC2893" w14:textId="4B5B2BDD" w:rsidR="00371B3E" w:rsidRPr="00354828" w:rsidRDefault="00371B3E" w:rsidP="00354828">
            <w:pPr>
              <w:tabs>
                <w:tab w:val="left" w:pos="1494"/>
              </w:tabs>
              <w:spacing w:after="0" w:line="240" w:lineRule="auto"/>
              <w:jc w:val="both"/>
            </w:pPr>
            <w:r>
              <w:t>IeVP</w:t>
            </w:r>
          </w:p>
        </w:tc>
        <w:tc>
          <w:tcPr>
            <w:tcW w:w="7654" w:type="dxa"/>
            <w:shd w:val="clear" w:color="auto" w:fill="auto"/>
          </w:tcPr>
          <w:p w14:paraId="25AD558A" w14:textId="5D164AB7" w:rsidR="00371B3E" w:rsidRPr="00241959" w:rsidRDefault="00371B3E" w:rsidP="00354828">
            <w:pPr>
              <w:tabs>
                <w:tab w:val="left" w:pos="1494"/>
              </w:tabs>
              <w:spacing w:after="0" w:line="240" w:lineRule="auto"/>
              <w:jc w:val="both"/>
              <w:rPr>
                <w:rFonts w:cs="Times New Roman"/>
              </w:rPr>
            </w:pPr>
            <w:r>
              <w:rPr>
                <w:rFonts w:cs="Times New Roman"/>
              </w:rPr>
              <w:t>Ieslodzījuma vietu pārvalde</w:t>
            </w:r>
          </w:p>
        </w:tc>
      </w:tr>
      <w:tr w:rsidR="00371B3E" w:rsidRPr="00354828" w14:paraId="6FC1EA44" w14:textId="77777777" w:rsidTr="00C472A7">
        <w:trPr>
          <w:trHeight w:val="269"/>
        </w:trPr>
        <w:tc>
          <w:tcPr>
            <w:tcW w:w="1560" w:type="dxa"/>
            <w:shd w:val="clear" w:color="auto" w:fill="auto"/>
          </w:tcPr>
          <w:p w14:paraId="629A2B4F" w14:textId="38541484" w:rsidR="00371B3E" w:rsidRDefault="00371B3E" w:rsidP="00354828">
            <w:pPr>
              <w:tabs>
                <w:tab w:val="left" w:pos="1494"/>
              </w:tabs>
              <w:spacing w:after="0" w:line="240" w:lineRule="auto"/>
              <w:jc w:val="both"/>
            </w:pPr>
            <w:r w:rsidRPr="00354828">
              <w:t>IKT</w:t>
            </w:r>
          </w:p>
        </w:tc>
        <w:tc>
          <w:tcPr>
            <w:tcW w:w="7654" w:type="dxa"/>
            <w:shd w:val="clear" w:color="auto" w:fill="auto"/>
          </w:tcPr>
          <w:p w14:paraId="4F7C547C" w14:textId="06AACECF" w:rsidR="00371B3E" w:rsidRDefault="00371B3E" w:rsidP="00354828">
            <w:pPr>
              <w:tabs>
                <w:tab w:val="left" w:pos="1494"/>
              </w:tabs>
              <w:spacing w:after="0" w:line="240" w:lineRule="auto"/>
              <w:jc w:val="both"/>
              <w:rPr>
                <w:rFonts w:cs="Times New Roman"/>
              </w:rPr>
            </w:pPr>
            <w:r w:rsidRPr="00354828">
              <w:t>Informācijas un komunikācijas tehnoloģijas</w:t>
            </w:r>
          </w:p>
        </w:tc>
      </w:tr>
      <w:tr w:rsidR="00371B3E" w:rsidRPr="00354828" w14:paraId="648C2AA9" w14:textId="77777777" w:rsidTr="00C472A7">
        <w:trPr>
          <w:trHeight w:val="269"/>
        </w:trPr>
        <w:tc>
          <w:tcPr>
            <w:tcW w:w="1560" w:type="dxa"/>
            <w:shd w:val="clear" w:color="auto" w:fill="auto"/>
          </w:tcPr>
          <w:p w14:paraId="7D452F01" w14:textId="01535FF6" w:rsidR="00371B3E" w:rsidRPr="00354828" w:rsidRDefault="00371B3E" w:rsidP="00354828">
            <w:pPr>
              <w:tabs>
                <w:tab w:val="left" w:pos="1494"/>
              </w:tabs>
              <w:spacing w:after="0" w:line="240" w:lineRule="auto"/>
              <w:jc w:val="both"/>
            </w:pPr>
            <w:r w:rsidRPr="00354828">
              <w:rPr>
                <w:rFonts w:cs="Times New Roman"/>
              </w:rPr>
              <w:t>IUB</w:t>
            </w:r>
          </w:p>
        </w:tc>
        <w:tc>
          <w:tcPr>
            <w:tcW w:w="7654" w:type="dxa"/>
            <w:shd w:val="clear" w:color="auto" w:fill="auto"/>
          </w:tcPr>
          <w:p w14:paraId="622946C0" w14:textId="4F9FFD38" w:rsidR="00371B3E" w:rsidRPr="00354828" w:rsidRDefault="00371B3E" w:rsidP="00354828">
            <w:pPr>
              <w:tabs>
                <w:tab w:val="left" w:pos="1494"/>
              </w:tabs>
              <w:spacing w:after="0" w:line="240" w:lineRule="auto"/>
              <w:jc w:val="both"/>
            </w:pPr>
            <w:r w:rsidRPr="00354828">
              <w:rPr>
                <w:rFonts w:cs="Times New Roman"/>
              </w:rPr>
              <w:t>Iepirkumu uzraudzības birojs</w:t>
            </w:r>
          </w:p>
        </w:tc>
      </w:tr>
      <w:tr w:rsidR="00371B3E" w:rsidRPr="00354828" w14:paraId="7EA6064B" w14:textId="77777777" w:rsidTr="00C472A7">
        <w:trPr>
          <w:trHeight w:val="153"/>
        </w:trPr>
        <w:tc>
          <w:tcPr>
            <w:tcW w:w="1560" w:type="dxa"/>
            <w:shd w:val="clear" w:color="auto" w:fill="auto"/>
          </w:tcPr>
          <w:p w14:paraId="704D7959" w14:textId="005A313F" w:rsidR="00371B3E" w:rsidRPr="00354828" w:rsidRDefault="00371B3E" w:rsidP="00354828">
            <w:pPr>
              <w:tabs>
                <w:tab w:val="left" w:pos="1494"/>
              </w:tabs>
              <w:spacing w:after="0" w:line="240" w:lineRule="auto"/>
              <w:jc w:val="both"/>
            </w:pPr>
            <w:r w:rsidRPr="00354828">
              <w:t>IZM</w:t>
            </w:r>
          </w:p>
        </w:tc>
        <w:tc>
          <w:tcPr>
            <w:tcW w:w="7654" w:type="dxa"/>
            <w:shd w:val="clear" w:color="auto" w:fill="auto"/>
          </w:tcPr>
          <w:p w14:paraId="67353102" w14:textId="29303ACD" w:rsidR="00371B3E" w:rsidRPr="00354828" w:rsidRDefault="00371B3E" w:rsidP="00354828">
            <w:pPr>
              <w:tabs>
                <w:tab w:val="left" w:pos="1494"/>
              </w:tabs>
              <w:spacing w:after="0" w:line="240" w:lineRule="auto"/>
              <w:jc w:val="both"/>
              <w:rPr>
                <w:rFonts w:cs="Times New Roman"/>
              </w:rPr>
            </w:pPr>
            <w:r w:rsidRPr="00354828">
              <w:t>Izglītības un zinātnes ministrija</w:t>
            </w:r>
          </w:p>
        </w:tc>
      </w:tr>
      <w:tr w:rsidR="00371B3E" w:rsidRPr="00354828" w14:paraId="3ABD9820" w14:textId="77777777" w:rsidTr="00C472A7">
        <w:trPr>
          <w:trHeight w:val="269"/>
        </w:trPr>
        <w:tc>
          <w:tcPr>
            <w:tcW w:w="1560" w:type="dxa"/>
            <w:shd w:val="clear" w:color="auto" w:fill="auto"/>
          </w:tcPr>
          <w:p w14:paraId="424C7304" w14:textId="297C2068" w:rsidR="00371B3E" w:rsidRPr="00354828" w:rsidRDefault="00371B3E" w:rsidP="00354828">
            <w:pPr>
              <w:tabs>
                <w:tab w:val="left" w:pos="1494"/>
              </w:tabs>
              <w:spacing w:after="0" w:line="240" w:lineRule="auto"/>
              <w:jc w:val="both"/>
            </w:pPr>
            <w:r>
              <w:t>JAK</w:t>
            </w:r>
          </w:p>
        </w:tc>
        <w:tc>
          <w:tcPr>
            <w:tcW w:w="7654" w:type="dxa"/>
            <w:shd w:val="clear" w:color="auto" w:fill="auto"/>
          </w:tcPr>
          <w:p w14:paraId="09E53F64" w14:textId="435894D0" w:rsidR="00371B3E" w:rsidRPr="00354828" w:rsidRDefault="00371B3E" w:rsidP="00354828">
            <w:pPr>
              <w:tabs>
                <w:tab w:val="left" w:pos="1494"/>
              </w:tabs>
              <w:spacing w:after="0" w:line="240" w:lineRule="auto"/>
              <w:jc w:val="both"/>
            </w:pPr>
            <w:r>
              <w:t>Jēkabpils Agrobiznesa koledža</w:t>
            </w:r>
          </w:p>
        </w:tc>
      </w:tr>
      <w:tr w:rsidR="00371B3E" w:rsidRPr="00354828" w14:paraId="28864806" w14:textId="77777777" w:rsidTr="00C472A7">
        <w:trPr>
          <w:trHeight w:val="119"/>
        </w:trPr>
        <w:tc>
          <w:tcPr>
            <w:tcW w:w="1560" w:type="dxa"/>
            <w:shd w:val="clear" w:color="auto" w:fill="auto"/>
          </w:tcPr>
          <w:p w14:paraId="1681D154" w14:textId="348B8762" w:rsidR="00371B3E" w:rsidRPr="00354828" w:rsidRDefault="00371B3E" w:rsidP="00354828">
            <w:pPr>
              <w:tabs>
                <w:tab w:val="left" w:pos="1494"/>
              </w:tabs>
              <w:spacing w:after="0" w:line="240" w:lineRule="auto"/>
              <w:jc w:val="both"/>
              <w:rPr>
                <w:rFonts w:cs="Times New Roman"/>
              </w:rPr>
            </w:pPr>
            <w:r>
              <w:t>JVLMA</w:t>
            </w:r>
          </w:p>
        </w:tc>
        <w:tc>
          <w:tcPr>
            <w:tcW w:w="7654" w:type="dxa"/>
            <w:shd w:val="clear" w:color="auto" w:fill="auto"/>
          </w:tcPr>
          <w:p w14:paraId="0D4844DB" w14:textId="08088097" w:rsidR="00371B3E" w:rsidRPr="00354828" w:rsidRDefault="00371B3E" w:rsidP="00354828">
            <w:pPr>
              <w:tabs>
                <w:tab w:val="left" w:pos="1494"/>
              </w:tabs>
              <w:spacing w:after="0" w:line="240" w:lineRule="auto"/>
              <w:jc w:val="both"/>
              <w:rPr>
                <w:rFonts w:cs="Times New Roman"/>
              </w:rPr>
            </w:pPr>
            <w:r>
              <w:rPr>
                <w:rFonts w:cs="Times New Roman"/>
              </w:rPr>
              <w:t>Jāzepa Vītola Latvijas Mūzikas akadēmija</w:t>
            </w:r>
          </w:p>
        </w:tc>
      </w:tr>
      <w:tr w:rsidR="00371B3E" w:rsidRPr="00354828" w14:paraId="7F650953" w14:textId="77777777" w:rsidTr="00C472A7">
        <w:trPr>
          <w:trHeight w:val="219"/>
        </w:trPr>
        <w:tc>
          <w:tcPr>
            <w:tcW w:w="1560" w:type="dxa"/>
            <w:shd w:val="clear" w:color="auto" w:fill="auto"/>
          </w:tcPr>
          <w:p w14:paraId="4285C614" w14:textId="47FE704C" w:rsidR="00371B3E" w:rsidRPr="00354828" w:rsidRDefault="00371B3E" w:rsidP="00354828">
            <w:pPr>
              <w:tabs>
                <w:tab w:val="left" w:pos="1494"/>
              </w:tabs>
              <w:spacing w:after="0" w:line="240" w:lineRule="auto"/>
              <w:jc w:val="both"/>
              <w:rPr>
                <w:rFonts w:cs="Times New Roman"/>
              </w:rPr>
            </w:pPr>
            <w:r w:rsidRPr="00354828">
              <w:t>KM</w:t>
            </w:r>
          </w:p>
        </w:tc>
        <w:tc>
          <w:tcPr>
            <w:tcW w:w="7654" w:type="dxa"/>
            <w:shd w:val="clear" w:color="auto" w:fill="auto"/>
          </w:tcPr>
          <w:p w14:paraId="210CB413" w14:textId="79AFBA9F" w:rsidR="00371B3E" w:rsidRPr="00354828" w:rsidRDefault="00371B3E" w:rsidP="00354828">
            <w:pPr>
              <w:tabs>
                <w:tab w:val="left" w:pos="1494"/>
              </w:tabs>
              <w:spacing w:after="0" w:line="240" w:lineRule="auto"/>
              <w:jc w:val="both"/>
              <w:rPr>
                <w:rFonts w:cs="Times New Roman"/>
              </w:rPr>
            </w:pPr>
            <w:r w:rsidRPr="00354828">
              <w:t>Kultūras ministrija</w:t>
            </w:r>
          </w:p>
        </w:tc>
      </w:tr>
      <w:tr w:rsidR="00371B3E" w:rsidRPr="00354828" w14:paraId="252BE8E3" w14:textId="77777777" w:rsidTr="00C472A7">
        <w:trPr>
          <w:trHeight w:val="219"/>
        </w:trPr>
        <w:tc>
          <w:tcPr>
            <w:tcW w:w="1560" w:type="dxa"/>
            <w:shd w:val="clear" w:color="auto" w:fill="auto"/>
          </w:tcPr>
          <w:p w14:paraId="6223BFD8" w14:textId="7AB9D749" w:rsidR="00371B3E" w:rsidRPr="00354828" w:rsidRDefault="00371B3E" w:rsidP="00354828">
            <w:pPr>
              <w:tabs>
                <w:tab w:val="left" w:pos="1494"/>
              </w:tabs>
              <w:spacing w:after="0" w:line="240" w:lineRule="auto"/>
              <w:jc w:val="both"/>
            </w:pPr>
            <w:r>
              <w:t>KNAB</w:t>
            </w:r>
          </w:p>
        </w:tc>
        <w:tc>
          <w:tcPr>
            <w:tcW w:w="7654" w:type="dxa"/>
            <w:shd w:val="clear" w:color="auto" w:fill="auto"/>
          </w:tcPr>
          <w:p w14:paraId="1083A3B4" w14:textId="79E5E0F4" w:rsidR="00371B3E" w:rsidRPr="00354828" w:rsidRDefault="00371B3E" w:rsidP="00354828">
            <w:pPr>
              <w:tabs>
                <w:tab w:val="left" w:pos="1494"/>
              </w:tabs>
              <w:spacing w:after="0" w:line="240" w:lineRule="auto"/>
              <w:jc w:val="both"/>
            </w:pPr>
            <w:r w:rsidRPr="00354828">
              <w:t>Korupcijas n</w:t>
            </w:r>
            <w:r>
              <w:t>ovēršanas un apkarošanas birojs</w:t>
            </w:r>
          </w:p>
        </w:tc>
      </w:tr>
      <w:tr w:rsidR="00371B3E" w:rsidRPr="00354828" w14:paraId="6F011C85" w14:textId="77777777" w:rsidTr="00C472A7">
        <w:trPr>
          <w:trHeight w:val="269"/>
        </w:trPr>
        <w:tc>
          <w:tcPr>
            <w:tcW w:w="1560" w:type="dxa"/>
            <w:shd w:val="clear" w:color="auto" w:fill="auto"/>
          </w:tcPr>
          <w:p w14:paraId="209224A8" w14:textId="60FB9C5A" w:rsidR="00371B3E" w:rsidRPr="00354828" w:rsidRDefault="00371B3E" w:rsidP="00354828">
            <w:pPr>
              <w:tabs>
                <w:tab w:val="left" w:pos="1494"/>
              </w:tabs>
              <w:spacing w:after="0" w:line="240" w:lineRule="auto"/>
              <w:jc w:val="both"/>
            </w:pPr>
            <w:r w:rsidRPr="00354828">
              <w:t>LB</w:t>
            </w:r>
          </w:p>
        </w:tc>
        <w:tc>
          <w:tcPr>
            <w:tcW w:w="7654" w:type="dxa"/>
            <w:shd w:val="clear" w:color="auto" w:fill="auto"/>
          </w:tcPr>
          <w:p w14:paraId="219512DB" w14:textId="2BFE9E9B" w:rsidR="00371B3E" w:rsidRPr="00354828" w:rsidRDefault="00371B3E" w:rsidP="00354828">
            <w:pPr>
              <w:tabs>
                <w:tab w:val="left" w:pos="1494"/>
              </w:tabs>
              <w:spacing w:after="0" w:line="240" w:lineRule="auto"/>
              <w:jc w:val="both"/>
            </w:pPr>
            <w:r w:rsidRPr="00354828">
              <w:t>Latvijas Banka</w:t>
            </w:r>
          </w:p>
        </w:tc>
      </w:tr>
      <w:tr w:rsidR="00371B3E" w:rsidRPr="00354828" w14:paraId="770AB303" w14:textId="77777777" w:rsidTr="00C472A7">
        <w:trPr>
          <w:trHeight w:val="269"/>
        </w:trPr>
        <w:tc>
          <w:tcPr>
            <w:tcW w:w="1560" w:type="dxa"/>
            <w:shd w:val="clear" w:color="auto" w:fill="auto"/>
          </w:tcPr>
          <w:p w14:paraId="18B006AA" w14:textId="35E48173" w:rsidR="00371B3E" w:rsidRPr="00354828" w:rsidRDefault="00371B3E" w:rsidP="00354828">
            <w:pPr>
              <w:tabs>
                <w:tab w:val="left" w:pos="1494"/>
              </w:tabs>
              <w:spacing w:after="0" w:line="240" w:lineRule="auto"/>
              <w:jc w:val="both"/>
            </w:pPr>
            <w:r w:rsidRPr="00354828">
              <w:t>LBFV</w:t>
            </w:r>
          </w:p>
        </w:tc>
        <w:tc>
          <w:tcPr>
            <w:tcW w:w="7654" w:type="dxa"/>
            <w:shd w:val="clear" w:color="auto" w:fill="auto"/>
          </w:tcPr>
          <w:p w14:paraId="33FC7469" w14:textId="2C07C967" w:rsidR="00371B3E" w:rsidRPr="00354828" w:rsidRDefault="00371B3E" w:rsidP="00354828">
            <w:pPr>
              <w:tabs>
                <w:tab w:val="left" w:pos="1494"/>
              </w:tabs>
              <w:spacing w:after="0" w:line="240" w:lineRule="auto"/>
              <w:jc w:val="both"/>
            </w:pPr>
            <w:r w:rsidRPr="00354828">
              <w:t>Likums par budžetu un finanšu vadību</w:t>
            </w:r>
          </w:p>
        </w:tc>
      </w:tr>
      <w:tr w:rsidR="00371B3E" w:rsidRPr="00354828" w14:paraId="72AD7A9C" w14:textId="77777777" w:rsidTr="00C472A7">
        <w:trPr>
          <w:trHeight w:val="269"/>
        </w:trPr>
        <w:tc>
          <w:tcPr>
            <w:tcW w:w="1560" w:type="dxa"/>
            <w:shd w:val="clear" w:color="auto" w:fill="auto"/>
          </w:tcPr>
          <w:p w14:paraId="7082763E" w14:textId="6ECF15FE" w:rsidR="00371B3E" w:rsidRPr="00354828" w:rsidRDefault="00371B3E" w:rsidP="00354828">
            <w:pPr>
              <w:tabs>
                <w:tab w:val="left" w:pos="1494"/>
              </w:tabs>
              <w:spacing w:after="0" w:line="240" w:lineRule="auto"/>
              <w:jc w:val="both"/>
            </w:pPr>
            <w:r>
              <w:t>LiepU</w:t>
            </w:r>
          </w:p>
        </w:tc>
        <w:tc>
          <w:tcPr>
            <w:tcW w:w="7654" w:type="dxa"/>
            <w:shd w:val="clear" w:color="auto" w:fill="auto"/>
          </w:tcPr>
          <w:p w14:paraId="57FF27FA" w14:textId="1CBD42BF" w:rsidR="00371B3E" w:rsidRPr="00354828" w:rsidRDefault="00371B3E" w:rsidP="00354828">
            <w:pPr>
              <w:tabs>
                <w:tab w:val="left" w:pos="1494"/>
              </w:tabs>
              <w:spacing w:after="0" w:line="240" w:lineRule="auto"/>
              <w:jc w:val="both"/>
            </w:pPr>
            <w:r>
              <w:t>Liepājas Universitāte</w:t>
            </w:r>
          </w:p>
        </w:tc>
      </w:tr>
      <w:tr w:rsidR="00371B3E" w:rsidRPr="00354828" w14:paraId="464B4B10" w14:textId="77777777" w:rsidTr="00C472A7">
        <w:trPr>
          <w:trHeight w:val="269"/>
        </w:trPr>
        <w:tc>
          <w:tcPr>
            <w:tcW w:w="1560" w:type="dxa"/>
            <w:shd w:val="clear" w:color="auto" w:fill="auto"/>
          </w:tcPr>
          <w:p w14:paraId="044595E2" w14:textId="2498617C" w:rsidR="00371B3E" w:rsidRPr="00354828" w:rsidRDefault="00371B3E" w:rsidP="00354828">
            <w:pPr>
              <w:tabs>
                <w:tab w:val="left" w:pos="1494"/>
              </w:tabs>
              <w:spacing w:after="0" w:line="240" w:lineRule="auto"/>
              <w:jc w:val="both"/>
            </w:pPr>
            <w:r>
              <w:t>LJA</w:t>
            </w:r>
          </w:p>
        </w:tc>
        <w:tc>
          <w:tcPr>
            <w:tcW w:w="7654" w:type="dxa"/>
            <w:shd w:val="clear" w:color="auto" w:fill="auto"/>
          </w:tcPr>
          <w:p w14:paraId="7C939F18" w14:textId="3615C457" w:rsidR="00371B3E" w:rsidRPr="00354828" w:rsidRDefault="00371B3E" w:rsidP="00354828">
            <w:pPr>
              <w:tabs>
                <w:tab w:val="left" w:pos="1494"/>
              </w:tabs>
              <w:spacing w:after="0" w:line="240" w:lineRule="auto"/>
              <w:jc w:val="both"/>
            </w:pPr>
            <w:r>
              <w:t>Latvijas Jūras akadēmija</w:t>
            </w:r>
          </w:p>
        </w:tc>
      </w:tr>
      <w:tr w:rsidR="00371B3E" w:rsidRPr="00354828" w14:paraId="5F74BD5E" w14:textId="77777777" w:rsidTr="00C472A7">
        <w:trPr>
          <w:trHeight w:val="269"/>
        </w:trPr>
        <w:tc>
          <w:tcPr>
            <w:tcW w:w="1560" w:type="dxa"/>
            <w:shd w:val="clear" w:color="auto" w:fill="auto"/>
          </w:tcPr>
          <w:p w14:paraId="518B7BA7" w14:textId="11249507" w:rsidR="00371B3E" w:rsidRPr="00354828" w:rsidRDefault="00371B3E" w:rsidP="00354828">
            <w:pPr>
              <w:tabs>
                <w:tab w:val="left" w:pos="1494"/>
              </w:tabs>
              <w:spacing w:after="0" w:line="240" w:lineRule="auto"/>
              <w:jc w:val="both"/>
            </w:pPr>
            <w:r>
              <w:t>LJK</w:t>
            </w:r>
          </w:p>
        </w:tc>
        <w:tc>
          <w:tcPr>
            <w:tcW w:w="7654" w:type="dxa"/>
            <w:shd w:val="clear" w:color="auto" w:fill="auto"/>
          </w:tcPr>
          <w:p w14:paraId="6F13A383" w14:textId="1D15452E" w:rsidR="00371B3E" w:rsidRPr="00354828" w:rsidRDefault="00371B3E" w:rsidP="00354828">
            <w:pPr>
              <w:tabs>
                <w:tab w:val="left" w:pos="1494"/>
              </w:tabs>
              <w:spacing w:after="0" w:line="240" w:lineRule="auto"/>
              <w:jc w:val="both"/>
            </w:pPr>
            <w:r>
              <w:t>Liepājas Jūrniecības koledža</w:t>
            </w:r>
          </w:p>
        </w:tc>
      </w:tr>
      <w:tr w:rsidR="00371B3E" w:rsidRPr="00354828" w14:paraId="6750CF3E" w14:textId="77777777" w:rsidTr="00C472A7">
        <w:trPr>
          <w:trHeight w:val="284"/>
        </w:trPr>
        <w:tc>
          <w:tcPr>
            <w:tcW w:w="1560" w:type="dxa"/>
            <w:shd w:val="clear" w:color="auto" w:fill="auto"/>
          </w:tcPr>
          <w:p w14:paraId="1C91A4D4" w14:textId="5FDC174C" w:rsidR="00371B3E" w:rsidRPr="00354828" w:rsidRDefault="00371B3E" w:rsidP="00354828">
            <w:pPr>
              <w:tabs>
                <w:tab w:val="left" w:pos="1494"/>
              </w:tabs>
              <w:spacing w:after="0" w:line="240" w:lineRule="auto"/>
              <w:jc w:val="both"/>
            </w:pPr>
            <w:r>
              <w:t>LKA LKK</w:t>
            </w:r>
          </w:p>
        </w:tc>
        <w:tc>
          <w:tcPr>
            <w:tcW w:w="7654" w:type="dxa"/>
            <w:shd w:val="clear" w:color="auto" w:fill="auto"/>
          </w:tcPr>
          <w:p w14:paraId="1A6D1F27" w14:textId="75E5C3E5" w:rsidR="00371B3E" w:rsidRPr="00354828" w:rsidRDefault="00371B3E" w:rsidP="00354828">
            <w:pPr>
              <w:tabs>
                <w:tab w:val="left" w:pos="1494"/>
              </w:tabs>
              <w:spacing w:after="0" w:line="240" w:lineRule="auto"/>
              <w:jc w:val="both"/>
            </w:pPr>
            <w:r>
              <w:t>Latvijas Kultūras akadēmijas Latvijas Kultūras koledža</w:t>
            </w:r>
          </w:p>
        </w:tc>
      </w:tr>
      <w:tr w:rsidR="00A97BBA" w:rsidRPr="00354828" w14:paraId="6F6FCBE0" w14:textId="77777777" w:rsidTr="00C472A7">
        <w:trPr>
          <w:trHeight w:val="284"/>
        </w:trPr>
        <w:tc>
          <w:tcPr>
            <w:tcW w:w="1560" w:type="dxa"/>
            <w:shd w:val="clear" w:color="auto" w:fill="auto"/>
          </w:tcPr>
          <w:p w14:paraId="6B49FB14" w14:textId="62ED0034" w:rsidR="00A97BBA" w:rsidRDefault="00A97BBA" w:rsidP="00354828">
            <w:pPr>
              <w:tabs>
                <w:tab w:val="left" w:pos="1494"/>
              </w:tabs>
              <w:spacing w:after="0" w:line="240" w:lineRule="auto"/>
              <w:jc w:val="both"/>
            </w:pPr>
            <w:r>
              <w:t>LKSSA</w:t>
            </w:r>
          </w:p>
        </w:tc>
        <w:tc>
          <w:tcPr>
            <w:tcW w:w="7654" w:type="dxa"/>
            <w:shd w:val="clear" w:color="auto" w:fill="auto"/>
          </w:tcPr>
          <w:p w14:paraId="10322987" w14:textId="1CDB9B43" w:rsidR="00A97BBA" w:rsidRDefault="00A97BBA" w:rsidP="00354828">
            <w:pPr>
              <w:tabs>
                <w:tab w:val="left" w:pos="1494"/>
              </w:tabs>
              <w:spacing w:after="0" w:line="240" w:lineRule="auto"/>
              <w:jc w:val="both"/>
            </w:pPr>
            <w:r>
              <w:t>Latvijas komandu sporta spēļu asociācija</w:t>
            </w:r>
          </w:p>
        </w:tc>
      </w:tr>
      <w:tr w:rsidR="00371B3E" w:rsidRPr="00354828" w14:paraId="2493AE72" w14:textId="77777777" w:rsidTr="00C472A7">
        <w:trPr>
          <w:trHeight w:val="284"/>
        </w:trPr>
        <w:tc>
          <w:tcPr>
            <w:tcW w:w="1560" w:type="dxa"/>
            <w:shd w:val="clear" w:color="auto" w:fill="auto"/>
          </w:tcPr>
          <w:p w14:paraId="222B6095" w14:textId="2EF4D05B" w:rsidR="00371B3E" w:rsidRPr="00354828" w:rsidRDefault="00371B3E" w:rsidP="00354828">
            <w:pPr>
              <w:tabs>
                <w:tab w:val="left" w:pos="1494"/>
              </w:tabs>
              <w:spacing w:after="0" w:line="240" w:lineRule="auto"/>
              <w:jc w:val="both"/>
            </w:pPr>
            <w:r>
              <w:t>LKuA</w:t>
            </w:r>
          </w:p>
        </w:tc>
        <w:tc>
          <w:tcPr>
            <w:tcW w:w="7654" w:type="dxa"/>
            <w:shd w:val="clear" w:color="auto" w:fill="auto"/>
          </w:tcPr>
          <w:p w14:paraId="7524EC8C" w14:textId="2C57183D" w:rsidR="00371B3E" w:rsidRPr="00354828" w:rsidRDefault="00371B3E" w:rsidP="00354828">
            <w:pPr>
              <w:tabs>
                <w:tab w:val="left" w:pos="1494"/>
              </w:tabs>
              <w:spacing w:after="0" w:line="240" w:lineRule="auto"/>
              <w:jc w:val="both"/>
            </w:pPr>
            <w:r>
              <w:t>Latvijas Kultūras akadēmija</w:t>
            </w:r>
          </w:p>
        </w:tc>
      </w:tr>
      <w:tr w:rsidR="00371B3E" w:rsidRPr="00354828" w14:paraId="1AFC4799" w14:textId="77777777" w:rsidTr="00C472A7">
        <w:trPr>
          <w:trHeight w:val="284"/>
        </w:trPr>
        <w:tc>
          <w:tcPr>
            <w:tcW w:w="1560" w:type="dxa"/>
            <w:shd w:val="clear" w:color="auto" w:fill="auto"/>
          </w:tcPr>
          <w:p w14:paraId="5098215B" w14:textId="399329CA" w:rsidR="00371B3E" w:rsidRPr="00354828" w:rsidRDefault="00371B3E" w:rsidP="00354828">
            <w:pPr>
              <w:tabs>
                <w:tab w:val="left" w:pos="1494"/>
              </w:tabs>
              <w:spacing w:after="0" w:line="240" w:lineRule="auto"/>
              <w:jc w:val="both"/>
            </w:pPr>
            <w:r>
              <w:t>LLU</w:t>
            </w:r>
          </w:p>
        </w:tc>
        <w:tc>
          <w:tcPr>
            <w:tcW w:w="7654" w:type="dxa"/>
            <w:shd w:val="clear" w:color="auto" w:fill="auto"/>
          </w:tcPr>
          <w:p w14:paraId="77448702" w14:textId="4E56E0DE" w:rsidR="00371B3E" w:rsidRPr="00354828" w:rsidRDefault="00371B3E" w:rsidP="00354828">
            <w:pPr>
              <w:tabs>
                <w:tab w:val="left" w:pos="1494"/>
              </w:tabs>
              <w:spacing w:after="0" w:line="240" w:lineRule="auto"/>
              <w:jc w:val="both"/>
            </w:pPr>
            <w:r>
              <w:t>Latvijas Lauksaimniecības universitāte</w:t>
            </w:r>
          </w:p>
        </w:tc>
      </w:tr>
      <w:tr w:rsidR="00371B3E" w:rsidRPr="00354828" w14:paraId="424100F0" w14:textId="77777777" w:rsidTr="00C472A7">
        <w:trPr>
          <w:trHeight w:val="284"/>
        </w:trPr>
        <w:tc>
          <w:tcPr>
            <w:tcW w:w="1560" w:type="dxa"/>
            <w:shd w:val="clear" w:color="auto" w:fill="auto"/>
          </w:tcPr>
          <w:p w14:paraId="5B537366" w14:textId="186BD8C6" w:rsidR="00371B3E" w:rsidRDefault="00371B3E" w:rsidP="00354828">
            <w:pPr>
              <w:tabs>
                <w:tab w:val="left" w:pos="1494"/>
              </w:tabs>
              <w:spacing w:after="0" w:line="240" w:lineRule="auto"/>
              <w:jc w:val="both"/>
            </w:pPr>
            <w:r w:rsidRPr="00354828">
              <w:t>LM</w:t>
            </w:r>
          </w:p>
        </w:tc>
        <w:tc>
          <w:tcPr>
            <w:tcW w:w="7654" w:type="dxa"/>
            <w:shd w:val="clear" w:color="auto" w:fill="auto"/>
          </w:tcPr>
          <w:p w14:paraId="2B7F0073" w14:textId="3AE152DD" w:rsidR="00371B3E" w:rsidRDefault="00371B3E" w:rsidP="00354828">
            <w:pPr>
              <w:tabs>
                <w:tab w:val="left" w:pos="1494"/>
              </w:tabs>
              <w:spacing w:after="0" w:line="240" w:lineRule="auto"/>
              <w:jc w:val="both"/>
            </w:pPr>
            <w:r w:rsidRPr="00354828">
              <w:t>Labklājības ministrija</w:t>
            </w:r>
          </w:p>
        </w:tc>
      </w:tr>
      <w:tr w:rsidR="00371B3E" w:rsidRPr="00354828" w14:paraId="25499FB9" w14:textId="77777777" w:rsidTr="00C472A7">
        <w:trPr>
          <w:trHeight w:val="284"/>
        </w:trPr>
        <w:tc>
          <w:tcPr>
            <w:tcW w:w="1560" w:type="dxa"/>
            <w:shd w:val="clear" w:color="auto" w:fill="auto"/>
          </w:tcPr>
          <w:p w14:paraId="52CDC3C3" w14:textId="0CEEBAFF" w:rsidR="00371B3E" w:rsidRDefault="00371B3E" w:rsidP="00354828">
            <w:pPr>
              <w:tabs>
                <w:tab w:val="left" w:pos="1494"/>
              </w:tabs>
              <w:spacing w:after="0" w:line="240" w:lineRule="auto"/>
              <w:jc w:val="both"/>
            </w:pPr>
            <w:r w:rsidRPr="00354828">
              <w:t>LM</w:t>
            </w:r>
            <w:r>
              <w:t>āA</w:t>
            </w:r>
          </w:p>
        </w:tc>
        <w:tc>
          <w:tcPr>
            <w:tcW w:w="7654" w:type="dxa"/>
            <w:shd w:val="clear" w:color="auto" w:fill="auto"/>
          </w:tcPr>
          <w:p w14:paraId="3ADC021B" w14:textId="35FD4E01" w:rsidR="00371B3E" w:rsidRDefault="00371B3E" w:rsidP="00354828">
            <w:pPr>
              <w:tabs>
                <w:tab w:val="left" w:pos="1494"/>
              </w:tabs>
              <w:spacing w:after="0" w:line="240" w:lineRule="auto"/>
              <w:jc w:val="both"/>
            </w:pPr>
            <w:r>
              <w:t>Latvijas Mākslas akadēmija</w:t>
            </w:r>
          </w:p>
        </w:tc>
      </w:tr>
      <w:tr w:rsidR="00371B3E" w:rsidRPr="00354828" w14:paraId="76755A0B" w14:textId="77777777" w:rsidTr="00C472A7">
        <w:trPr>
          <w:trHeight w:val="284"/>
        </w:trPr>
        <w:tc>
          <w:tcPr>
            <w:tcW w:w="1560" w:type="dxa"/>
            <w:shd w:val="clear" w:color="auto" w:fill="auto"/>
          </w:tcPr>
          <w:p w14:paraId="148154DA" w14:textId="73DBAADB" w:rsidR="00371B3E" w:rsidRDefault="00371B3E" w:rsidP="00354828">
            <w:pPr>
              <w:tabs>
                <w:tab w:val="left" w:pos="1494"/>
              </w:tabs>
              <w:spacing w:after="0" w:line="240" w:lineRule="auto"/>
              <w:jc w:val="both"/>
            </w:pPr>
            <w:r>
              <w:t>LNA</w:t>
            </w:r>
          </w:p>
        </w:tc>
        <w:tc>
          <w:tcPr>
            <w:tcW w:w="7654" w:type="dxa"/>
            <w:shd w:val="clear" w:color="auto" w:fill="auto"/>
          </w:tcPr>
          <w:p w14:paraId="40A0DE1A" w14:textId="3F121124" w:rsidR="00371B3E" w:rsidRDefault="00371B3E" w:rsidP="00354828">
            <w:pPr>
              <w:tabs>
                <w:tab w:val="left" w:pos="1494"/>
              </w:tabs>
              <w:spacing w:after="0" w:line="240" w:lineRule="auto"/>
              <w:jc w:val="both"/>
            </w:pPr>
            <w:r>
              <w:t>Latvijas Nacionālais arhīvs</w:t>
            </w:r>
          </w:p>
        </w:tc>
      </w:tr>
      <w:tr w:rsidR="00371B3E" w:rsidRPr="00354828" w14:paraId="560D3F9C" w14:textId="77777777" w:rsidTr="00C472A7">
        <w:trPr>
          <w:trHeight w:val="284"/>
        </w:trPr>
        <w:tc>
          <w:tcPr>
            <w:tcW w:w="1560" w:type="dxa"/>
            <w:shd w:val="clear" w:color="auto" w:fill="auto"/>
          </w:tcPr>
          <w:p w14:paraId="0F0C4698" w14:textId="32F16ED3" w:rsidR="00371B3E" w:rsidRPr="00354828" w:rsidRDefault="00371B3E" w:rsidP="00354828">
            <w:pPr>
              <w:tabs>
                <w:tab w:val="left" w:pos="1494"/>
              </w:tabs>
              <w:spacing w:after="0" w:line="240" w:lineRule="auto"/>
              <w:jc w:val="both"/>
            </w:pPr>
            <w:r w:rsidRPr="00354828">
              <w:t>LOK</w:t>
            </w:r>
          </w:p>
        </w:tc>
        <w:tc>
          <w:tcPr>
            <w:tcW w:w="7654" w:type="dxa"/>
            <w:shd w:val="clear" w:color="auto" w:fill="auto"/>
          </w:tcPr>
          <w:p w14:paraId="64FCEC97" w14:textId="641906BA" w:rsidR="00371B3E" w:rsidRDefault="00371B3E" w:rsidP="00354828">
            <w:pPr>
              <w:tabs>
                <w:tab w:val="left" w:pos="1494"/>
              </w:tabs>
              <w:spacing w:after="0" w:line="240" w:lineRule="auto"/>
              <w:jc w:val="both"/>
            </w:pPr>
            <w:r w:rsidRPr="00354828">
              <w:t>Latvijas Olimpiskā komiteja</w:t>
            </w:r>
          </w:p>
        </w:tc>
      </w:tr>
      <w:tr w:rsidR="00A97BBA" w:rsidRPr="00354828" w14:paraId="4724CA1A" w14:textId="77777777" w:rsidTr="00C472A7">
        <w:trPr>
          <w:trHeight w:val="284"/>
        </w:trPr>
        <w:tc>
          <w:tcPr>
            <w:tcW w:w="1560" w:type="dxa"/>
            <w:shd w:val="clear" w:color="auto" w:fill="auto"/>
          </w:tcPr>
          <w:p w14:paraId="45C15D87" w14:textId="15B8086C" w:rsidR="00A97BBA" w:rsidRPr="00354828" w:rsidRDefault="00A97BBA" w:rsidP="00354828">
            <w:pPr>
              <w:tabs>
                <w:tab w:val="left" w:pos="1494"/>
              </w:tabs>
              <w:spacing w:after="0" w:line="240" w:lineRule="auto"/>
              <w:jc w:val="both"/>
            </w:pPr>
            <w:r>
              <w:t>LOV</w:t>
            </w:r>
          </w:p>
        </w:tc>
        <w:tc>
          <w:tcPr>
            <w:tcW w:w="7654" w:type="dxa"/>
            <w:shd w:val="clear" w:color="auto" w:fill="auto"/>
          </w:tcPr>
          <w:p w14:paraId="262DD3D8" w14:textId="48018443" w:rsidR="00A97BBA" w:rsidRPr="00354828" w:rsidRDefault="00A97BBA" w:rsidP="00354828">
            <w:pPr>
              <w:tabs>
                <w:tab w:val="left" w:pos="1494"/>
              </w:tabs>
              <w:spacing w:after="0" w:line="240" w:lineRule="auto"/>
              <w:jc w:val="both"/>
            </w:pPr>
            <w:r>
              <w:t>Latvijas Olimpiskā vienība</w:t>
            </w:r>
          </w:p>
        </w:tc>
      </w:tr>
      <w:tr w:rsidR="00EA241D" w:rsidRPr="00354828" w14:paraId="7C27F302" w14:textId="77777777" w:rsidTr="00C472A7">
        <w:trPr>
          <w:trHeight w:val="284"/>
        </w:trPr>
        <w:tc>
          <w:tcPr>
            <w:tcW w:w="1560" w:type="dxa"/>
            <w:shd w:val="clear" w:color="auto" w:fill="auto"/>
          </w:tcPr>
          <w:p w14:paraId="0DE8B328" w14:textId="4D759976" w:rsidR="00EA241D" w:rsidRDefault="00EA241D" w:rsidP="00354828">
            <w:pPr>
              <w:tabs>
                <w:tab w:val="left" w:pos="1494"/>
              </w:tabs>
              <w:spacing w:after="0" w:line="240" w:lineRule="auto"/>
              <w:jc w:val="both"/>
            </w:pPr>
            <w:r>
              <w:t>LSFP</w:t>
            </w:r>
          </w:p>
        </w:tc>
        <w:tc>
          <w:tcPr>
            <w:tcW w:w="7654" w:type="dxa"/>
            <w:shd w:val="clear" w:color="auto" w:fill="auto"/>
          </w:tcPr>
          <w:p w14:paraId="332DB93C" w14:textId="1B343E4C" w:rsidR="00EA241D" w:rsidRDefault="00EA241D" w:rsidP="00354828">
            <w:pPr>
              <w:tabs>
                <w:tab w:val="left" w:pos="1494"/>
              </w:tabs>
              <w:spacing w:after="0" w:line="240" w:lineRule="auto"/>
              <w:jc w:val="both"/>
            </w:pPr>
            <w:r>
              <w:t>Latvijas Sporta federāciju padome</w:t>
            </w:r>
          </w:p>
        </w:tc>
      </w:tr>
      <w:tr w:rsidR="00371B3E" w:rsidRPr="00354828" w14:paraId="4C59A535" w14:textId="77777777" w:rsidTr="00C472A7">
        <w:trPr>
          <w:trHeight w:val="284"/>
        </w:trPr>
        <w:tc>
          <w:tcPr>
            <w:tcW w:w="1560" w:type="dxa"/>
            <w:shd w:val="clear" w:color="auto" w:fill="auto"/>
          </w:tcPr>
          <w:p w14:paraId="554E2CF2" w14:textId="13AA4831" w:rsidR="00371B3E" w:rsidRDefault="00371B3E" w:rsidP="00354828">
            <w:pPr>
              <w:tabs>
                <w:tab w:val="left" w:pos="1494"/>
              </w:tabs>
              <w:spacing w:after="0" w:line="240" w:lineRule="auto"/>
              <w:jc w:val="both"/>
            </w:pPr>
            <w:r w:rsidRPr="00354828">
              <w:t>LSPA</w:t>
            </w:r>
          </w:p>
        </w:tc>
        <w:tc>
          <w:tcPr>
            <w:tcW w:w="7654" w:type="dxa"/>
            <w:shd w:val="clear" w:color="auto" w:fill="auto"/>
          </w:tcPr>
          <w:p w14:paraId="331F219F" w14:textId="4E4B94E4" w:rsidR="00371B3E" w:rsidRDefault="00371B3E" w:rsidP="00354828">
            <w:pPr>
              <w:tabs>
                <w:tab w:val="left" w:pos="1494"/>
              </w:tabs>
              <w:spacing w:after="0" w:line="240" w:lineRule="auto"/>
              <w:jc w:val="both"/>
            </w:pPr>
            <w:r w:rsidRPr="00354828">
              <w:t>Latvijas Sporta pedagoģijas akadēmija</w:t>
            </w:r>
          </w:p>
        </w:tc>
      </w:tr>
      <w:tr w:rsidR="00371B3E" w:rsidRPr="00354828" w14:paraId="48AD5202" w14:textId="77777777" w:rsidTr="00C472A7">
        <w:trPr>
          <w:trHeight w:val="284"/>
        </w:trPr>
        <w:tc>
          <w:tcPr>
            <w:tcW w:w="1560" w:type="dxa"/>
            <w:shd w:val="clear" w:color="auto" w:fill="auto"/>
          </w:tcPr>
          <w:p w14:paraId="2623B0EE" w14:textId="281A9209" w:rsidR="00371B3E" w:rsidRDefault="00371B3E" w:rsidP="00354828">
            <w:pPr>
              <w:tabs>
                <w:tab w:val="left" w:pos="1494"/>
              </w:tabs>
              <w:spacing w:after="0" w:line="240" w:lineRule="auto"/>
              <w:jc w:val="both"/>
            </w:pPr>
            <w:r>
              <w:t>LT</w:t>
            </w:r>
          </w:p>
        </w:tc>
        <w:tc>
          <w:tcPr>
            <w:tcW w:w="7654" w:type="dxa"/>
            <w:shd w:val="clear" w:color="auto" w:fill="auto"/>
          </w:tcPr>
          <w:p w14:paraId="424769A9" w14:textId="10D18B1C" w:rsidR="00371B3E" w:rsidRDefault="00371B3E" w:rsidP="00354828">
            <w:pPr>
              <w:tabs>
                <w:tab w:val="left" w:pos="1494"/>
              </w:tabs>
              <w:spacing w:after="0" w:line="240" w:lineRule="auto"/>
              <w:jc w:val="both"/>
            </w:pPr>
            <w:r>
              <w:t>Lietuva</w:t>
            </w:r>
          </w:p>
        </w:tc>
      </w:tr>
      <w:tr w:rsidR="00371B3E" w:rsidRPr="00354828" w14:paraId="2106540F" w14:textId="77777777" w:rsidTr="00C472A7">
        <w:trPr>
          <w:trHeight w:val="284"/>
        </w:trPr>
        <w:tc>
          <w:tcPr>
            <w:tcW w:w="1560" w:type="dxa"/>
            <w:shd w:val="clear" w:color="auto" w:fill="auto"/>
          </w:tcPr>
          <w:p w14:paraId="61098925" w14:textId="1023FDB4" w:rsidR="00371B3E" w:rsidRPr="00354828" w:rsidRDefault="00371B3E" w:rsidP="00354828">
            <w:pPr>
              <w:tabs>
                <w:tab w:val="left" w:pos="1494"/>
              </w:tabs>
              <w:spacing w:after="0" w:line="240" w:lineRule="auto"/>
              <w:jc w:val="both"/>
            </w:pPr>
            <w:r>
              <w:t>LU</w:t>
            </w:r>
          </w:p>
        </w:tc>
        <w:tc>
          <w:tcPr>
            <w:tcW w:w="7654" w:type="dxa"/>
            <w:shd w:val="clear" w:color="auto" w:fill="auto"/>
          </w:tcPr>
          <w:p w14:paraId="45DF427B" w14:textId="5DD0EFD1" w:rsidR="00371B3E" w:rsidRPr="00354828" w:rsidRDefault="00371B3E" w:rsidP="00354828">
            <w:pPr>
              <w:tabs>
                <w:tab w:val="left" w:pos="1494"/>
              </w:tabs>
              <w:spacing w:after="0" w:line="240" w:lineRule="auto"/>
              <w:jc w:val="both"/>
            </w:pPr>
            <w:r>
              <w:t>Latvijas Universitāte</w:t>
            </w:r>
          </w:p>
        </w:tc>
      </w:tr>
      <w:tr w:rsidR="00371B3E" w:rsidRPr="00354828" w14:paraId="375DC62A" w14:textId="77777777" w:rsidTr="00C472A7">
        <w:trPr>
          <w:trHeight w:val="284"/>
        </w:trPr>
        <w:tc>
          <w:tcPr>
            <w:tcW w:w="1560" w:type="dxa"/>
            <w:shd w:val="clear" w:color="auto" w:fill="auto"/>
          </w:tcPr>
          <w:p w14:paraId="3C2FF9DB" w14:textId="4771C4B2" w:rsidR="00371B3E" w:rsidRPr="00354828" w:rsidRDefault="00371B3E" w:rsidP="00354828">
            <w:pPr>
              <w:tabs>
                <w:tab w:val="left" w:pos="1494"/>
              </w:tabs>
              <w:spacing w:after="0" w:line="240" w:lineRule="auto"/>
              <w:jc w:val="both"/>
            </w:pPr>
            <w:r>
              <w:t>LU PSK</w:t>
            </w:r>
          </w:p>
        </w:tc>
        <w:tc>
          <w:tcPr>
            <w:tcW w:w="7654" w:type="dxa"/>
            <w:shd w:val="clear" w:color="auto" w:fill="auto"/>
          </w:tcPr>
          <w:p w14:paraId="17912C50" w14:textId="2A2CE41A" w:rsidR="00371B3E" w:rsidRPr="00354828" w:rsidRDefault="00371B3E" w:rsidP="00354828">
            <w:pPr>
              <w:tabs>
                <w:tab w:val="left" w:pos="1494"/>
              </w:tabs>
              <w:spacing w:after="0" w:line="240" w:lineRule="auto"/>
              <w:jc w:val="both"/>
            </w:pPr>
            <w:r>
              <w:t>Latvijas Universitātes P.Stradiņa medicīnas koledža</w:t>
            </w:r>
          </w:p>
        </w:tc>
      </w:tr>
      <w:tr w:rsidR="00371B3E" w:rsidRPr="00354828" w14:paraId="2F7E8FA5" w14:textId="77777777" w:rsidTr="00C472A7">
        <w:trPr>
          <w:trHeight w:val="269"/>
        </w:trPr>
        <w:tc>
          <w:tcPr>
            <w:tcW w:w="1560" w:type="dxa"/>
            <w:shd w:val="clear" w:color="auto" w:fill="auto"/>
          </w:tcPr>
          <w:p w14:paraId="23880F94" w14:textId="4A312828" w:rsidR="00371B3E" w:rsidRPr="00354828" w:rsidRDefault="00371B3E" w:rsidP="00354828">
            <w:pPr>
              <w:tabs>
                <w:tab w:val="left" w:pos="1494"/>
              </w:tabs>
              <w:spacing w:after="0" w:line="240" w:lineRule="auto"/>
              <w:jc w:val="both"/>
            </w:pPr>
            <w:r>
              <w:t>LU RMK</w:t>
            </w:r>
          </w:p>
        </w:tc>
        <w:tc>
          <w:tcPr>
            <w:tcW w:w="7654" w:type="dxa"/>
            <w:shd w:val="clear" w:color="auto" w:fill="auto"/>
          </w:tcPr>
          <w:p w14:paraId="35CA5DD5" w14:textId="20E1A5A6" w:rsidR="00371B3E" w:rsidRPr="00354828" w:rsidRDefault="00371B3E" w:rsidP="00354828">
            <w:pPr>
              <w:tabs>
                <w:tab w:val="left" w:pos="1494"/>
              </w:tabs>
              <w:spacing w:after="0" w:line="240" w:lineRule="auto"/>
              <w:jc w:val="both"/>
            </w:pPr>
            <w:r>
              <w:t>Latvijas Universitātes Rīgas medicīnas koledža</w:t>
            </w:r>
          </w:p>
        </w:tc>
      </w:tr>
      <w:tr w:rsidR="00371B3E" w:rsidRPr="00354828" w14:paraId="3993B68C" w14:textId="77777777" w:rsidTr="00C472A7">
        <w:trPr>
          <w:trHeight w:val="269"/>
        </w:trPr>
        <w:tc>
          <w:tcPr>
            <w:tcW w:w="1560" w:type="dxa"/>
            <w:shd w:val="clear" w:color="auto" w:fill="auto"/>
          </w:tcPr>
          <w:p w14:paraId="2559698F" w14:textId="13C902D7" w:rsidR="00371B3E" w:rsidRPr="00354828" w:rsidRDefault="00371B3E" w:rsidP="00354828">
            <w:pPr>
              <w:tabs>
                <w:tab w:val="left" w:pos="1494"/>
              </w:tabs>
              <w:spacing w:after="0" w:line="240" w:lineRule="auto"/>
              <w:jc w:val="both"/>
            </w:pPr>
            <w:r>
              <w:t>LU R1MK</w:t>
            </w:r>
          </w:p>
        </w:tc>
        <w:tc>
          <w:tcPr>
            <w:tcW w:w="7654" w:type="dxa"/>
            <w:shd w:val="clear" w:color="auto" w:fill="auto"/>
          </w:tcPr>
          <w:p w14:paraId="72336AC3" w14:textId="15F030C8" w:rsidR="00371B3E" w:rsidRPr="00354828" w:rsidRDefault="00371B3E" w:rsidP="00354828">
            <w:pPr>
              <w:tabs>
                <w:tab w:val="left" w:pos="1494"/>
              </w:tabs>
              <w:spacing w:after="0" w:line="240" w:lineRule="auto"/>
              <w:jc w:val="both"/>
            </w:pPr>
            <w:r>
              <w:t>Latvijas Universitātes Rīgas 1. medicīnas koledža</w:t>
            </w:r>
          </w:p>
        </w:tc>
      </w:tr>
      <w:tr w:rsidR="00371B3E" w:rsidRPr="00354828" w14:paraId="36A518B1" w14:textId="77777777" w:rsidTr="00C472A7">
        <w:trPr>
          <w:trHeight w:val="269"/>
        </w:trPr>
        <w:tc>
          <w:tcPr>
            <w:tcW w:w="1560" w:type="dxa"/>
            <w:shd w:val="clear" w:color="auto" w:fill="auto"/>
          </w:tcPr>
          <w:p w14:paraId="72CEEE80" w14:textId="2E75FB20" w:rsidR="00371B3E" w:rsidRPr="00354828" w:rsidRDefault="00371B3E" w:rsidP="00354828">
            <w:pPr>
              <w:tabs>
                <w:tab w:val="left" w:pos="1494"/>
              </w:tabs>
              <w:spacing w:after="0" w:line="240" w:lineRule="auto"/>
              <w:jc w:val="both"/>
            </w:pPr>
            <w:r>
              <w:t>MalnK</w:t>
            </w:r>
          </w:p>
        </w:tc>
        <w:tc>
          <w:tcPr>
            <w:tcW w:w="7654" w:type="dxa"/>
            <w:shd w:val="clear" w:color="auto" w:fill="auto"/>
          </w:tcPr>
          <w:p w14:paraId="07A095F2" w14:textId="66EB8270" w:rsidR="00371B3E" w:rsidRPr="00354828" w:rsidRDefault="00371B3E" w:rsidP="00354828">
            <w:pPr>
              <w:tabs>
                <w:tab w:val="left" w:pos="1494"/>
              </w:tabs>
              <w:spacing w:after="0" w:line="240" w:lineRule="auto"/>
              <w:jc w:val="both"/>
            </w:pPr>
            <w:r>
              <w:t>Malnavas koledža</w:t>
            </w:r>
          </w:p>
        </w:tc>
      </w:tr>
      <w:tr w:rsidR="00371B3E" w:rsidRPr="00354828" w14:paraId="3A121671" w14:textId="77777777" w:rsidTr="00C472A7">
        <w:trPr>
          <w:trHeight w:val="269"/>
        </w:trPr>
        <w:tc>
          <w:tcPr>
            <w:tcW w:w="1560" w:type="dxa"/>
            <w:shd w:val="clear" w:color="auto" w:fill="auto"/>
          </w:tcPr>
          <w:p w14:paraId="76B1057B" w14:textId="09ED5506" w:rsidR="00371B3E" w:rsidRDefault="00371B3E" w:rsidP="00354828">
            <w:pPr>
              <w:tabs>
                <w:tab w:val="left" w:pos="1494"/>
              </w:tabs>
              <w:spacing w:after="0" w:line="240" w:lineRule="auto"/>
              <w:jc w:val="both"/>
            </w:pPr>
            <w:r w:rsidRPr="00354828">
              <w:t>Ministrijas</w:t>
            </w:r>
          </w:p>
        </w:tc>
        <w:tc>
          <w:tcPr>
            <w:tcW w:w="7654" w:type="dxa"/>
            <w:shd w:val="clear" w:color="auto" w:fill="auto"/>
          </w:tcPr>
          <w:p w14:paraId="002C2EF5" w14:textId="63DF39F1" w:rsidR="00371B3E" w:rsidRDefault="00371B3E" w:rsidP="00354828">
            <w:pPr>
              <w:tabs>
                <w:tab w:val="left" w:pos="1494"/>
              </w:tabs>
              <w:spacing w:after="0" w:line="240" w:lineRule="auto"/>
              <w:jc w:val="both"/>
            </w:pPr>
            <w:r w:rsidRPr="00354828">
              <w:t>Ministrijas un citas centrālās valsts iestādes</w:t>
            </w:r>
          </w:p>
        </w:tc>
      </w:tr>
      <w:tr w:rsidR="00371B3E" w:rsidRPr="00354828" w14:paraId="737EE200" w14:textId="77777777" w:rsidTr="00C472A7">
        <w:trPr>
          <w:trHeight w:val="269"/>
        </w:trPr>
        <w:tc>
          <w:tcPr>
            <w:tcW w:w="1560" w:type="dxa"/>
            <w:shd w:val="clear" w:color="auto" w:fill="auto"/>
          </w:tcPr>
          <w:p w14:paraId="62F3B1AF" w14:textId="7F66C44E" w:rsidR="00371B3E" w:rsidRDefault="00371B3E" w:rsidP="00354828">
            <w:pPr>
              <w:tabs>
                <w:tab w:val="left" w:pos="1494"/>
              </w:tabs>
              <w:spacing w:after="0" w:line="240" w:lineRule="auto"/>
              <w:jc w:val="both"/>
            </w:pPr>
            <w:r w:rsidRPr="00354828">
              <w:t>MK</w:t>
            </w:r>
          </w:p>
        </w:tc>
        <w:tc>
          <w:tcPr>
            <w:tcW w:w="7654" w:type="dxa"/>
            <w:shd w:val="clear" w:color="auto" w:fill="auto"/>
          </w:tcPr>
          <w:p w14:paraId="39F47D7C" w14:textId="411E828D" w:rsidR="00371B3E" w:rsidRDefault="00371B3E" w:rsidP="00354828">
            <w:pPr>
              <w:tabs>
                <w:tab w:val="left" w:pos="1494"/>
              </w:tabs>
              <w:spacing w:after="0" w:line="240" w:lineRule="auto"/>
              <w:jc w:val="both"/>
            </w:pPr>
            <w:r w:rsidRPr="00354828">
              <w:t>Ministru kabinets</w:t>
            </w:r>
          </w:p>
        </w:tc>
      </w:tr>
      <w:tr w:rsidR="00371B3E" w:rsidRPr="00354828" w14:paraId="01AAF648" w14:textId="77777777" w:rsidTr="00C472A7">
        <w:trPr>
          <w:trHeight w:val="269"/>
        </w:trPr>
        <w:tc>
          <w:tcPr>
            <w:tcW w:w="1560" w:type="dxa"/>
            <w:shd w:val="clear" w:color="auto" w:fill="auto"/>
          </w:tcPr>
          <w:p w14:paraId="65B0FFAD" w14:textId="254CE75C" w:rsidR="00371B3E" w:rsidRDefault="00371B3E" w:rsidP="00354828">
            <w:pPr>
              <w:tabs>
                <w:tab w:val="left" w:pos="1494"/>
              </w:tabs>
              <w:spacing w:after="0" w:line="240" w:lineRule="auto"/>
              <w:jc w:val="both"/>
            </w:pPr>
            <w:r w:rsidRPr="00354828">
              <w:rPr>
                <w:rFonts w:eastAsia="Times New Roman" w:cs="Times New Roman"/>
                <w:color w:val="000000"/>
                <w:lang w:eastAsia="lv-LV"/>
              </w:rPr>
              <w:lastRenderedPageBreak/>
              <w:t>NEPLP</w:t>
            </w:r>
          </w:p>
        </w:tc>
        <w:tc>
          <w:tcPr>
            <w:tcW w:w="7654" w:type="dxa"/>
            <w:shd w:val="clear" w:color="auto" w:fill="auto"/>
          </w:tcPr>
          <w:p w14:paraId="524D7C6B" w14:textId="4D19BD98" w:rsidR="00371B3E" w:rsidRDefault="00371B3E" w:rsidP="00354828">
            <w:pPr>
              <w:tabs>
                <w:tab w:val="left" w:pos="1494"/>
              </w:tabs>
              <w:spacing w:after="0" w:line="240" w:lineRule="auto"/>
              <w:jc w:val="both"/>
            </w:pPr>
            <w:r w:rsidRPr="00354828">
              <w:t>Nacionālā elektronisko plašsaziņas līdzekļu padome</w:t>
            </w:r>
          </w:p>
        </w:tc>
      </w:tr>
      <w:tr w:rsidR="00371B3E" w:rsidRPr="00354828" w14:paraId="7E1FD0A2" w14:textId="77777777" w:rsidTr="00C472A7">
        <w:trPr>
          <w:trHeight w:val="269"/>
        </w:trPr>
        <w:tc>
          <w:tcPr>
            <w:tcW w:w="1560" w:type="dxa"/>
            <w:shd w:val="clear" w:color="auto" w:fill="auto"/>
          </w:tcPr>
          <w:p w14:paraId="16B6E0BB" w14:textId="4EBBC693" w:rsidR="00371B3E" w:rsidRDefault="00371B3E" w:rsidP="00354828">
            <w:pPr>
              <w:tabs>
                <w:tab w:val="left" w:pos="1494"/>
              </w:tabs>
              <w:spacing w:after="0" w:line="240" w:lineRule="auto"/>
              <w:jc w:val="both"/>
            </w:pPr>
            <w:r w:rsidRPr="00354828">
              <w:t>OECD</w:t>
            </w:r>
          </w:p>
        </w:tc>
        <w:tc>
          <w:tcPr>
            <w:tcW w:w="7654" w:type="dxa"/>
            <w:shd w:val="clear" w:color="auto" w:fill="auto"/>
          </w:tcPr>
          <w:p w14:paraId="00D81EBC" w14:textId="540BA96E" w:rsidR="00371B3E" w:rsidRDefault="00371B3E" w:rsidP="00354828">
            <w:pPr>
              <w:tabs>
                <w:tab w:val="left" w:pos="1494"/>
              </w:tabs>
              <w:spacing w:after="0" w:line="240" w:lineRule="auto"/>
              <w:jc w:val="both"/>
            </w:pPr>
            <w:r w:rsidRPr="00354828">
              <w:t>Ekonomiskās sadarbības un attīstības organizācija</w:t>
            </w:r>
          </w:p>
        </w:tc>
      </w:tr>
      <w:tr w:rsidR="00371B3E" w:rsidRPr="00354828" w14:paraId="4977C1D3" w14:textId="77777777" w:rsidTr="00C472A7">
        <w:trPr>
          <w:trHeight w:val="269"/>
        </w:trPr>
        <w:tc>
          <w:tcPr>
            <w:tcW w:w="1560" w:type="dxa"/>
            <w:shd w:val="clear" w:color="auto" w:fill="auto"/>
          </w:tcPr>
          <w:p w14:paraId="2593DBDA" w14:textId="02F03306" w:rsidR="00371B3E" w:rsidRPr="00354828" w:rsidRDefault="00371B3E" w:rsidP="00354828">
            <w:pPr>
              <w:tabs>
                <w:tab w:val="left" w:pos="1494"/>
              </w:tabs>
              <w:spacing w:after="0" w:line="240" w:lineRule="auto"/>
              <w:jc w:val="both"/>
            </w:pPr>
            <w:r w:rsidRPr="00354828">
              <w:t>NVD</w:t>
            </w:r>
          </w:p>
        </w:tc>
        <w:tc>
          <w:tcPr>
            <w:tcW w:w="7654" w:type="dxa"/>
            <w:shd w:val="clear" w:color="auto" w:fill="auto"/>
          </w:tcPr>
          <w:p w14:paraId="34660919" w14:textId="240EAA17" w:rsidR="00371B3E" w:rsidRPr="00354828" w:rsidRDefault="00371B3E" w:rsidP="00354828">
            <w:pPr>
              <w:tabs>
                <w:tab w:val="left" w:pos="1494"/>
              </w:tabs>
              <w:spacing w:after="0" w:line="240" w:lineRule="auto"/>
              <w:jc w:val="both"/>
            </w:pPr>
            <w:r w:rsidRPr="00354828">
              <w:t>Nacionālais veselības dienests</w:t>
            </w:r>
          </w:p>
        </w:tc>
      </w:tr>
      <w:tr w:rsidR="00371B3E" w:rsidRPr="00354828" w14:paraId="0F9F752D" w14:textId="77777777" w:rsidTr="00C472A7">
        <w:trPr>
          <w:trHeight w:val="217"/>
        </w:trPr>
        <w:tc>
          <w:tcPr>
            <w:tcW w:w="1560" w:type="dxa"/>
            <w:shd w:val="clear" w:color="auto" w:fill="auto"/>
          </w:tcPr>
          <w:p w14:paraId="125388E8" w14:textId="4ECA0556" w:rsidR="00371B3E" w:rsidRPr="00354828" w:rsidRDefault="00371B3E" w:rsidP="00354828">
            <w:pPr>
              <w:tabs>
                <w:tab w:val="left" w:pos="1494"/>
              </w:tabs>
              <w:spacing w:after="0" w:line="240" w:lineRule="auto"/>
              <w:jc w:val="both"/>
              <w:rPr>
                <w:rFonts w:cs="Times New Roman"/>
              </w:rPr>
            </w:pPr>
            <w:r>
              <w:t>PIL</w:t>
            </w:r>
          </w:p>
        </w:tc>
        <w:tc>
          <w:tcPr>
            <w:tcW w:w="7654" w:type="dxa"/>
            <w:shd w:val="clear" w:color="auto" w:fill="auto"/>
          </w:tcPr>
          <w:p w14:paraId="29B7EA2C" w14:textId="013CBF06" w:rsidR="00371B3E" w:rsidRPr="00354828" w:rsidRDefault="00371B3E" w:rsidP="00354828">
            <w:pPr>
              <w:tabs>
                <w:tab w:val="left" w:pos="1494"/>
              </w:tabs>
              <w:spacing w:after="0" w:line="240" w:lineRule="auto"/>
              <w:jc w:val="both"/>
              <w:rPr>
                <w:rFonts w:cs="Times New Roman"/>
              </w:rPr>
            </w:pPr>
            <w:r>
              <w:t>Publisko iepirkumu likums</w:t>
            </w:r>
          </w:p>
        </w:tc>
      </w:tr>
      <w:tr w:rsidR="00371B3E" w:rsidRPr="00354828" w14:paraId="4D0DFA72" w14:textId="77777777" w:rsidTr="00C472A7">
        <w:trPr>
          <w:trHeight w:val="269"/>
        </w:trPr>
        <w:tc>
          <w:tcPr>
            <w:tcW w:w="1560" w:type="dxa"/>
            <w:shd w:val="clear" w:color="auto" w:fill="auto"/>
          </w:tcPr>
          <w:p w14:paraId="735EF4FE" w14:textId="44CF7E3C" w:rsidR="00371B3E" w:rsidRPr="00354828" w:rsidRDefault="00371B3E" w:rsidP="00354828">
            <w:pPr>
              <w:tabs>
                <w:tab w:val="left" w:pos="1494"/>
              </w:tabs>
              <w:spacing w:after="0" w:line="240" w:lineRule="auto"/>
              <w:jc w:val="both"/>
            </w:pPr>
            <w:r w:rsidRPr="00354828">
              <w:rPr>
                <w:rFonts w:cs="Times New Roman"/>
              </w:rPr>
              <w:t>PP</w:t>
            </w:r>
          </w:p>
        </w:tc>
        <w:tc>
          <w:tcPr>
            <w:tcW w:w="7654" w:type="dxa"/>
            <w:shd w:val="clear" w:color="auto" w:fill="auto"/>
          </w:tcPr>
          <w:p w14:paraId="1CE9B694" w14:textId="661B585F" w:rsidR="00371B3E" w:rsidRPr="00354828" w:rsidRDefault="00371B3E" w:rsidP="00354828">
            <w:pPr>
              <w:tabs>
                <w:tab w:val="left" w:pos="1494"/>
              </w:tabs>
              <w:spacing w:after="0" w:line="240" w:lineRule="auto"/>
              <w:jc w:val="both"/>
            </w:pPr>
            <w:r w:rsidRPr="00354828">
              <w:t>Prioritārais pasākums</w:t>
            </w:r>
          </w:p>
        </w:tc>
      </w:tr>
      <w:tr w:rsidR="006028C9" w:rsidRPr="00354828" w14:paraId="748AFB3C" w14:textId="77777777" w:rsidTr="00C472A7">
        <w:trPr>
          <w:trHeight w:val="269"/>
        </w:trPr>
        <w:tc>
          <w:tcPr>
            <w:tcW w:w="1560" w:type="dxa"/>
            <w:shd w:val="clear" w:color="auto" w:fill="auto"/>
          </w:tcPr>
          <w:p w14:paraId="633100E1" w14:textId="53E07F6D" w:rsidR="006028C9" w:rsidRPr="00354828" w:rsidRDefault="006028C9" w:rsidP="00354828">
            <w:pPr>
              <w:tabs>
                <w:tab w:val="left" w:pos="1494"/>
              </w:tabs>
              <w:spacing w:after="0" w:line="240" w:lineRule="auto"/>
              <w:jc w:val="both"/>
              <w:rPr>
                <w:rFonts w:cs="Times New Roman"/>
              </w:rPr>
            </w:pPr>
            <w:r>
              <w:rPr>
                <w:rFonts w:cs="Times New Roman"/>
              </w:rPr>
              <w:t>PPP</w:t>
            </w:r>
          </w:p>
        </w:tc>
        <w:tc>
          <w:tcPr>
            <w:tcW w:w="7654" w:type="dxa"/>
            <w:shd w:val="clear" w:color="auto" w:fill="auto"/>
          </w:tcPr>
          <w:p w14:paraId="69FB9B8A" w14:textId="7BED2F71" w:rsidR="006028C9" w:rsidRPr="00354828" w:rsidRDefault="006028C9" w:rsidP="00354828">
            <w:pPr>
              <w:tabs>
                <w:tab w:val="left" w:pos="1494"/>
              </w:tabs>
              <w:spacing w:after="0" w:line="240" w:lineRule="auto"/>
              <w:jc w:val="both"/>
            </w:pPr>
            <w:r w:rsidRPr="006028C9">
              <w:t>Publiskā un privātā partnerība</w:t>
            </w:r>
          </w:p>
        </w:tc>
      </w:tr>
      <w:tr w:rsidR="00371B3E" w:rsidRPr="00354828" w14:paraId="3BE19AD6" w14:textId="77777777" w:rsidTr="00C472A7">
        <w:trPr>
          <w:trHeight w:val="284"/>
        </w:trPr>
        <w:tc>
          <w:tcPr>
            <w:tcW w:w="1560" w:type="dxa"/>
            <w:shd w:val="clear" w:color="auto" w:fill="auto"/>
          </w:tcPr>
          <w:p w14:paraId="2C4DC779" w14:textId="01E6A7D9" w:rsidR="00371B3E" w:rsidRPr="00354828" w:rsidRDefault="00371B3E" w:rsidP="00354828">
            <w:pPr>
              <w:tabs>
                <w:tab w:val="left" w:pos="1494"/>
              </w:tabs>
              <w:spacing w:after="0" w:line="240" w:lineRule="auto"/>
              <w:jc w:val="both"/>
            </w:pPr>
            <w:r w:rsidRPr="00354828">
              <w:rPr>
                <w:lang w:eastAsia="lv-LV"/>
              </w:rPr>
              <w:t>PVD</w:t>
            </w:r>
          </w:p>
        </w:tc>
        <w:tc>
          <w:tcPr>
            <w:tcW w:w="7654" w:type="dxa"/>
            <w:shd w:val="clear" w:color="auto" w:fill="auto"/>
          </w:tcPr>
          <w:p w14:paraId="3EEA418D" w14:textId="0F967242" w:rsidR="00371B3E" w:rsidRPr="00354828" w:rsidRDefault="00371B3E" w:rsidP="00354828">
            <w:pPr>
              <w:tabs>
                <w:tab w:val="left" w:pos="1494"/>
              </w:tabs>
              <w:spacing w:after="0" w:line="240" w:lineRule="auto"/>
              <w:jc w:val="both"/>
            </w:pPr>
            <w:r w:rsidRPr="00354828">
              <w:rPr>
                <w:lang w:eastAsia="lv-LV"/>
              </w:rPr>
              <w:t>Pārtikas un veterinārais dienests</w:t>
            </w:r>
          </w:p>
        </w:tc>
      </w:tr>
      <w:tr w:rsidR="00371B3E" w:rsidRPr="00354828" w14:paraId="4F994B6A" w14:textId="77777777" w:rsidTr="00C472A7">
        <w:trPr>
          <w:trHeight w:val="269"/>
        </w:trPr>
        <w:tc>
          <w:tcPr>
            <w:tcW w:w="1560" w:type="dxa"/>
            <w:shd w:val="clear" w:color="auto" w:fill="auto"/>
          </w:tcPr>
          <w:p w14:paraId="58FDCAB3" w14:textId="2B95C2DD" w:rsidR="00371B3E" w:rsidRPr="00354828" w:rsidRDefault="00371B3E" w:rsidP="00354828">
            <w:pPr>
              <w:tabs>
                <w:tab w:val="left" w:pos="1494"/>
              </w:tabs>
              <w:spacing w:after="0" w:line="240" w:lineRule="auto"/>
              <w:jc w:val="both"/>
            </w:pPr>
            <w:r w:rsidRPr="00354828">
              <w:t>PKC</w:t>
            </w:r>
          </w:p>
        </w:tc>
        <w:tc>
          <w:tcPr>
            <w:tcW w:w="7654" w:type="dxa"/>
            <w:shd w:val="clear" w:color="auto" w:fill="auto"/>
          </w:tcPr>
          <w:p w14:paraId="1B560F65" w14:textId="520CB243" w:rsidR="00371B3E" w:rsidRPr="00354828" w:rsidRDefault="00371B3E" w:rsidP="00354828">
            <w:pPr>
              <w:tabs>
                <w:tab w:val="left" w:pos="1494"/>
              </w:tabs>
              <w:spacing w:after="0" w:line="240" w:lineRule="auto"/>
              <w:jc w:val="both"/>
            </w:pPr>
            <w:r w:rsidRPr="00354828">
              <w:t>Pārresoru koordinācijas centrs</w:t>
            </w:r>
          </w:p>
        </w:tc>
      </w:tr>
      <w:tr w:rsidR="00371B3E" w:rsidRPr="00354828" w14:paraId="5AB7A786" w14:textId="77777777" w:rsidTr="00C472A7">
        <w:trPr>
          <w:trHeight w:val="269"/>
        </w:trPr>
        <w:tc>
          <w:tcPr>
            <w:tcW w:w="1560" w:type="dxa"/>
            <w:shd w:val="clear" w:color="auto" w:fill="auto"/>
          </w:tcPr>
          <w:p w14:paraId="46EF046A" w14:textId="70F623FC" w:rsidR="00371B3E" w:rsidRPr="00354828" w:rsidRDefault="00371B3E" w:rsidP="00354828">
            <w:pPr>
              <w:tabs>
                <w:tab w:val="left" w:pos="1494"/>
              </w:tabs>
              <w:spacing w:after="0" w:line="240" w:lineRule="auto"/>
              <w:jc w:val="both"/>
            </w:pPr>
            <w:r>
              <w:t>RCK</w:t>
            </w:r>
          </w:p>
        </w:tc>
        <w:tc>
          <w:tcPr>
            <w:tcW w:w="7654" w:type="dxa"/>
            <w:shd w:val="clear" w:color="auto" w:fill="auto"/>
          </w:tcPr>
          <w:p w14:paraId="5A89275B" w14:textId="07FBD3A9" w:rsidR="00371B3E" w:rsidRPr="00354828" w:rsidRDefault="00371B3E" w:rsidP="00354828">
            <w:pPr>
              <w:tabs>
                <w:tab w:val="left" w:pos="1494"/>
              </w:tabs>
              <w:spacing w:after="0" w:line="240" w:lineRule="auto"/>
              <w:jc w:val="both"/>
            </w:pPr>
            <w:r>
              <w:t>Rīgas Celtniecības koledža</w:t>
            </w:r>
          </w:p>
        </w:tc>
      </w:tr>
      <w:tr w:rsidR="00371B3E" w:rsidRPr="00354828" w14:paraId="3103A214" w14:textId="77777777" w:rsidTr="00C472A7">
        <w:trPr>
          <w:trHeight w:val="269"/>
        </w:trPr>
        <w:tc>
          <w:tcPr>
            <w:tcW w:w="1560" w:type="dxa"/>
            <w:shd w:val="clear" w:color="auto" w:fill="auto"/>
          </w:tcPr>
          <w:p w14:paraId="52A294DF" w14:textId="3A78E924" w:rsidR="00371B3E" w:rsidRPr="00354828" w:rsidRDefault="00371B3E" w:rsidP="00354828">
            <w:pPr>
              <w:tabs>
                <w:tab w:val="left" w:pos="1494"/>
              </w:tabs>
              <w:spacing w:after="0" w:line="240" w:lineRule="auto"/>
              <w:jc w:val="both"/>
            </w:pPr>
            <w:r>
              <w:t>RSU</w:t>
            </w:r>
          </w:p>
        </w:tc>
        <w:tc>
          <w:tcPr>
            <w:tcW w:w="7654" w:type="dxa"/>
            <w:shd w:val="clear" w:color="auto" w:fill="auto"/>
          </w:tcPr>
          <w:p w14:paraId="42361D02" w14:textId="277D3CA0" w:rsidR="00371B3E" w:rsidRPr="00354828" w:rsidRDefault="00371B3E" w:rsidP="00354828">
            <w:pPr>
              <w:tabs>
                <w:tab w:val="left" w:pos="1494"/>
              </w:tabs>
              <w:spacing w:after="0" w:line="240" w:lineRule="auto"/>
              <w:jc w:val="both"/>
            </w:pPr>
            <w:r>
              <w:t>Rīgas Stradiņa universitāte</w:t>
            </w:r>
          </w:p>
        </w:tc>
      </w:tr>
      <w:tr w:rsidR="00371B3E" w:rsidRPr="00354828" w14:paraId="5B438D02" w14:textId="77777777" w:rsidTr="00C472A7">
        <w:trPr>
          <w:trHeight w:val="169"/>
        </w:trPr>
        <w:tc>
          <w:tcPr>
            <w:tcW w:w="1560" w:type="dxa"/>
            <w:shd w:val="clear" w:color="auto" w:fill="auto"/>
          </w:tcPr>
          <w:p w14:paraId="736DB6A0" w14:textId="27F50A61" w:rsidR="00371B3E" w:rsidRPr="00354828" w:rsidRDefault="00371B3E" w:rsidP="00354828">
            <w:pPr>
              <w:tabs>
                <w:tab w:val="left" w:pos="1494"/>
              </w:tabs>
              <w:spacing w:after="0" w:line="240" w:lineRule="auto"/>
              <w:jc w:val="both"/>
            </w:pPr>
            <w:r>
              <w:t>RSU SKMK</w:t>
            </w:r>
          </w:p>
        </w:tc>
        <w:tc>
          <w:tcPr>
            <w:tcW w:w="7654" w:type="dxa"/>
            <w:shd w:val="clear" w:color="auto" w:fill="auto"/>
          </w:tcPr>
          <w:p w14:paraId="5303FE67" w14:textId="4205C73D" w:rsidR="00371B3E" w:rsidRPr="00354828" w:rsidRDefault="00371B3E" w:rsidP="00354828">
            <w:pPr>
              <w:tabs>
                <w:tab w:val="left" w:pos="1494"/>
              </w:tabs>
              <w:spacing w:after="0" w:line="240" w:lineRule="auto"/>
              <w:jc w:val="both"/>
              <w:rPr>
                <w:rFonts w:cs="Times New Roman"/>
              </w:rPr>
            </w:pPr>
            <w:r>
              <w:t>Rīgas Stradiņa universitātes Sarkanā krusta medicīnas koledža</w:t>
            </w:r>
          </w:p>
        </w:tc>
      </w:tr>
      <w:tr w:rsidR="00371B3E" w:rsidRPr="00354828" w14:paraId="2EDF31CF" w14:textId="77777777" w:rsidTr="00C472A7">
        <w:trPr>
          <w:trHeight w:val="169"/>
        </w:trPr>
        <w:tc>
          <w:tcPr>
            <w:tcW w:w="1560" w:type="dxa"/>
            <w:shd w:val="clear" w:color="auto" w:fill="auto"/>
          </w:tcPr>
          <w:p w14:paraId="49856C87" w14:textId="4B76FC8C" w:rsidR="00371B3E" w:rsidRPr="00354828" w:rsidRDefault="00371B3E" w:rsidP="00354828">
            <w:pPr>
              <w:tabs>
                <w:tab w:val="left" w:pos="1494"/>
              </w:tabs>
              <w:spacing w:after="0" w:line="240" w:lineRule="auto"/>
              <w:jc w:val="both"/>
            </w:pPr>
            <w:r>
              <w:t>RTA</w:t>
            </w:r>
          </w:p>
        </w:tc>
        <w:tc>
          <w:tcPr>
            <w:tcW w:w="7654" w:type="dxa"/>
            <w:shd w:val="clear" w:color="auto" w:fill="auto"/>
          </w:tcPr>
          <w:p w14:paraId="1EA158FA" w14:textId="1A0AF190" w:rsidR="00371B3E" w:rsidRPr="00354828" w:rsidRDefault="00371B3E" w:rsidP="00354828">
            <w:pPr>
              <w:tabs>
                <w:tab w:val="left" w:pos="1494"/>
              </w:tabs>
              <w:spacing w:after="0" w:line="240" w:lineRule="auto"/>
              <w:jc w:val="both"/>
            </w:pPr>
            <w:r>
              <w:t>Rēzeknes Tehnoloģiju akadēmija</w:t>
            </w:r>
          </w:p>
        </w:tc>
      </w:tr>
      <w:tr w:rsidR="00371B3E" w:rsidRPr="00354828" w14:paraId="12AD210F" w14:textId="77777777" w:rsidTr="00C472A7">
        <w:trPr>
          <w:trHeight w:val="169"/>
        </w:trPr>
        <w:tc>
          <w:tcPr>
            <w:tcW w:w="1560" w:type="dxa"/>
            <w:shd w:val="clear" w:color="auto" w:fill="auto"/>
          </w:tcPr>
          <w:p w14:paraId="43869483" w14:textId="6331551B" w:rsidR="00371B3E" w:rsidRPr="00354828" w:rsidRDefault="00371B3E" w:rsidP="00354828">
            <w:pPr>
              <w:tabs>
                <w:tab w:val="left" w:pos="1494"/>
              </w:tabs>
              <w:spacing w:after="0" w:line="240" w:lineRule="auto"/>
              <w:jc w:val="both"/>
            </w:pPr>
            <w:r>
              <w:t>RTK</w:t>
            </w:r>
          </w:p>
        </w:tc>
        <w:tc>
          <w:tcPr>
            <w:tcW w:w="7654" w:type="dxa"/>
            <w:shd w:val="clear" w:color="auto" w:fill="auto"/>
          </w:tcPr>
          <w:p w14:paraId="1CFC35EA" w14:textId="2B089CE0" w:rsidR="00371B3E" w:rsidRPr="00354828" w:rsidRDefault="00371B3E" w:rsidP="00354828">
            <w:pPr>
              <w:tabs>
                <w:tab w:val="left" w:pos="1494"/>
              </w:tabs>
              <w:spacing w:after="0" w:line="240" w:lineRule="auto"/>
              <w:jc w:val="both"/>
            </w:pPr>
            <w:r>
              <w:t>Rīgas Tehniskā koledža</w:t>
            </w:r>
          </w:p>
        </w:tc>
      </w:tr>
      <w:tr w:rsidR="00371B3E" w:rsidRPr="00354828" w14:paraId="72BE81A3" w14:textId="77777777" w:rsidTr="00C472A7">
        <w:trPr>
          <w:trHeight w:val="169"/>
        </w:trPr>
        <w:tc>
          <w:tcPr>
            <w:tcW w:w="1560" w:type="dxa"/>
            <w:shd w:val="clear" w:color="auto" w:fill="auto"/>
          </w:tcPr>
          <w:p w14:paraId="16DA0821" w14:textId="64641173" w:rsidR="00371B3E" w:rsidRPr="00354828" w:rsidRDefault="00371B3E" w:rsidP="00354828">
            <w:pPr>
              <w:tabs>
                <w:tab w:val="left" w:pos="1494"/>
              </w:tabs>
              <w:spacing w:after="0" w:line="240" w:lineRule="auto"/>
              <w:jc w:val="both"/>
            </w:pPr>
            <w:r>
              <w:t>RTU</w:t>
            </w:r>
          </w:p>
        </w:tc>
        <w:tc>
          <w:tcPr>
            <w:tcW w:w="7654" w:type="dxa"/>
            <w:shd w:val="clear" w:color="auto" w:fill="auto"/>
          </w:tcPr>
          <w:p w14:paraId="45769EFF" w14:textId="4F8AAAD8" w:rsidR="00371B3E" w:rsidRPr="00354828" w:rsidRDefault="00371B3E" w:rsidP="00354828">
            <w:pPr>
              <w:tabs>
                <w:tab w:val="left" w:pos="1494"/>
              </w:tabs>
              <w:spacing w:after="0" w:line="240" w:lineRule="auto"/>
              <w:jc w:val="both"/>
            </w:pPr>
            <w:r>
              <w:t>Rīgas Tehniskā universitāte</w:t>
            </w:r>
          </w:p>
        </w:tc>
      </w:tr>
      <w:tr w:rsidR="00371B3E" w:rsidRPr="00354828" w14:paraId="2A706A11" w14:textId="77777777" w:rsidTr="00C472A7">
        <w:trPr>
          <w:trHeight w:val="169"/>
        </w:trPr>
        <w:tc>
          <w:tcPr>
            <w:tcW w:w="1560" w:type="dxa"/>
            <w:shd w:val="clear" w:color="auto" w:fill="auto"/>
          </w:tcPr>
          <w:p w14:paraId="118044BA" w14:textId="5B346EFD" w:rsidR="00371B3E" w:rsidRDefault="00371B3E" w:rsidP="00354828">
            <w:pPr>
              <w:tabs>
                <w:tab w:val="left" w:pos="1494"/>
              </w:tabs>
              <w:spacing w:after="0" w:line="240" w:lineRule="auto"/>
              <w:jc w:val="both"/>
            </w:pPr>
            <w:r>
              <w:t>RTU OTK</w:t>
            </w:r>
          </w:p>
        </w:tc>
        <w:tc>
          <w:tcPr>
            <w:tcW w:w="7654" w:type="dxa"/>
            <w:shd w:val="clear" w:color="auto" w:fill="auto"/>
          </w:tcPr>
          <w:p w14:paraId="00D94673" w14:textId="6C0068FC" w:rsidR="00371B3E" w:rsidRDefault="00371B3E" w:rsidP="00354828">
            <w:pPr>
              <w:tabs>
                <w:tab w:val="left" w:pos="1494"/>
              </w:tabs>
              <w:spacing w:after="0" w:line="240" w:lineRule="auto"/>
              <w:jc w:val="both"/>
            </w:pPr>
            <w:r>
              <w:t>Rīgas Tehniskās universitātes Olaines Tehnoloģiju koledža</w:t>
            </w:r>
          </w:p>
        </w:tc>
      </w:tr>
      <w:tr w:rsidR="00371B3E" w:rsidRPr="00354828" w14:paraId="49FD490B" w14:textId="77777777" w:rsidTr="00C472A7">
        <w:trPr>
          <w:trHeight w:val="274"/>
        </w:trPr>
        <w:tc>
          <w:tcPr>
            <w:tcW w:w="1560" w:type="dxa"/>
            <w:shd w:val="clear" w:color="auto" w:fill="auto"/>
          </w:tcPr>
          <w:p w14:paraId="68DC8224" w14:textId="13B39675" w:rsidR="00371B3E" w:rsidRDefault="00371B3E" w:rsidP="00354828">
            <w:pPr>
              <w:tabs>
                <w:tab w:val="left" w:pos="1494"/>
              </w:tabs>
              <w:spacing w:after="0" w:line="240" w:lineRule="auto"/>
              <w:jc w:val="both"/>
            </w:pPr>
            <w:r w:rsidRPr="00354828">
              <w:t>SIF</w:t>
            </w:r>
          </w:p>
        </w:tc>
        <w:tc>
          <w:tcPr>
            <w:tcW w:w="7654" w:type="dxa"/>
            <w:shd w:val="clear" w:color="auto" w:fill="auto"/>
          </w:tcPr>
          <w:p w14:paraId="6E79995C" w14:textId="6CA2A1D7" w:rsidR="00371B3E" w:rsidRDefault="00371B3E" w:rsidP="00354828">
            <w:pPr>
              <w:spacing w:after="0" w:line="240" w:lineRule="auto"/>
            </w:pPr>
            <w:r w:rsidRPr="00354828">
              <w:t>Sabiedrības integrācijas fonds</w:t>
            </w:r>
          </w:p>
        </w:tc>
      </w:tr>
      <w:tr w:rsidR="00371B3E" w:rsidRPr="00354828" w14:paraId="70594437" w14:textId="77777777" w:rsidTr="00C472A7">
        <w:trPr>
          <w:trHeight w:val="274"/>
        </w:trPr>
        <w:tc>
          <w:tcPr>
            <w:tcW w:w="1560" w:type="dxa"/>
            <w:shd w:val="clear" w:color="auto" w:fill="auto"/>
          </w:tcPr>
          <w:p w14:paraId="14E8171F" w14:textId="2AE23AC7" w:rsidR="00371B3E" w:rsidRDefault="00371B3E" w:rsidP="00354828">
            <w:pPr>
              <w:tabs>
                <w:tab w:val="left" w:pos="1494"/>
              </w:tabs>
              <w:spacing w:after="0" w:line="240" w:lineRule="auto"/>
              <w:jc w:val="both"/>
            </w:pPr>
            <w:r>
              <w:t>SIVA</w:t>
            </w:r>
          </w:p>
        </w:tc>
        <w:tc>
          <w:tcPr>
            <w:tcW w:w="7654" w:type="dxa"/>
            <w:shd w:val="clear" w:color="auto" w:fill="auto"/>
          </w:tcPr>
          <w:p w14:paraId="26CBB7DC" w14:textId="430AECDD" w:rsidR="00371B3E" w:rsidRDefault="00371B3E" w:rsidP="00354828">
            <w:pPr>
              <w:spacing w:after="0" w:line="240" w:lineRule="auto"/>
            </w:pPr>
            <w:r>
              <w:t>Sociālās integrācijas valsts aģentūra</w:t>
            </w:r>
          </w:p>
        </w:tc>
      </w:tr>
      <w:tr w:rsidR="00371B3E" w:rsidRPr="00354828" w14:paraId="3CA15C4B" w14:textId="77777777" w:rsidTr="00C472A7">
        <w:trPr>
          <w:trHeight w:val="274"/>
        </w:trPr>
        <w:tc>
          <w:tcPr>
            <w:tcW w:w="1560" w:type="dxa"/>
            <w:shd w:val="clear" w:color="auto" w:fill="auto"/>
          </w:tcPr>
          <w:p w14:paraId="2B9AF542" w14:textId="1510A50D" w:rsidR="00371B3E" w:rsidRDefault="00371B3E" w:rsidP="00354828">
            <w:pPr>
              <w:tabs>
                <w:tab w:val="left" w:pos="1494"/>
              </w:tabs>
              <w:spacing w:after="0" w:line="240" w:lineRule="auto"/>
              <w:jc w:val="both"/>
            </w:pPr>
            <w:r w:rsidRPr="00354828">
              <w:t>SM</w:t>
            </w:r>
          </w:p>
        </w:tc>
        <w:tc>
          <w:tcPr>
            <w:tcW w:w="7654" w:type="dxa"/>
            <w:shd w:val="clear" w:color="auto" w:fill="auto"/>
          </w:tcPr>
          <w:p w14:paraId="72BFA171" w14:textId="0B85AA59" w:rsidR="00371B3E" w:rsidRDefault="00371B3E" w:rsidP="00354828">
            <w:pPr>
              <w:spacing w:after="0" w:line="240" w:lineRule="auto"/>
            </w:pPr>
            <w:r w:rsidRPr="00354828">
              <w:t>Satiksmes ministrija</w:t>
            </w:r>
          </w:p>
        </w:tc>
      </w:tr>
      <w:tr w:rsidR="00371B3E" w:rsidRPr="00354828" w14:paraId="05883977" w14:textId="77777777" w:rsidTr="00C472A7">
        <w:trPr>
          <w:trHeight w:val="274"/>
        </w:trPr>
        <w:tc>
          <w:tcPr>
            <w:tcW w:w="1560" w:type="dxa"/>
            <w:shd w:val="clear" w:color="auto" w:fill="auto"/>
          </w:tcPr>
          <w:p w14:paraId="155E86FC" w14:textId="631DA257" w:rsidR="00371B3E" w:rsidRPr="00354828" w:rsidRDefault="00371B3E" w:rsidP="00354828">
            <w:pPr>
              <w:tabs>
                <w:tab w:val="left" w:pos="1494"/>
              </w:tabs>
              <w:spacing w:after="0" w:line="240" w:lineRule="auto"/>
              <w:jc w:val="both"/>
            </w:pPr>
            <w:r w:rsidRPr="00354828">
              <w:t>SPRK</w:t>
            </w:r>
          </w:p>
        </w:tc>
        <w:tc>
          <w:tcPr>
            <w:tcW w:w="7654" w:type="dxa"/>
            <w:shd w:val="clear" w:color="auto" w:fill="auto"/>
          </w:tcPr>
          <w:p w14:paraId="666D2DF0" w14:textId="607F3D42" w:rsidR="00371B3E" w:rsidRPr="00354828" w:rsidRDefault="00371B3E" w:rsidP="00354828">
            <w:pPr>
              <w:spacing w:after="0" w:line="240" w:lineRule="auto"/>
            </w:pPr>
            <w:r w:rsidRPr="00354828">
              <w:t>Sabiedrisko pakalpojumu regulēšanas komisija</w:t>
            </w:r>
          </w:p>
        </w:tc>
      </w:tr>
      <w:tr w:rsidR="00C73A5F" w:rsidRPr="00354828" w14:paraId="71D90F81" w14:textId="77777777" w:rsidTr="00C472A7">
        <w:trPr>
          <w:trHeight w:val="269"/>
        </w:trPr>
        <w:tc>
          <w:tcPr>
            <w:tcW w:w="1560" w:type="dxa"/>
            <w:shd w:val="clear" w:color="auto" w:fill="auto"/>
          </w:tcPr>
          <w:p w14:paraId="55A0D2CE" w14:textId="77777777" w:rsidR="00C73A5F" w:rsidRPr="00354828" w:rsidRDefault="00C73A5F" w:rsidP="00354828">
            <w:pPr>
              <w:tabs>
                <w:tab w:val="left" w:pos="1494"/>
              </w:tabs>
              <w:spacing w:after="0" w:line="240" w:lineRule="auto"/>
              <w:jc w:val="both"/>
            </w:pPr>
            <w:r w:rsidRPr="00354828">
              <w:t>SZA</w:t>
            </w:r>
          </w:p>
          <w:p w14:paraId="56114593" w14:textId="15C405E6" w:rsidR="00C73A5F" w:rsidRPr="00354828" w:rsidRDefault="00C73A5F" w:rsidP="00354828">
            <w:pPr>
              <w:tabs>
                <w:tab w:val="left" w:pos="1494"/>
              </w:tabs>
              <w:spacing w:after="0" w:line="240" w:lineRule="auto"/>
              <w:jc w:val="both"/>
            </w:pPr>
            <w:r w:rsidRPr="00354828">
              <w:t>TB</w:t>
            </w:r>
          </w:p>
        </w:tc>
        <w:tc>
          <w:tcPr>
            <w:tcW w:w="7654" w:type="dxa"/>
            <w:shd w:val="clear" w:color="auto" w:fill="auto"/>
          </w:tcPr>
          <w:p w14:paraId="1C2312F6" w14:textId="77777777" w:rsidR="00C73A5F" w:rsidRPr="00354828" w:rsidRDefault="00C73A5F" w:rsidP="00354828">
            <w:pPr>
              <w:tabs>
                <w:tab w:val="left" w:pos="1494"/>
              </w:tabs>
              <w:spacing w:after="0" w:line="240" w:lineRule="auto"/>
              <w:jc w:val="both"/>
            </w:pPr>
            <w:r w:rsidRPr="00354828">
              <w:rPr>
                <w:rFonts w:cs="Times New Roman"/>
              </w:rPr>
              <w:t>Studiju un zinātnes administrācija</w:t>
            </w:r>
          </w:p>
          <w:p w14:paraId="6FA6ECD8" w14:textId="089B2902" w:rsidR="00C73A5F" w:rsidRPr="00354828" w:rsidRDefault="00C73A5F" w:rsidP="00354828">
            <w:pPr>
              <w:tabs>
                <w:tab w:val="left" w:pos="1494"/>
              </w:tabs>
              <w:spacing w:after="0" w:line="240" w:lineRule="auto"/>
              <w:jc w:val="both"/>
            </w:pPr>
            <w:r w:rsidRPr="00354828">
              <w:t>Tiesībsarga birojs</w:t>
            </w:r>
          </w:p>
        </w:tc>
      </w:tr>
      <w:tr w:rsidR="00C73A5F" w:rsidRPr="00354828" w14:paraId="292A2667" w14:textId="77777777" w:rsidTr="00C472A7">
        <w:trPr>
          <w:trHeight w:val="269"/>
        </w:trPr>
        <w:tc>
          <w:tcPr>
            <w:tcW w:w="1560" w:type="dxa"/>
            <w:shd w:val="clear" w:color="auto" w:fill="auto"/>
          </w:tcPr>
          <w:p w14:paraId="2F34BD94" w14:textId="439245CE" w:rsidR="00C73A5F" w:rsidRPr="00354828" w:rsidRDefault="00C73A5F" w:rsidP="00354828">
            <w:pPr>
              <w:tabs>
                <w:tab w:val="left" w:pos="1494"/>
              </w:tabs>
              <w:spacing w:after="0" w:line="240" w:lineRule="auto"/>
              <w:jc w:val="both"/>
            </w:pPr>
            <w:r w:rsidRPr="00354828">
              <w:t>TM</w:t>
            </w:r>
          </w:p>
        </w:tc>
        <w:tc>
          <w:tcPr>
            <w:tcW w:w="7654" w:type="dxa"/>
            <w:shd w:val="clear" w:color="auto" w:fill="auto"/>
          </w:tcPr>
          <w:p w14:paraId="15599808" w14:textId="7A8121C7" w:rsidR="00C73A5F" w:rsidRPr="00354828" w:rsidRDefault="00C73A5F" w:rsidP="00354828">
            <w:pPr>
              <w:tabs>
                <w:tab w:val="left" w:pos="1494"/>
              </w:tabs>
              <w:spacing w:after="0" w:line="240" w:lineRule="auto"/>
              <w:jc w:val="both"/>
            </w:pPr>
            <w:r w:rsidRPr="00354828">
              <w:t>Tieslietu ministrija</w:t>
            </w:r>
          </w:p>
        </w:tc>
      </w:tr>
      <w:tr w:rsidR="00C73A5F" w:rsidRPr="00354828" w14:paraId="3306E498" w14:textId="77777777" w:rsidTr="00C472A7">
        <w:trPr>
          <w:trHeight w:val="284"/>
        </w:trPr>
        <w:tc>
          <w:tcPr>
            <w:tcW w:w="1560" w:type="dxa"/>
            <w:shd w:val="clear" w:color="auto" w:fill="auto"/>
          </w:tcPr>
          <w:p w14:paraId="6CE1041E" w14:textId="7952049A" w:rsidR="00C73A5F" w:rsidRPr="00354828" w:rsidRDefault="00C73A5F" w:rsidP="00354828">
            <w:pPr>
              <w:tabs>
                <w:tab w:val="left" w:pos="1494"/>
              </w:tabs>
              <w:spacing w:after="0" w:line="240" w:lineRule="auto"/>
              <w:jc w:val="both"/>
            </w:pPr>
            <w:r>
              <w:t>UCAK</w:t>
            </w:r>
          </w:p>
        </w:tc>
        <w:tc>
          <w:tcPr>
            <w:tcW w:w="7654" w:type="dxa"/>
            <w:shd w:val="clear" w:color="auto" w:fill="auto"/>
          </w:tcPr>
          <w:p w14:paraId="206A8F44" w14:textId="1E30F81A" w:rsidR="00C73A5F" w:rsidRPr="00354828" w:rsidRDefault="00C73A5F" w:rsidP="00354828">
            <w:pPr>
              <w:tabs>
                <w:tab w:val="left" w:pos="1494"/>
              </w:tabs>
              <w:spacing w:after="0" w:line="240" w:lineRule="auto"/>
              <w:jc w:val="both"/>
            </w:pPr>
            <w:r>
              <w:t>Ugunsdrošības un civilās aizsardzības koledža</w:t>
            </w:r>
          </w:p>
        </w:tc>
      </w:tr>
      <w:tr w:rsidR="00C73A5F" w:rsidRPr="00354828" w14:paraId="7EB173CA" w14:textId="77777777" w:rsidTr="00C472A7">
        <w:trPr>
          <w:trHeight w:val="284"/>
        </w:trPr>
        <w:tc>
          <w:tcPr>
            <w:tcW w:w="1560" w:type="dxa"/>
            <w:shd w:val="clear" w:color="auto" w:fill="auto"/>
          </w:tcPr>
          <w:p w14:paraId="2A7C5A3C" w14:textId="4B12B6BE" w:rsidR="00C73A5F" w:rsidRPr="00354828" w:rsidRDefault="00C73A5F" w:rsidP="00354828">
            <w:pPr>
              <w:tabs>
                <w:tab w:val="left" w:pos="1494"/>
              </w:tabs>
              <w:spacing w:after="0" w:line="240" w:lineRule="auto"/>
              <w:jc w:val="both"/>
            </w:pPr>
            <w:r w:rsidRPr="00354828">
              <w:t>VARAM</w:t>
            </w:r>
          </w:p>
        </w:tc>
        <w:tc>
          <w:tcPr>
            <w:tcW w:w="7654" w:type="dxa"/>
            <w:shd w:val="clear" w:color="auto" w:fill="auto"/>
          </w:tcPr>
          <w:p w14:paraId="7F9E806B" w14:textId="26380DCC" w:rsidR="00C73A5F" w:rsidRPr="00354828" w:rsidRDefault="00C73A5F" w:rsidP="00354828">
            <w:pPr>
              <w:tabs>
                <w:tab w:val="left" w:pos="1494"/>
              </w:tabs>
              <w:spacing w:after="0" w:line="240" w:lineRule="auto"/>
              <w:jc w:val="both"/>
            </w:pPr>
            <w:r w:rsidRPr="00354828">
              <w:t>Vides aizsardzības un reģionālās attīstības ministrija</w:t>
            </w:r>
          </w:p>
        </w:tc>
      </w:tr>
      <w:tr w:rsidR="00C73A5F" w:rsidRPr="00354828" w14:paraId="27051139" w14:textId="77777777" w:rsidTr="00C472A7">
        <w:trPr>
          <w:trHeight w:val="207"/>
        </w:trPr>
        <w:tc>
          <w:tcPr>
            <w:tcW w:w="1560" w:type="dxa"/>
            <w:shd w:val="clear" w:color="auto" w:fill="auto"/>
          </w:tcPr>
          <w:p w14:paraId="78B41460" w14:textId="7F7A9238" w:rsidR="00C73A5F" w:rsidRPr="00354828" w:rsidRDefault="00C73A5F" w:rsidP="00354828">
            <w:pPr>
              <w:tabs>
                <w:tab w:val="left" w:pos="1494"/>
              </w:tabs>
              <w:spacing w:after="0" w:line="240" w:lineRule="auto"/>
              <w:jc w:val="both"/>
              <w:rPr>
                <w:rFonts w:cs="Times New Roman"/>
              </w:rPr>
            </w:pPr>
            <w:r>
              <w:t>VeA</w:t>
            </w:r>
          </w:p>
        </w:tc>
        <w:tc>
          <w:tcPr>
            <w:tcW w:w="7654" w:type="dxa"/>
            <w:shd w:val="clear" w:color="auto" w:fill="auto"/>
          </w:tcPr>
          <w:p w14:paraId="2F7E9ACA" w14:textId="1EA3C69E" w:rsidR="00C73A5F" w:rsidRPr="00354828" w:rsidRDefault="00C73A5F" w:rsidP="00354828">
            <w:pPr>
              <w:tabs>
                <w:tab w:val="left" w:pos="1494"/>
              </w:tabs>
              <w:spacing w:after="0" w:line="240" w:lineRule="auto"/>
              <w:jc w:val="both"/>
            </w:pPr>
            <w:r>
              <w:t>Ventspils Augstskola</w:t>
            </w:r>
          </w:p>
        </w:tc>
      </w:tr>
      <w:tr w:rsidR="00C73A5F" w:rsidRPr="00354828" w14:paraId="6CB619B6" w14:textId="77777777" w:rsidTr="00C472A7">
        <w:trPr>
          <w:trHeight w:val="207"/>
        </w:trPr>
        <w:tc>
          <w:tcPr>
            <w:tcW w:w="1560" w:type="dxa"/>
            <w:shd w:val="clear" w:color="auto" w:fill="auto"/>
          </w:tcPr>
          <w:p w14:paraId="08728962" w14:textId="0F2D5BC4" w:rsidR="00C73A5F" w:rsidRPr="00354828" w:rsidRDefault="00C73A5F" w:rsidP="00354828">
            <w:pPr>
              <w:tabs>
                <w:tab w:val="left" w:pos="1494"/>
              </w:tabs>
              <w:spacing w:after="0" w:line="240" w:lineRule="auto"/>
              <w:jc w:val="both"/>
              <w:rPr>
                <w:rFonts w:cs="Times New Roman"/>
              </w:rPr>
            </w:pPr>
            <w:r>
              <w:t>ViA</w:t>
            </w:r>
          </w:p>
        </w:tc>
        <w:tc>
          <w:tcPr>
            <w:tcW w:w="7654" w:type="dxa"/>
            <w:shd w:val="clear" w:color="auto" w:fill="auto"/>
          </w:tcPr>
          <w:p w14:paraId="2D0D27A1" w14:textId="054E31B9" w:rsidR="00C73A5F" w:rsidRPr="00354828" w:rsidRDefault="00C73A5F" w:rsidP="00354828">
            <w:pPr>
              <w:tabs>
                <w:tab w:val="left" w:pos="1494"/>
              </w:tabs>
              <w:spacing w:after="0" w:line="240" w:lineRule="auto"/>
              <w:jc w:val="both"/>
            </w:pPr>
            <w:r>
              <w:t>Vidzemes Augstskola</w:t>
            </w:r>
          </w:p>
        </w:tc>
      </w:tr>
      <w:tr w:rsidR="00C73A5F" w:rsidRPr="00354828" w14:paraId="77EFE6AE" w14:textId="77777777" w:rsidTr="00C472A7">
        <w:trPr>
          <w:trHeight w:val="269"/>
        </w:trPr>
        <w:tc>
          <w:tcPr>
            <w:tcW w:w="1560" w:type="dxa"/>
            <w:shd w:val="clear" w:color="auto" w:fill="auto"/>
          </w:tcPr>
          <w:p w14:paraId="21054D3C" w14:textId="69E8FD58" w:rsidR="00C73A5F" w:rsidRPr="00354828" w:rsidRDefault="00C73A5F" w:rsidP="00354828">
            <w:pPr>
              <w:tabs>
                <w:tab w:val="left" w:pos="1494"/>
              </w:tabs>
              <w:spacing w:after="0" w:line="240" w:lineRule="auto"/>
              <w:jc w:val="both"/>
            </w:pPr>
            <w:r>
              <w:t>VID</w:t>
            </w:r>
          </w:p>
        </w:tc>
        <w:tc>
          <w:tcPr>
            <w:tcW w:w="7654" w:type="dxa"/>
            <w:shd w:val="clear" w:color="auto" w:fill="auto"/>
          </w:tcPr>
          <w:p w14:paraId="6370C2D9" w14:textId="3F979665" w:rsidR="00C73A5F" w:rsidRPr="00354828" w:rsidRDefault="00C73A5F" w:rsidP="00354828">
            <w:pPr>
              <w:tabs>
                <w:tab w:val="left" w:pos="1494"/>
              </w:tabs>
              <w:spacing w:after="0" w:line="240" w:lineRule="auto"/>
              <w:jc w:val="both"/>
            </w:pPr>
            <w:r>
              <w:t>Valsts ieņēmumu dienests</w:t>
            </w:r>
          </w:p>
        </w:tc>
      </w:tr>
      <w:tr w:rsidR="00C73A5F" w:rsidRPr="00354828" w14:paraId="1DA84CC0" w14:textId="77777777" w:rsidTr="00C472A7">
        <w:trPr>
          <w:trHeight w:val="269"/>
        </w:trPr>
        <w:tc>
          <w:tcPr>
            <w:tcW w:w="1560" w:type="dxa"/>
            <w:shd w:val="clear" w:color="auto" w:fill="auto"/>
          </w:tcPr>
          <w:p w14:paraId="497197F9" w14:textId="5F1D1211" w:rsidR="00C73A5F" w:rsidRPr="00354828" w:rsidRDefault="00C73A5F" w:rsidP="00354828">
            <w:pPr>
              <w:tabs>
                <w:tab w:val="left" w:pos="1494"/>
              </w:tabs>
              <w:spacing w:after="0" w:line="240" w:lineRule="auto"/>
              <w:jc w:val="both"/>
            </w:pPr>
            <w:r w:rsidRPr="00354828">
              <w:t>VK</w:t>
            </w:r>
          </w:p>
        </w:tc>
        <w:tc>
          <w:tcPr>
            <w:tcW w:w="7654" w:type="dxa"/>
            <w:shd w:val="clear" w:color="auto" w:fill="auto"/>
          </w:tcPr>
          <w:p w14:paraId="25E0018D" w14:textId="4C08EE10" w:rsidR="00C73A5F" w:rsidRPr="00354828" w:rsidRDefault="00C73A5F" w:rsidP="00354828">
            <w:pPr>
              <w:tabs>
                <w:tab w:val="left" w:pos="1494"/>
              </w:tabs>
              <w:spacing w:after="0" w:line="240" w:lineRule="auto"/>
              <w:jc w:val="both"/>
            </w:pPr>
            <w:r w:rsidRPr="00354828">
              <w:t>Valsts kanceleja</w:t>
            </w:r>
          </w:p>
        </w:tc>
      </w:tr>
      <w:tr w:rsidR="00C73A5F" w:rsidRPr="00354828" w14:paraId="5270254B" w14:textId="77777777" w:rsidTr="00C472A7">
        <w:trPr>
          <w:trHeight w:val="284"/>
        </w:trPr>
        <w:tc>
          <w:tcPr>
            <w:tcW w:w="1560" w:type="dxa"/>
            <w:shd w:val="clear" w:color="auto" w:fill="auto"/>
          </w:tcPr>
          <w:p w14:paraId="5C952303" w14:textId="10919008" w:rsidR="00C73A5F" w:rsidRPr="00354828" w:rsidRDefault="00C73A5F" w:rsidP="00354828">
            <w:pPr>
              <w:tabs>
                <w:tab w:val="left" w:pos="1494"/>
              </w:tabs>
              <w:spacing w:after="0" w:line="240" w:lineRule="auto"/>
              <w:jc w:val="both"/>
            </w:pPr>
            <w:r w:rsidRPr="00354828">
              <w:t>VKo</w:t>
            </w:r>
          </w:p>
        </w:tc>
        <w:tc>
          <w:tcPr>
            <w:tcW w:w="7654" w:type="dxa"/>
            <w:shd w:val="clear" w:color="auto" w:fill="auto"/>
          </w:tcPr>
          <w:p w14:paraId="606D0BF2" w14:textId="6A5BCE75" w:rsidR="00C73A5F" w:rsidRPr="00354828" w:rsidRDefault="00C73A5F" w:rsidP="00354828">
            <w:pPr>
              <w:tabs>
                <w:tab w:val="left" w:pos="1494"/>
              </w:tabs>
              <w:spacing w:after="0" w:line="240" w:lineRule="auto"/>
              <w:jc w:val="both"/>
            </w:pPr>
            <w:r w:rsidRPr="00354828">
              <w:t>Valsts kontrole</w:t>
            </w:r>
          </w:p>
        </w:tc>
      </w:tr>
      <w:tr w:rsidR="00C73A5F" w:rsidRPr="00354828" w14:paraId="3FE34A7C" w14:textId="77777777" w:rsidTr="00C472A7">
        <w:trPr>
          <w:trHeight w:val="269"/>
        </w:trPr>
        <w:tc>
          <w:tcPr>
            <w:tcW w:w="1560" w:type="dxa"/>
            <w:shd w:val="clear" w:color="auto" w:fill="auto"/>
          </w:tcPr>
          <w:p w14:paraId="33539B0B" w14:textId="78BC95DF" w:rsidR="00C73A5F" w:rsidRPr="00354828" w:rsidRDefault="00C73A5F" w:rsidP="00354828">
            <w:pPr>
              <w:tabs>
                <w:tab w:val="left" w:pos="1494"/>
              </w:tabs>
              <w:spacing w:after="0" w:line="240" w:lineRule="auto"/>
              <w:jc w:val="both"/>
            </w:pPr>
            <w:r w:rsidRPr="00354828">
              <w:t>VM</w:t>
            </w:r>
          </w:p>
        </w:tc>
        <w:tc>
          <w:tcPr>
            <w:tcW w:w="7654" w:type="dxa"/>
            <w:shd w:val="clear" w:color="auto" w:fill="auto"/>
          </w:tcPr>
          <w:p w14:paraId="296FC4F2" w14:textId="0E2B3FA6" w:rsidR="00C73A5F" w:rsidRPr="00354828" w:rsidRDefault="00C73A5F" w:rsidP="00354828">
            <w:pPr>
              <w:tabs>
                <w:tab w:val="left" w:pos="1494"/>
              </w:tabs>
              <w:spacing w:after="0" w:line="240" w:lineRule="auto"/>
              <w:jc w:val="both"/>
            </w:pPr>
            <w:r w:rsidRPr="00354828">
              <w:t>Veselības ministrija</w:t>
            </w:r>
          </w:p>
        </w:tc>
      </w:tr>
      <w:tr w:rsidR="00C73A5F" w:rsidRPr="00354828" w14:paraId="164706C2" w14:textId="77777777" w:rsidTr="00C472A7">
        <w:trPr>
          <w:trHeight w:val="80"/>
        </w:trPr>
        <w:tc>
          <w:tcPr>
            <w:tcW w:w="1560" w:type="dxa"/>
            <w:shd w:val="clear" w:color="auto" w:fill="auto"/>
          </w:tcPr>
          <w:p w14:paraId="4DFC1B04" w14:textId="1876FB36" w:rsidR="00C73A5F" w:rsidRPr="00354828" w:rsidRDefault="00C73A5F" w:rsidP="00354828">
            <w:pPr>
              <w:tabs>
                <w:tab w:val="left" w:pos="1494"/>
              </w:tabs>
              <w:spacing w:after="0" w:line="240" w:lineRule="auto"/>
              <w:jc w:val="both"/>
            </w:pPr>
            <w:r>
              <w:t>VNĪ</w:t>
            </w:r>
          </w:p>
        </w:tc>
        <w:tc>
          <w:tcPr>
            <w:tcW w:w="7654" w:type="dxa"/>
            <w:shd w:val="clear" w:color="auto" w:fill="auto"/>
          </w:tcPr>
          <w:p w14:paraId="6C7D1978" w14:textId="5D570FE7" w:rsidR="00C73A5F" w:rsidRPr="00354828" w:rsidRDefault="00C73A5F" w:rsidP="00354828">
            <w:pPr>
              <w:tabs>
                <w:tab w:val="left" w:pos="1494"/>
              </w:tabs>
              <w:spacing w:after="0" w:line="240" w:lineRule="auto"/>
              <w:jc w:val="both"/>
            </w:pPr>
            <w:r>
              <w:t>Valsts akciju sabiedrība</w:t>
            </w:r>
            <w:r w:rsidRPr="00EB7759">
              <w:t xml:space="preserve"> "Valsts nekustamie īpašumi"</w:t>
            </w:r>
          </w:p>
        </w:tc>
      </w:tr>
      <w:tr w:rsidR="00C73A5F" w:rsidRPr="00354828" w14:paraId="67285E4D" w14:textId="77777777" w:rsidTr="00C472A7">
        <w:trPr>
          <w:trHeight w:val="80"/>
        </w:trPr>
        <w:tc>
          <w:tcPr>
            <w:tcW w:w="1560" w:type="dxa"/>
            <w:shd w:val="clear" w:color="auto" w:fill="auto"/>
          </w:tcPr>
          <w:p w14:paraId="3DDB0530" w14:textId="47B3A3D2" w:rsidR="00C73A5F" w:rsidRPr="00354828" w:rsidRDefault="00C73A5F" w:rsidP="00354828">
            <w:pPr>
              <w:tabs>
                <w:tab w:val="left" w:pos="1494"/>
              </w:tabs>
              <w:spacing w:after="0" w:line="240" w:lineRule="auto"/>
              <w:jc w:val="both"/>
            </w:pPr>
            <w:r>
              <w:rPr>
                <w:lang w:eastAsia="lv-LV"/>
              </w:rPr>
              <w:t>VP</w:t>
            </w:r>
          </w:p>
        </w:tc>
        <w:tc>
          <w:tcPr>
            <w:tcW w:w="7654" w:type="dxa"/>
            <w:shd w:val="clear" w:color="auto" w:fill="auto"/>
          </w:tcPr>
          <w:p w14:paraId="1662CB92" w14:textId="170A050B" w:rsidR="00C73A5F" w:rsidRPr="00354828" w:rsidRDefault="00C73A5F" w:rsidP="00354828">
            <w:pPr>
              <w:tabs>
                <w:tab w:val="left" w:pos="1494"/>
              </w:tabs>
              <w:spacing w:after="0" w:line="240" w:lineRule="auto"/>
              <w:jc w:val="both"/>
            </w:pPr>
            <w:r>
              <w:rPr>
                <w:bCs/>
              </w:rPr>
              <w:t>Valsts policija</w:t>
            </w:r>
          </w:p>
        </w:tc>
      </w:tr>
      <w:tr w:rsidR="006C6102" w:rsidRPr="00354828" w14:paraId="6F180253" w14:textId="77777777" w:rsidTr="00C472A7">
        <w:trPr>
          <w:trHeight w:val="80"/>
        </w:trPr>
        <w:tc>
          <w:tcPr>
            <w:tcW w:w="1560" w:type="dxa"/>
            <w:shd w:val="clear" w:color="auto" w:fill="auto"/>
          </w:tcPr>
          <w:p w14:paraId="7C807456" w14:textId="078BC52E" w:rsidR="006C6102" w:rsidRDefault="006C6102" w:rsidP="00354828">
            <w:pPr>
              <w:tabs>
                <w:tab w:val="left" w:pos="1494"/>
              </w:tabs>
              <w:spacing w:after="0" w:line="240" w:lineRule="auto"/>
              <w:jc w:val="both"/>
              <w:rPr>
                <w:lang w:eastAsia="lv-LV"/>
              </w:rPr>
            </w:pPr>
            <w:r>
              <w:rPr>
                <w:lang w:eastAsia="lv-LV"/>
              </w:rPr>
              <w:t>VPKP</w:t>
            </w:r>
          </w:p>
        </w:tc>
        <w:tc>
          <w:tcPr>
            <w:tcW w:w="7654" w:type="dxa"/>
            <w:shd w:val="clear" w:color="auto" w:fill="auto"/>
          </w:tcPr>
          <w:p w14:paraId="66FC10A9" w14:textId="4A709C75" w:rsidR="006C6102" w:rsidRDefault="006C6102" w:rsidP="00354828">
            <w:pPr>
              <w:tabs>
                <w:tab w:val="left" w:pos="1494"/>
              </w:tabs>
              <w:spacing w:after="0" w:line="240" w:lineRule="auto"/>
              <w:jc w:val="both"/>
              <w:rPr>
                <w:bCs/>
              </w:rPr>
            </w:pPr>
            <w:r>
              <w:rPr>
                <w:bCs/>
              </w:rPr>
              <w:t>Valsts policijas kriminālistikas pārvalde</w:t>
            </w:r>
          </w:p>
        </w:tc>
      </w:tr>
      <w:tr w:rsidR="00C73A5F" w:rsidRPr="00354828" w14:paraId="3BEF1A61" w14:textId="77777777" w:rsidTr="00C472A7">
        <w:trPr>
          <w:trHeight w:val="80"/>
        </w:trPr>
        <w:tc>
          <w:tcPr>
            <w:tcW w:w="1560" w:type="dxa"/>
            <w:shd w:val="clear" w:color="auto" w:fill="auto"/>
          </w:tcPr>
          <w:p w14:paraId="12B6AE01" w14:textId="47FD76EC" w:rsidR="00C73A5F" w:rsidRPr="00354828" w:rsidRDefault="00C73A5F" w:rsidP="00354828">
            <w:pPr>
              <w:tabs>
                <w:tab w:val="left" w:pos="1494"/>
              </w:tabs>
              <w:spacing w:after="0" w:line="240" w:lineRule="auto"/>
              <w:jc w:val="both"/>
            </w:pPr>
            <w:r>
              <w:rPr>
                <w:lang w:eastAsia="lv-LV"/>
              </w:rPr>
              <w:t>VPolK</w:t>
            </w:r>
          </w:p>
        </w:tc>
        <w:tc>
          <w:tcPr>
            <w:tcW w:w="7654" w:type="dxa"/>
            <w:shd w:val="clear" w:color="auto" w:fill="auto"/>
          </w:tcPr>
          <w:p w14:paraId="053E23C6" w14:textId="544C75EF" w:rsidR="00C73A5F" w:rsidRPr="00354828" w:rsidRDefault="00C73A5F" w:rsidP="00354828">
            <w:pPr>
              <w:tabs>
                <w:tab w:val="left" w:pos="1494"/>
              </w:tabs>
              <w:spacing w:after="0" w:line="240" w:lineRule="auto"/>
              <w:jc w:val="both"/>
            </w:pPr>
            <w:r>
              <w:rPr>
                <w:bCs/>
              </w:rPr>
              <w:t>Valsts policijas koledža</w:t>
            </w:r>
          </w:p>
        </w:tc>
      </w:tr>
      <w:tr w:rsidR="00C73A5F" w:rsidRPr="00354828" w14:paraId="51DE8661" w14:textId="77777777" w:rsidTr="00C472A7">
        <w:trPr>
          <w:trHeight w:val="269"/>
        </w:trPr>
        <w:tc>
          <w:tcPr>
            <w:tcW w:w="1560" w:type="dxa"/>
            <w:shd w:val="clear" w:color="auto" w:fill="auto"/>
          </w:tcPr>
          <w:p w14:paraId="5ED3BE99" w14:textId="25A385F6" w:rsidR="00C73A5F" w:rsidRPr="00354828" w:rsidRDefault="00C73A5F" w:rsidP="00354828">
            <w:pPr>
              <w:tabs>
                <w:tab w:val="left" w:pos="1494"/>
              </w:tabs>
              <w:spacing w:after="0" w:line="240" w:lineRule="auto"/>
              <w:jc w:val="both"/>
            </w:pPr>
            <w:r w:rsidRPr="00354828">
              <w:rPr>
                <w:lang w:eastAsia="lv-LV"/>
              </w:rPr>
              <w:t>VRAA</w:t>
            </w:r>
          </w:p>
        </w:tc>
        <w:tc>
          <w:tcPr>
            <w:tcW w:w="7654" w:type="dxa"/>
            <w:shd w:val="clear" w:color="auto" w:fill="auto"/>
          </w:tcPr>
          <w:p w14:paraId="7C43D8BB" w14:textId="5D223F19" w:rsidR="00C73A5F" w:rsidRPr="00354828" w:rsidRDefault="00C73A5F" w:rsidP="00354828">
            <w:pPr>
              <w:tabs>
                <w:tab w:val="left" w:pos="1494"/>
              </w:tabs>
              <w:spacing w:after="0" w:line="240" w:lineRule="auto"/>
              <w:jc w:val="both"/>
            </w:pPr>
            <w:r w:rsidRPr="00354828">
              <w:rPr>
                <w:bCs/>
              </w:rPr>
              <w:t>Valsts reģionālās attīstības aģentūra</w:t>
            </w:r>
          </w:p>
        </w:tc>
      </w:tr>
      <w:tr w:rsidR="00C73A5F" w:rsidRPr="00354828" w14:paraId="35FAEA7B" w14:textId="77777777" w:rsidTr="00C472A7">
        <w:trPr>
          <w:trHeight w:val="269"/>
        </w:trPr>
        <w:tc>
          <w:tcPr>
            <w:tcW w:w="1560" w:type="dxa"/>
            <w:shd w:val="clear" w:color="auto" w:fill="auto"/>
          </w:tcPr>
          <w:p w14:paraId="60D6083C" w14:textId="5477ED01" w:rsidR="00C73A5F" w:rsidRPr="00354828" w:rsidRDefault="00C73A5F" w:rsidP="00354828">
            <w:pPr>
              <w:tabs>
                <w:tab w:val="left" w:pos="1494"/>
              </w:tabs>
              <w:spacing w:after="0" w:line="240" w:lineRule="auto"/>
              <w:jc w:val="both"/>
            </w:pPr>
            <w:r>
              <w:rPr>
                <w:lang w:eastAsia="lv-LV"/>
              </w:rPr>
              <w:t>VRK</w:t>
            </w:r>
          </w:p>
        </w:tc>
        <w:tc>
          <w:tcPr>
            <w:tcW w:w="7654" w:type="dxa"/>
            <w:shd w:val="clear" w:color="auto" w:fill="auto"/>
          </w:tcPr>
          <w:p w14:paraId="0E06CD34" w14:textId="0BAAB4AB" w:rsidR="00C73A5F" w:rsidRPr="00354828" w:rsidRDefault="00C73A5F" w:rsidP="00354828">
            <w:pPr>
              <w:tabs>
                <w:tab w:val="left" w:pos="1494"/>
              </w:tabs>
              <w:spacing w:after="0" w:line="240" w:lineRule="auto"/>
              <w:jc w:val="both"/>
            </w:pPr>
            <w:r>
              <w:rPr>
                <w:bCs/>
              </w:rPr>
              <w:t>Valsts robežsardzes koledža</w:t>
            </w:r>
          </w:p>
        </w:tc>
      </w:tr>
      <w:tr w:rsidR="00911783" w:rsidRPr="00354828" w14:paraId="339B6B8A" w14:textId="77777777" w:rsidTr="00C472A7">
        <w:trPr>
          <w:trHeight w:val="269"/>
        </w:trPr>
        <w:tc>
          <w:tcPr>
            <w:tcW w:w="1560" w:type="dxa"/>
            <w:shd w:val="clear" w:color="auto" w:fill="auto"/>
          </w:tcPr>
          <w:p w14:paraId="797A55BC" w14:textId="374891E8" w:rsidR="00911783" w:rsidRDefault="00911783" w:rsidP="00354828">
            <w:pPr>
              <w:tabs>
                <w:tab w:val="left" w:pos="1494"/>
              </w:tabs>
              <w:spacing w:after="0" w:line="240" w:lineRule="auto"/>
              <w:jc w:val="both"/>
              <w:rPr>
                <w:lang w:eastAsia="lv-LV"/>
              </w:rPr>
            </w:pPr>
            <w:r>
              <w:rPr>
                <w:lang w:eastAsia="lv-LV"/>
              </w:rPr>
              <w:t>VRP</w:t>
            </w:r>
          </w:p>
        </w:tc>
        <w:tc>
          <w:tcPr>
            <w:tcW w:w="7654" w:type="dxa"/>
            <w:shd w:val="clear" w:color="auto" w:fill="auto"/>
          </w:tcPr>
          <w:p w14:paraId="65381571" w14:textId="1120F501" w:rsidR="00911783" w:rsidRDefault="00911783" w:rsidP="00354828">
            <w:pPr>
              <w:tabs>
                <w:tab w:val="left" w:pos="1494"/>
              </w:tabs>
              <w:spacing w:after="0" w:line="240" w:lineRule="auto"/>
              <w:jc w:val="both"/>
              <w:rPr>
                <w:bCs/>
              </w:rPr>
            </w:pPr>
            <w:r>
              <w:rPr>
                <w:bCs/>
              </w:rPr>
              <w:t>Valdības rīcības plāns</w:t>
            </w:r>
          </w:p>
        </w:tc>
      </w:tr>
      <w:tr w:rsidR="00C73A5F" w:rsidRPr="00354828" w14:paraId="6DD17502" w14:textId="77777777" w:rsidTr="00C472A7">
        <w:trPr>
          <w:trHeight w:val="215"/>
        </w:trPr>
        <w:tc>
          <w:tcPr>
            <w:tcW w:w="1560" w:type="dxa"/>
            <w:shd w:val="clear" w:color="auto" w:fill="auto"/>
          </w:tcPr>
          <w:p w14:paraId="4E54067C" w14:textId="278ED4C0" w:rsidR="00C73A5F" w:rsidRPr="00354828" w:rsidRDefault="00C73A5F" w:rsidP="00354828">
            <w:pPr>
              <w:tabs>
                <w:tab w:val="left" w:pos="1494"/>
              </w:tabs>
              <w:spacing w:after="0" w:line="240" w:lineRule="auto"/>
              <w:jc w:val="both"/>
              <w:rPr>
                <w:lang w:eastAsia="lv-LV"/>
              </w:rPr>
            </w:pPr>
            <w:r w:rsidRPr="00354828">
              <w:t>VSS</w:t>
            </w:r>
          </w:p>
        </w:tc>
        <w:tc>
          <w:tcPr>
            <w:tcW w:w="7654" w:type="dxa"/>
            <w:shd w:val="clear" w:color="auto" w:fill="auto"/>
          </w:tcPr>
          <w:p w14:paraId="227140D8" w14:textId="53933464" w:rsidR="00C73A5F" w:rsidRPr="00755E6E" w:rsidRDefault="00C73A5F" w:rsidP="00354828">
            <w:pPr>
              <w:tabs>
                <w:tab w:val="left" w:pos="1494"/>
              </w:tabs>
              <w:spacing w:after="0" w:line="240" w:lineRule="auto"/>
              <w:jc w:val="both"/>
              <w:rPr>
                <w:bCs/>
              </w:rPr>
            </w:pPr>
            <w:r w:rsidRPr="00354828">
              <w:t>Valsts sekretāru sanāksme</w:t>
            </w:r>
          </w:p>
        </w:tc>
      </w:tr>
      <w:tr w:rsidR="00C73A5F" w:rsidRPr="00354828" w14:paraId="6D4743F6" w14:textId="77777777" w:rsidTr="00C472A7">
        <w:trPr>
          <w:trHeight w:val="269"/>
        </w:trPr>
        <w:tc>
          <w:tcPr>
            <w:tcW w:w="1560" w:type="dxa"/>
            <w:shd w:val="clear" w:color="auto" w:fill="auto"/>
          </w:tcPr>
          <w:p w14:paraId="1782C610" w14:textId="2DFD1485" w:rsidR="00C73A5F" w:rsidRPr="00354828" w:rsidRDefault="00C73A5F" w:rsidP="00354828">
            <w:pPr>
              <w:tabs>
                <w:tab w:val="left" w:pos="1494"/>
              </w:tabs>
              <w:spacing w:after="0" w:line="240" w:lineRule="auto"/>
              <w:jc w:val="both"/>
            </w:pPr>
            <w:r>
              <w:t>VSAA</w:t>
            </w:r>
          </w:p>
        </w:tc>
        <w:tc>
          <w:tcPr>
            <w:tcW w:w="7654" w:type="dxa"/>
            <w:shd w:val="clear" w:color="auto" w:fill="auto"/>
          </w:tcPr>
          <w:p w14:paraId="0EF522DD" w14:textId="2F5E57A8" w:rsidR="00C73A5F" w:rsidRPr="00354828" w:rsidRDefault="00C73A5F" w:rsidP="00354828">
            <w:pPr>
              <w:tabs>
                <w:tab w:val="left" w:pos="1494"/>
              </w:tabs>
              <w:spacing w:after="0" w:line="240" w:lineRule="auto"/>
              <w:jc w:val="both"/>
            </w:pPr>
            <w:r>
              <w:t>Valsts sociālās apdrošināšanas aģentūra</w:t>
            </w:r>
          </w:p>
        </w:tc>
      </w:tr>
      <w:tr w:rsidR="00C73A5F" w:rsidRPr="00354828" w14:paraId="71C67FC5" w14:textId="77777777" w:rsidTr="00C472A7">
        <w:trPr>
          <w:trHeight w:val="269"/>
        </w:trPr>
        <w:tc>
          <w:tcPr>
            <w:tcW w:w="1560" w:type="dxa"/>
            <w:shd w:val="clear" w:color="auto" w:fill="auto"/>
          </w:tcPr>
          <w:p w14:paraId="62071FBD" w14:textId="5DA87440" w:rsidR="00C73A5F" w:rsidRPr="00354828" w:rsidRDefault="00C73A5F" w:rsidP="00354828">
            <w:pPr>
              <w:tabs>
                <w:tab w:val="left" w:pos="1494"/>
              </w:tabs>
              <w:spacing w:after="0" w:line="240" w:lineRule="auto"/>
              <w:jc w:val="both"/>
            </w:pPr>
            <w:r w:rsidRPr="00354828">
              <w:t>VUGD</w:t>
            </w:r>
          </w:p>
        </w:tc>
        <w:tc>
          <w:tcPr>
            <w:tcW w:w="7654" w:type="dxa"/>
            <w:shd w:val="clear" w:color="auto" w:fill="auto"/>
          </w:tcPr>
          <w:p w14:paraId="46597ABD" w14:textId="3CA1C579" w:rsidR="00C73A5F" w:rsidRPr="00354828" w:rsidRDefault="00C73A5F" w:rsidP="00354828">
            <w:pPr>
              <w:tabs>
                <w:tab w:val="left" w:pos="1494"/>
              </w:tabs>
              <w:spacing w:after="0" w:line="240" w:lineRule="auto"/>
              <w:jc w:val="both"/>
            </w:pPr>
            <w:r w:rsidRPr="00354828">
              <w:t>Valsts ugunsdzēsības un glābšanas dienests</w:t>
            </w:r>
          </w:p>
        </w:tc>
      </w:tr>
      <w:tr w:rsidR="00C73A5F" w:rsidRPr="00354828" w14:paraId="1D75E76C" w14:textId="77777777" w:rsidTr="00C472A7">
        <w:trPr>
          <w:trHeight w:val="269"/>
        </w:trPr>
        <w:tc>
          <w:tcPr>
            <w:tcW w:w="1560" w:type="dxa"/>
            <w:shd w:val="clear" w:color="auto" w:fill="auto"/>
          </w:tcPr>
          <w:p w14:paraId="6720A3F9" w14:textId="11DB8E87" w:rsidR="00C73A5F" w:rsidRPr="00354828" w:rsidRDefault="00C73A5F" w:rsidP="00354828">
            <w:pPr>
              <w:tabs>
                <w:tab w:val="left" w:pos="1494"/>
              </w:tabs>
              <w:spacing w:after="0" w:line="240" w:lineRule="auto"/>
              <w:jc w:val="both"/>
            </w:pPr>
            <w:r w:rsidRPr="00354828">
              <w:rPr>
                <w:rFonts w:cs="Times New Roman"/>
              </w:rPr>
              <w:t>VZD</w:t>
            </w:r>
          </w:p>
        </w:tc>
        <w:tc>
          <w:tcPr>
            <w:tcW w:w="7654" w:type="dxa"/>
            <w:shd w:val="clear" w:color="auto" w:fill="auto"/>
          </w:tcPr>
          <w:p w14:paraId="6A3F6796" w14:textId="69FCA478" w:rsidR="00C73A5F" w:rsidRPr="00354828" w:rsidRDefault="00C73A5F" w:rsidP="00354828">
            <w:pPr>
              <w:tabs>
                <w:tab w:val="left" w:pos="1494"/>
              </w:tabs>
              <w:spacing w:after="0" w:line="240" w:lineRule="auto"/>
              <w:jc w:val="both"/>
            </w:pPr>
            <w:r w:rsidRPr="00354828">
              <w:t>Valsts zemes dienests</w:t>
            </w:r>
          </w:p>
        </w:tc>
      </w:tr>
      <w:tr w:rsidR="00C73A5F" w:rsidRPr="00354828" w14:paraId="7A7EFCBD" w14:textId="77777777" w:rsidTr="00C472A7">
        <w:trPr>
          <w:trHeight w:val="249"/>
        </w:trPr>
        <w:tc>
          <w:tcPr>
            <w:tcW w:w="1560" w:type="dxa"/>
            <w:shd w:val="clear" w:color="auto" w:fill="auto"/>
          </w:tcPr>
          <w:p w14:paraId="4F3BCC5C" w14:textId="21EF5288" w:rsidR="00C73A5F" w:rsidRPr="00354828" w:rsidRDefault="00C73A5F" w:rsidP="00354828">
            <w:pPr>
              <w:tabs>
                <w:tab w:val="left" w:pos="1494"/>
              </w:tabs>
              <w:spacing w:after="0" w:line="240" w:lineRule="auto"/>
              <w:jc w:val="both"/>
            </w:pPr>
            <w:r w:rsidRPr="00354828">
              <w:t>ZM</w:t>
            </w:r>
          </w:p>
        </w:tc>
        <w:tc>
          <w:tcPr>
            <w:tcW w:w="7654" w:type="dxa"/>
            <w:shd w:val="clear" w:color="auto" w:fill="auto"/>
          </w:tcPr>
          <w:p w14:paraId="441BD31E" w14:textId="6528ACE8" w:rsidR="00C73A5F" w:rsidRPr="00354828" w:rsidRDefault="00C73A5F" w:rsidP="00354828">
            <w:pPr>
              <w:tabs>
                <w:tab w:val="left" w:pos="1494"/>
              </w:tabs>
              <w:spacing w:after="0" w:line="240" w:lineRule="auto"/>
              <w:jc w:val="both"/>
            </w:pPr>
            <w:r w:rsidRPr="00354828">
              <w:t>Zemkopības ministrija</w:t>
            </w:r>
          </w:p>
        </w:tc>
      </w:tr>
    </w:tbl>
    <w:p w14:paraId="4DC245EC" w14:textId="2CC71BE7" w:rsidR="00C73A5F" w:rsidRDefault="00C73A5F" w:rsidP="00C472A7">
      <w:pPr>
        <w:pStyle w:val="Heading2"/>
      </w:pPr>
    </w:p>
    <w:p w14:paraId="6D86355F" w14:textId="73B59BFE" w:rsidR="00C73A5F" w:rsidRDefault="00C73A5F" w:rsidP="00C73A5F"/>
    <w:p w14:paraId="062A38ED" w14:textId="7551A86A" w:rsidR="00C73A5F" w:rsidRPr="00C73A5F" w:rsidRDefault="00C73A5F" w:rsidP="00C73A5F"/>
    <w:p w14:paraId="5AF654B2" w14:textId="10AE935C" w:rsidR="00D11BC5" w:rsidRDefault="00D11BC5" w:rsidP="00C472A7">
      <w:pPr>
        <w:pStyle w:val="Heading2"/>
      </w:pPr>
      <w:bookmarkStart w:id="0" w:name="_Toc48200641"/>
      <w:r>
        <w:lastRenderedPageBreak/>
        <w:t>IEVADS</w:t>
      </w:r>
      <w:bookmarkEnd w:id="0"/>
    </w:p>
    <w:p w14:paraId="371C15AB" w14:textId="2B6F6405" w:rsidR="00D11BC5" w:rsidRDefault="00D11BC5" w:rsidP="000965D4">
      <w:pPr>
        <w:spacing w:after="120"/>
        <w:ind w:firstLine="720"/>
        <w:jc w:val="both"/>
      </w:pPr>
      <w:r>
        <w:t xml:space="preserve">Atbilstoši </w:t>
      </w:r>
      <w:r w:rsidR="00ED146F">
        <w:t>LBFV</w:t>
      </w:r>
      <w:r>
        <w:t xml:space="preserve"> 16.</w:t>
      </w:r>
      <w:r w:rsidRPr="00D11BC5">
        <w:rPr>
          <w:vertAlign w:val="superscript"/>
        </w:rPr>
        <w:t>3</w:t>
      </w:r>
      <w:r>
        <w:t xml:space="preserve"> pantam, lai efektīvāk un ekonomiskāk īstenotu valsts politiku, kā arī regulāri optimizētu budžeta izdevumus un izvērtētu to atbilstību attīstības plānošanas dokumentos noteiktajām prioritātēm un mērķiem, ik gadu tiek nodrošināta pastāvīga un sistemātiska valsts budžeta izdevumu pārska</w:t>
      </w:r>
      <w:r w:rsidR="00ED146F">
        <w:t>tīšana. 2020.</w:t>
      </w:r>
      <w:r w:rsidR="002212E5">
        <w:t xml:space="preserve"> </w:t>
      </w:r>
      <w:r w:rsidR="00ED146F">
        <w:t>gads ir</w:t>
      </w:r>
      <w:r>
        <w:t xml:space="preserve"> piektais gads</w:t>
      </w:r>
      <w:r w:rsidR="008E71A9">
        <w:t xml:space="preserve"> </w:t>
      </w:r>
      <w:r>
        <w:t xml:space="preserve">kopš </w:t>
      </w:r>
      <w:r w:rsidR="008A76C3">
        <w:t>FM</w:t>
      </w:r>
      <w:r>
        <w:t xml:space="preserve"> veic izdevumu pārskatīšanu un sagatavo informatīvo ziņojumu par izdevumu pārskatīšanas rezultātiem un priekšlikumus par šo rezultātu izmantošanu vidēja termiņa budžeta ietvara likuma projekta un gadskārtējā valsts budžeta likuma projekta izstrādes procesā.  </w:t>
      </w:r>
    </w:p>
    <w:p w14:paraId="4B781544" w14:textId="77777777" w:rsidR="00B651E6" w:rsidRDefault="00B651E6" w:rsidP="000965D4">
      <w:pPr>
        <w:spacing w:after="120"/>
        <w:ind w:firstLine="720"/>
        <w:jc w:val="both"/>
      </w:pPr>
      <w:r>
        <w:t xml:space="preserve">Izdevumu pārskatīšana budžeta sagatavošanas procesā iegūst arvien nozīmīgāku lomu, kļūstot par neatņemamu </w:t>
      </w:r>
      <w:r w:rsidR="008C308D">
        <w:t xml:space="preserve">budžeta </w:t>
      </w:r>
      <w:r>
        <w:t xml:space="preserve">procesa sastāvdaļu. Pārskatot budžetā plānotos izdevumus, ir </w:t>
      </w:r>
      <w:r w:rsidR="008C308D">
        <w:t>iespējams identificēt novecojuša</w:t>
      </w:r>
      <w:r>
        <w:t xml:space="preserve">s vai prioritāti zaudējušas pozīcijas, kā arī </w:t>
      </w:r>
      <w:r w:rsidR="00DC3122">
        <w:t>aktualizējamus</w:t>
      </w:r>
      <w:r>
        <w:t xml:space="preserve"> procesus,</w:t>
      </w:r>
      <w:r w:rsidRPr="00ED146F">
        <w:t xml:space="preserve"> nodrošin</w:t>
      </w:r>
      <w:r>
        <w:t>o</w:t>
      </w:r>
      <w:r w:rsidRPr="00ED146F">
        <w:t>t efektīvāku finansējuma izlietojumu</w:t>
      </w:r>
      <w:r>
        <w:t xml:space="preserve"> un rodot finansējumu jaunām prioritātēm</w:t>
      </w:r>
      <w:r w:rsidRPr="00ED146F">
        <w:t xml:space="preserve">. </w:t>
      </w:r>
      <w:r w:rsidR="00190FAD">
        <w:t>Izdevumu pārskatīšanas i</w:t>
      </w:r>
      <w:r>
        <w:t>eguvumus jau šobrīd var novērtēt skatot līdzšinēji sasniegtos rezultātus.</w:t>
      </w:r>
    </w:p>
    <w:p w14:paraId="58D4AADE" w14:textId="47F99199" w:rsidR="00D11BC5" w:rsidRPr="006C0243" w:rsidRDefault="00D11BC5" w:rsidP="000965D4">
      <w:pPr>
        <w:spacing w:after="120"/>
        <w:ind w:firstLine="720"/>
        <w:jc w:val="both"/>
      </w:pPr>
      <w:r>
        <w:t>Šo četru gadu laikā ir izdevies veikt būtiskas izmaiņas gan valsts budžeta politikas jomā, procesu un sistēmu pilnveidei, gan nozaru finansēšanas politikas jomā. Uzsākti vairāki nozīmīgi izvērtējumi, kā arī 2019.</w:t>
      </w:r>
      <w:r w:rsidR="00302182">
        <w:t xml:space="preserve"> </w:t>
      </w:r>
      <w:r>
        <w:t>gadā</w:t>
      </w:r>
      <w:r w:rsidR="00760D51">
        <w:t>,</w:t>
      </w:r>
      <w:r>
        <w:t xml:space="preserve"> balstoties uz Kanādas pieredzi</w:t>
      </w:r>
      <w:r w:rsidR="00760D51">
        <w:t>,</w:t>
      </w:r>
      <w:r>
        <w:t xml:space="preserve"> uzsākta pakāpeniska valsts budžeta programmu pārskatīšana. </w:t>
      </w:r>
      <w:r w:rsidR="008C308D" w:rsidRPr="006C0243">
        <w:t>Izdevumu pārskatīšana rezultējusies finansiālos ieguvumos gan pašu ministriju iekšējiem resursiem prioritātēm, gan kopējām valsts prioritātēm. Kopš 2016.</w:t>
      </w:r>
      <w:r w:rsidR="00302182" w:rsidRPr="006C0243">
        <w:t xml:space="preserve"> </w:t>
      </w:r>
      <w:r w:rsidR="008C308D" w:rsidRPr="006C0243">
        <w:t xml:space="preserve">gadā kopējais identificētais resurss ir 287,5 milj. </w:t>
      </w:r>
      <w:r w:rsidR="008C308D" w:rsidRPr="006C0243">
        <w:rPr>
          <w:i/>
        </w:rPr>
        <w:t>euro</w:t>
      </w:r>
      <w:r w:rsidR="008C308D" w:rsidRPr="006C0243">
        <w:t>.</w:t>
      </w:r>
    </w:p>
    <w:p w14:paraId="71ABE654" w14:textId="4BE92281" w:rsidR="00ED146F" w:rsidRDefault="001B00A4" w:rsidP="000965D4">
      <w:pPr>
        <w:spacing w:after="120"/>
        <w:ind w:firstLine="720"/>
        <w:jc w:val="both"/>
      </w:pPr>
      <w:r>
        <w:t>Sadarbībai ar nozaru ministrijām izdevumu pārskatīšan</w:t>
      </w:r>
      <w:r w:rsidR="00DC3122">
        <w:t>as procesā</w:t>
      </w:r>
      <w:r>
        <w:t xml:space="preserve"> ir ļoti nozīmīga loma</w:t>
      </w:r>
      <w:r w:rsidR="00101290">
        <w:t>, it īpaši</w:t>
      </w:r>
      <w:r>
        <w:t xml:space="preserve"> vidēja termiņa rezultātu sasniegšan</w:t>
      </w:r>
      <w:r w:rsidR="00DC3122">
        <w:t>ai. T</w:t>
      </w:r>
      <w:r>
        <w:t xml:space="preserve">as novērojams gan balstoties uz līdzšinējo praksi, gan </w:t>
      </w:r>
      <w:r w:rsidR="00101290">
        <w:t xml:space="preserve">fiksēts arī </w:t>
      </w:r>
      <w:r>
        <w:t>OECD apkopotajos datos par nozaru ministriju iesaisti izdevumu pārskatīšanā OECD valstīs</w:t>
      </w:r>
      <w:r>
        <w:rPr>
          <w:rStyle w:val="FootnoteReference"/>
        </w:rPr>
        <w:footnoteReference w:id="1"/>
      </w:r>
      <w:r>
        <w:t xml:space="preserve">. </w:t>
      </w:r>
      <w:r w:rsidR="0038523A">
        <w:t>Tādēļ</w:t>
      </w:r>
      <w:r w:rsidR="00760D51">
        <w:t>,</w:t>
      </w:r>
      <w:r w:rsidR="0038523A">
        <w:t xml:space="preserve"> turpinot uzsākto sadarbību i</w:t>
      </w:r>
      <w:r w:rsidR="00ED146F">
        <w:t>zdevumu pā</w:t>
      </w:r>
      <w:r w:rsidR="00B651E6">
        <w:t>rskatīšanas tvēruma sagatavošanā un</w:t>
      </w:r>
      <w:r w:rsidR="00ED146F">
        <w:t xml:space="preserve"> izstrādē</w:t>
      </w:r>
      <w:r w:rsidR="00760D51">
        <w:t>,</w:t>
      </w:r>
      <w:r w:rsidR="00ED146F">
        <w:t xml:space="preserve"> ar priekšlikumiem </w:t>
      </w:r>
      <w:r w:rsidR="00101290">
        <w:t>2020.</w:t>
      </w:r>
      <w:r w:rsidR="00302182">
        <w:t xml:space="preserve"> </w:t>
      </w:r>
      <w:r w:rsidR="00101290">
        <w:t>gadam</w:t>
      </w:r>
      <w:r w:rsidR="00760D51">
        <w:t xml:space="preserve"> </w:t>
      </w:r>
      <w:r w:rsidR="00B651E6">
        <w:t xml:space="preserve">tika </w:t>
      </w:r>
      <w:r w:rsidR="00ED146F">
        <w:t>aicin</w:t>
      </w:r>
      <w:r w:rsidR="00B651E6">
        <w:t>ātas</w:t>
      </w:r>
      <w:r w:rsidR="00ED146F">
        <w:t xml:space="preserve"> iesaistīties arī nozaru ministrijas un sociāl</w:t>
      </w:r>
      <w:r w:rsidR="00B651E6">
        <w:t>ie</w:t>
      </w:r>
      <w:r w:rsidR="00ED146F">
        <w:t xml:space="preserve"> partner</w:t>
      </w:r>
      <w:r w:rsidR="00B651E6">
        <w:t>i</w:t>
      </w:r>
      <w:r w:rsidR="00ED146F">
        <w:t>.</w:t>
      </w:r>
      <w:r w:rsidR="00101290">
        <w:t xml:space="preserve"> </w:t>
      </w:r>
    </w:p>
    <w:p w14:paraId="6AB022FE" w14:textId="77777777" w:rsidR="00FF5F50" w:rsidRDefault="00FF5F50" w:rsidP="000965D4">
      <w:pPr>
        <w:spacing w:after="120"/>
        <w:ind w:firstLine="720"/>
        <w:jc w:val="both"/>
      </w:pPr>
      <w:r>
        <w:t xml:space="preserve">Tāpat šo gadu laikā ir izveidojusies veiksmīga sadarbība ar starpinstitucionālās darba grupas partneriem - </w:t>
      </w:r>
      <w:r w:rsidR="008E71A9">
        <w:t>LB</w:t>
      </w:r>
      <w:r>
        <w:t xml:space="preserve">, </w:t>
      </w:r>
      <w:r w:rsidR="008E71A9">
        <w:t>PKC</w:t>
      </w:r>
      <w:r>
        <w:t xml:space="preserve">, </w:t>
      </w:r>
      <w:r w:rsidR="008E71A9">
        <w:t>VK</w:t>
      </w:r>
      <w:r>
        <w:t xml:space="preserve">, </w:t>
      </w:r>
      <w:r w:rsidR="008E71A9">
        <w:t>VKo</w:t>
      </w:r>
      <w:r>
        <w:t>, kā arī ar nozaru ministrijām, kas ik gadu ļauj sasniegt arvien labākus rezultātus.</w:t>
      </w:r>
    </w:p>
    <w:p w14:paraId="023B5B7F" w14:textId="77777777" w:rsidR="003563A9" w:rsidRDefault="003B76F0" w:rsidP="000965D4">
      <w:pPr>
        <w:spacing w:after="120"/>
        <w:ind w:firstLine="720"/>
        <w:jc w:val="both"/>
      </w:pPr>
      <w:r w:rsidRPr="003B76F0">
        <w:t>Saskaņā ar MK 2020</w:t>
      </w:r>
      <w:r w:rsidR="00101290" w:rsidRPr="003B76F0">
        <w:t>. gada 2</w:t>
      </w:r>
      <w:r w:rsidRPr="003B76F0">
        <w:t xml:space="preserve">6. februāra </w:t>
      </w:r>
      <w:r w:rsidR="00101290" w:rsidRPr="003B76F0">
        <w:t>rīkojum</w:t>
      </w:r>
      <w:r w:rsidRPr="003B76F0">
        <w:t>a</w:t>
      </w:r>
      <w:r w:rsidR="00101290" w:rsidRPr="003B76F0">
        <w:t xml:space="preserve"> Nr. </w:t>
      </w:r>
      <w:r w:rsidRPr="003B76F0">
        <w:t>67</w:t>
      </w:r>
      <w:r w:rsidR="00101290" w:rsidRPr="003B76F0">
        <w:t xml:space="preserve"> </w:t>
      </w:r>
      <w:r w:rsidRPr="003B76F0">
        <w:t>“Par likumprojekta “Par vidēja termiņa budžeta ietvaru 2021., 2022. un 2023. gadam” un likumprojekta “Par valsts budžetu 2021. gadam” sagatavošanas grafiku”</w:t>
      </w:r>
      <w:r w:rsidR="00101290" w:rsidRPr="003B76F0">
        <w:t xml:space="preserve"> </w:t>
      </w:r>
      <w:r w:rsidRPr="003B76F0">
        <w:t>(turpmāk – MK rīkojums Nr. 67)</w:t>
      </w:r>
      <w:r>
        <w:t xml:space="preserve"> 2. punktu tika noteikts </w:t>
      </w:r>
      <w:r w:rsidR="00190FAD">
        <w:t xml:space="preserve">izdevumu pārskatīšanas </w:t>
      </w:r>
      <w:r>
        <w:t>tvērums (Attēls Nr. 1), atbilstoši kuram 2020. gadā strukturēta un veidota izdevumu pārskatīšana, kā arī atbilstoši MK rīkojuma Nr.</w:t>
      </w:r>
      <w:r w:rsidR="003563A9">
        <w:t xml:space="preserve"> </w:t>
      </w:r>
      <w:r>
        <w:t xml:space="preserve">67 </w:t>
      </w:r>
      <w:r w:rsidR="00190FAD">
        <w:t xml:space="preserve">pielikuma </w:t>
      </w:r>
      <w:r w:rsidR="003563A9">
        <w:t xml:space="preserve">11. punktam </w:t>
      </w:r>
      <w:r>
        <w:t xml:space="preserve">sagatavots </w:t>
      </w:r>
      <w:r w:rsidR="003563A9">
        <w:t>šis informatīvais ziņojums</w:t>
      </w:r>
      <w:r w:rsidR="003563A9">
        <w:rPr>
          <w:rStyle w:val="FootnoteReference"/>
        </w:rPr>
        <w:footnoteReference w:id="2"/>
      </w:r>
      <w:r>
        <w:t xml:space="preserve">. </w:t>
      </w:r>
    </w:p>
    <w:p w14:paraId="3A31B5DC" w14:textId="77777777" w:rsidR="008B1C3D" w:rsidRPr="00D9445D" w:rsidRDefault="003563A9" w:rsidP="000965D4">
      <w:pPr>
        <w:spacing w:after="120"/>
        <w:ind w:firstLine="720"/>
        <w:jc w:val="both"/>
        <w:rPr>
          <w:highlight w:val="yellow"/>
        </w:rPr>
      </w:pPr>
      <w:r>
        <w:t>Tvērumā noteikti</w:t>
      </w:r>
      <w:r w:rsidR="003B76F0">
        <w:t xml:space="preserve"> </w:t>
      </w:r>
      <w:r>
        <w:t>izdevumu pārskatīšanas</w:t>
      </w:r>
      <w:r w:rsidR="003B76F0">
        <w:t xml:space="preserve"> trīs galven</w:t>
      </w:r>
      <w:r>
        <w:t>ie bloki</w:t>
      </w:r>
      <w:r w:rsidR="003B76F0">
        <w:t xml:space="preserve"> – </w:t>
      </w:r>
      <w:r w:rsidR="003B76F0" w:rsidRPr="003B76F0">
        <w:t>Valsts budžeta finansēto funkciju fundamentāla analīze</w:t>
      </w:r>
      <w:r w:rsidR="003B76F0">
        <w:t xml:space="preserve">, Nozares ministriju pārraudzībā esošo finansēšanas politiku analīze, </w:t>
      </w:r>
      <w:r w:rsidR="003B76F0" w:rsidRPr="003B76F0">
        <w:t>Vidēja termiņa izdevumu pārskatīšanas rezultāti</w:t>
      </w:r>
      <w:r w:rsidR="003B76F0">
        <w:t>.</w:t>
      </w:r>
    </w:p>
    <w:p w14:paraId="201A7E89" w14:textId="77777777" w:rsidR="000965D4" w:rsidRDefault="000965D4" w:rsidP="000965D4">
      <w:pPr>
        <w:spacing w:after="120"/>
        <w:jc w:val="right"/>
        <w:rPr>
          <w:rFonts w:eastAsiaTheme="majorEastAsia" w:cstheme="majorBidi"/>
          <w:iCs/>
          <w:szCs w:val="18"/>
        </w:rPr>
      </w:pPr>
      <w:bookmarkStart w:id="1" w:name="_Ref526418488"/>
    </w:p>
    <w:p w14:paraId="33750E6F" w14:textId="49731688" w:rsidR="00FF5F50" w:rsidRPr="00FF5F50" w:rsidRDefault="00FF5F50" w:rsidP="000965D4">
      <w:pPr>
        <w:spacing w:after="120"/>
        <w:jc w:val="right"/>
        <w:rPr>
          <w:rFonts w:eastAsiaTheme="majorEastAsia" w:cs="Times New Roman"/>
          <w:b/>
          <w:iCs/>
          <w:szCs w:val="18"/>
        </w:rPr>
      </w:pPr>
      <w:r w:rsidRPr="00FF5F50">
        <w:rPr>
          <w:rFonts w:eastAsiaTheme="majorEastAsia" w:cstheme="majorBidi"/>
          <w:iCs/>
          <w:szCs w:val="18"/>
        </w:rPr>
        <w:lastRenderedPageBreak/>
        <w:t xml:space="preserve">Attēls Nr. </w:t>
      </w:r>
      <w:r w:rsidRPr="00FF5F50">
        <w:rPr>
          <w:rFonts w:eastAsiaTheme="majorEastAsia" w:cstheme="majorBidi"/>
          <w:iCs/>
          <w:noProof/>
          <w:szCs w:val="18"/>
        </w:rPr>
        <w:fldChar w:fldCharType="begin"/>
      </w:r>
      <w:r w:rsidRPr="00FF5F50">
        <w:rPr>
          <w:rFonts w:eastAsiaTheme="majorEastAsia" w:cstheme="majorBidi"/>
          <w:iCs/>
          <w:noProof/>
          <w:szCs w:val="18"/>
        </w:rPr>
        <w:instrText xml:space="preserve"> SEQ Attēls_Nr. \* ARABIC </w:instrText>
      </w:r>
      <w:r w:rsidRPr="00FF5F50">
        <w:rPr>
          <w:rFonts w:eastAsiaTheme="majorEastAsia" w:cstheme="majorBidi"/>
          <w:iCs/>
          <w:noProof/>
          <w:szCs w:val="18"/>
        </w:rPr>
        <w:fldChar w:fldCharType="separate"/>
      </w:r>
      <w:r w:rsidR="00D96F20">
        <w:rPr>
          <w:rFonts w:eastAsiaTheme="majorEastAsia" w:cstheme="majorBidi"/>
          <w:iCs/>
          <w:noProof/>
          <w:szCs w:val="18"/>
        </w:rPr>
        <w:t>1</w:t>
      </w:r>
      <w:r w:rsidRPr="00FF5F50">
        <w:rPr>
          <w:rFonts w:eastAsiaTheme="majorEastAsia" w:cstheme="majorBidi"/>
          <w:iCs/>
          <w:noProof/>
          <w:szCs w:val="18"/>
        </w:rPr>
        <w:fldChar w:fldCharType="end"/>
      </w:r>
      <w:bookmarkEnd w:id="1"/>
    </w:p>
    <w:p w14:paraId="2CB788CC" w14:textId="77777777" w:rsidR="00FF5F50" w:rsidRPr="00532669" w:rsidRDefault="00FF5F50" w:rsidP="00532669">
      <w:pPr>
        <w:spacing w:after="120"/>
        <w:ind w:firstLine="720"/>
        <w:jc w:val="center"/>
        <w:rPr>
          <w:rFonts w:cs="Times New Roman"/>
        </w:rPr>
      </w:pPr>
      <w:r w:rsidRPr="00FF5F50">
        <w:rPr>
          <w:rFonts w:cs="Times New Roman"/>
          <w:b/>
          <w:bCs/>
        </w:rPr>
        <w:t>Valdības noteiktais izdevumu pārskatīšanas tvērums 20</w:t>
      </w:r>
      <w:r>
        <w:rPr>
          <w:rFonts w:cs="Times New Roman"/>
          <w:b/>
          <w:bCs/>
        </w:rPr>
        <w:t>20</w:t>
      </w:r>
      <w:r w:rsidRPr="00FF5F50">
        <w:rPr>
          <w:rFonts w:cs="Times New Roman"/>
          <w:b/>
          <w:bCs/>
        </w:rPr>
        <w:t>. gadam</w:t>
      </w:r>
    </w:p>
    <w:tbl>
      <w:tblPr>
        <w:tblStyle w:val="TableGrid"/>
        <w:tblW w:w="919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5"/>
        <w:gridCol w:w="3185"/>
        <w:gridCol w:w="2945"/>
      </w:tblGrid>
      <w:tr w:rsidR="00FF5F50" w:rsidRPr="00921982" w14:paraId="7B833C17" w14:textId="77777777" w:rsidTr="00615C60">
        <w:trPr>
          <w:trHeight w:val="4130"/>
        </w:trPr>
        <w:tc>
          <w:tcPr>
            <w:tcW w:w="3065" w:type="dxa"/>
            <w:tcBorders>
              <w:right w:val="single" w:sz="4" w:space="0" w:color="auto"/>
            </w:tcBorders>
          </w:tcPr>
          <w:p w14:paraId="1807D719" w14:textId="77777777" w:rsidR="008B1C3D" w:rsidRPr="00921982" w:rsidRDefault="008B1C3D" w:rsidP="00FF5F50">
            <w:pPr>
              <w:contextualSpacing/>
              <w:jc w:val="both"/>
              <w:rPr>
                <w:rFonts w:ascii="Times New Roman" w:hAnsi="Times New Roman" w:cs="Times New Roman"/>
              </w:rPr>
            </w:pPr>
            <w:r w:rsidRPr="00921982">
              <w:rPr>
                <w:rFonts w:cs="Times New Roman"/>
                <w:b/>
                <w:noProof/>
                <w:lang w:eastAsia="lv-LV"/>
              </w:rPr>
              <w:drawing>
                <wp:inline distT="0" distB="0" distL="0" distR="0" wp14:anchorId="337FC30D" wp14:editId="476A8F08">
                  <wp:extent cx="1861390" cy="66973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cess-management-illustratio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3395" cy="720824"/>
                          </a:xfrm>
                          <a:prstGeom prst="rect">
                            <a:avLst/>
                          </a:prstGeom>
                        </pic:spPr>
                      </pic:pic>
                    </a:graphicData>
                  </a:graphic>
                </wp:inline>
              </w:drawing>
            </w:r>
          </w:p>
          <w:p w14:paraId="7FD39D84" w14:textId="77777777" w:rsidR="008B1C3D" w:rsidRPr="00921982" w:rsidRDefault="008B1C3D" w:rsidP="008B1C3D">
            <w:pPr>
              <w:ind w:left="720"/>
              <w:contextualSpacing/>
              <w:jc w:val="both"/>
              <w:rPr>
                <w:rFonts w:ascii="Times New Roman" w:hAnsi="Times New Roman" w:cs="Times New Roman"/>
              </w:rPr>
            </w:pPr>
          </w:p>
          <w:p w14:paraId="744EBD12" w14:textId="77777777" w:rsidR="008B1C3D" w:rsidRPr="00921982" w:rsidRDefault="008B1C3D" w:rsidP="008B1C3D">
            <w:pPr>
              <w:jc w:val="center"/>
              <w:rPr>
                <w:rFonts w:ascii="Times New Roman" w:hAnsi="Times New Roman" w:cs="Times New Roman"/>
                <w:b/>
              </w:rPr>
            </w:pPr>
          </w:p>
          <w:p w14:paraId="0BB85FF1" w14:textId="77777777" w:rsidR="008B1C3D" w:rsidRPr="00921982" w:rsidRDefault="008B1C3D" w:rsidP="00FF5F50">
            <w:pPr>
              <w:ind w:right="35"/>
              <w:jc w:val="center"/>
              <w:rPr>
                <w:rFonts w:ascii="Times New Roman" w:hAnsi="Times New Roman" w:cs="Times New Roman"/>
                <w:b/>
              </w:rPr>
            </w:pPr>
            <w:r w:rsidRPr="00921982">
              <w:rPr>
                <w:rFonts w:ascii="Times New Roman" w:hAnsi="Times New Roman" w:cs="Times New Roman"/>
                <w:b/>
              </w:rPr>
              <w:t>Valsts budžeta finansēto funkciju fundamentāla analīze</w:t>
            </w:r>
          </w:p>
          <w:p w14:paraId="3B455287" w14:textId="77777777" w:rsidR="008B1C3D" w:rsidRPr="00921982" w:rsidRDefault="008B1C3D" w:rsidP="00FF5F50">
            <w:pPr>
              <w:tabs>
                <w:tab w:val="left" w:pos="4320"/>
              </w:tabs>
              <w:ind w:left="466" w:right="35"/>
              <w:jc w:val="both"/>
              <w:rPr>
                <w:rFonts w:ascii="Times New Roman" w:hAnsi="Times New Roman" w:cs="Times New Roman"/>
              </w:rPr>
            </w:pPr>
          </w:p>
          <w:p w14:paraId="6D7BE4CD" w14:textId="77777777" w:rsidR="008B1C3D" w:rsidRPr="00921982" w:rsidRDefault="008B1C3D" w:rsidP="00FF5F50">
            <w:pPr>
              <w:tabs>
                <w:tab w:val="left" w:pos="4320"/>
              </w:tabs>
              <w:ind w:left="466" w:right="35"/>
              <w:jc w:val="both"/>
              <w:rPr>
                <w:rFonts w:ascii="Times New Roman" w:hAnsi="Times New Roman" w:cs="Times New Roman"/>
              </w:rPr>
            </w:pPr>
          </w:p>
          <w:p w14:paraId="45056B8F" w14:textId="77777777" w:rsidR="008B1C3D" w:rsidRPr="00921982" w:rsidRDefault="008B1C3D" w:rsidP="00FF5F50">
            <w:pPr>
              <w:tabs>
                <w:tab w:val="left" w:pos="2872"/>
                <w:tab w:val="left" w:pos="4320"/>
              </w:tabs>
              <w:ind w:right="35"/>
              <w:jc w:val="both"/>
              <w:rPr>
                <w:rFonts w:ascii="Times New Roman" w:hAnsi="Times New Roman" w:cs="Times New Roman"/>
              </w:rPr>
            </w:pPr>
            <w:r w:rsidRPr="00921982">
              <w:rPr>
                <w:rFonts w:ascii="Times New Roman" w:hAnsi="Times New Roman" w:cs="Times New Roman"/>
              </w:rPr>
              <w:t xml:space="preserve">Valsts budžeta programmu un apakšprogrammu stratēģiskās pārskatīšanas matricu attiecināta uz funkciju un aktivitāšu detalizācijas līmeni </w:t>
            </w:r>
          </w:p>
          <w:p w14:paraId="7BFC13C1" w14:textId="77777777" w:rsidR="008B1C3D" w:rsidRPr="00921982" w:rsidRDefault="008B1C3D" w:rsidP="00FF5F50">
            <w:pPr>
              <w:tabs>
                <w:tab w:val="left" w:pos="4320"/>
              </w:tabs>
              <w:ind w:right="35"/>
              <w:jc w:val="both"/>
              <w:rPr>
                <w:rFonts w:ascii="Times New Roman" w:hAnsi="Times New Roman" w:cs="Times New Roman"/>
              </w:rPr>
            </w:pPr>
          </w:p>
          <w:p w14:paraId="504B133F" w14:textId="77777777" w:rsidR="008B1C3D" w:rsidRPr="00921982" w:rsidRDefault="008B1C3D" w:rsidP="00F17C94">
            <w:pPr>
              <w:ind w:right="35"/>
              <w:contextualSpacing/>
              <w:jc w:val="both"/>
              <w:rPr>
                <w:rFonts w:ascii="Times New Roman" w:hAnsi="Times New Roman" w:cs="Times New Roman"/>
                <w:b/>
              </w:rPr>
            </w:pPr>
          </w:p>
        </w:tc>
        <w:tc>
          <w:tcPr>
            <w:tcW w:w="3185" w:type="dxa"/>
            <w:tcBorders>
              <w:left w:val="single" w:sz="4" w:space="0" w:color="auto"/>
              <w:right w:val="single" w:sz="4" w:space="0" w:color="auto"/>
            </w:tcBorders>
          </w:tcPr>
          <w:p w14:paraId="6B2E3A0A" w14:textId="77777777" w:rsidR="008B1C3D" w:rsidRPr="00921982" w:rsidRDefault="008B1C3D" w:rsidP="00FF5F50">
            <w:pPr>
              <w:jc w:val="center"/>
              <w:rPr>
                <w:rFonts w:ascii="Times New Roman" w:hAnsi="Times New Roman" w:cs="Times New Roman"/>
                <w:b/>
              </w:rPr>
            </w:pPr>
            <w:r w:rsidRPr="00921982">
              <w:rPr>
                <w:rFonts w:cs="Times New Roman"/>
                <w:b/>
                <w:noProof/>
                <w:lang w:eastAsia="lv-LV"/>
              </w:rPr>
              <w:drawing>
                <wp:inline distT="0" distB="0" distL="0" distR="0" wp14:anchorId="5DFE006B" wp14:editId="7462F2E4">
                  <wp:extent cx="1907112" cy="7523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ue-relacion-tiene-BPM-con-BPMN-1170x500.jpeg"/>
                          <pic:cNvPicPr/>
                        </pic:nvPicPr>
                        <pic:blipFill rotWithShape="1">
                          <a:blip r:embed="rId10" cstate="print">
                            <a:extLst>
                              <a:ext uri="{28A0092B-C50C-407E-A947-70E740481C1C}">
                                <a14:useLocalDpi xmlns:a14="http://schemas.microsoft.com/office/drawing/2010/main" val="0"/>
                              </a:ext>
                            </a:extLst>
                          </a:blip>
                          <a:srcRect t="8170" b="2632"/>
                          <a:stretch/>
                        </pic:blipFill>
                        <pic:spPr bwMode="auto">
                          <a:xfrm>
                            <a:off x="0" y="0"/>
                            <a:ext cx="1984696" cy="782916"/>
                          </a:xfrm>
                          <a:prstGeom prst="rect">
                            <a:avLst/>
                          </a:prstGeom>
                          <a:ln>
                            <a:noFill/>
                          </a:ln>
                          <a:extLst>
                            <a:ext uri="{53640926-AAD7-44D8-BBD7-CCE9431645EC}">
                              <a14:shadowObscured xmlns:a14="http://schemas.microsoft.com/office/drawing/2010/main"/>
                            </a:ext>
                          </a:extLst>
                        </pic:spPr>
                      </pic:pic>
                    </a:graphicData>
                  </a:graphic>
                </wp:inline>
              </w:drawing>
            </w:r>
          </w:p>
          <w:p w14:paraId="67758FE3" w14:textId="77777777" w:rsidR="008B1C3D" w:rsidRPr="00921982" w:rsidRDefault="008B1C3D" w:rsidP="00FF5F50">
            <w:pPr>
              <w:tabs>
                <w:tab w:val="left" w:pos="4320"/>
              </w:tabs>
              <w:jc w:val="both"/>
              <w:rPr>
                <w:rFonts w:ascii="Times New Roman" w:hAnsi="Times New Roman" w:cs="Times New Roman"/>
                <w:b/>
              </w:rPr>
            </w:pPr>
          </w:p>
          <w:p w14:paraId="241DD3DA" w14:textId="77777777" w:rsidR="008B1C3D" w:rsidRPr="00921982" w:rsidRDefault="008B1C3D" w:rsidP="00FF5F50">
            <w:pPr>
              <w:tabs>
                <w:tab w:val="left" w:pos="4320"/>
              </w:tabs>
              <w:jc w:val="center"/>
              <w:rPr>
                <w:rFonts w:ascii="Times New Roman" w:hAnsi="Times New Roman" w:cs="Times New Roman"/>
                <w:b/>
              </w:rPr>
            </w:pPr>
            <w:r w:rsidRPr="00921982">
              <w:rPr>
                <w:rFonts w:ascii="Times New Roman" w:hAnsi="Times New Roman" w:cs="Times New Roman"/>
                <w:b/>
              </w:rPr>
              <w:t>Nozares ministriju</w:t>
            </w:r>
          </w:p>
          <w:p w14:paraId="27552A9D" w14:textId="77777777" w:rsidR="008B1C3D" w:rsidRPr="00921982" w:rsidRDefault="008B1C3D" w:rsidP="00FF5F50">
            <w:pPr>
              <w:tabs>
                <w:tab w:val="left" w:pos="4320"/>
              </w:tabs>
              <w:jc w:val="center"/>
              <w:rPr>
                <w:rFonts w:ascii="Times New Roman" w:hAnsi="Times New Roman" w:cs="Times New Roman"/>
                <w:b/>
              </w:rPr>
            </w:pPr>
            <w:r w:rsidRPr="00921982">
              <w:rPr>
                <w:rFonts w:ascii="Times New Roman" w:hAnsi="Times New Roman" w:cs="Times New Roman"/>
                <w:b/>
              </w:rPr>
              <w:t>pārraudzībā esošo finansēšanas politiku analīze</w:t>
            </w:r>
            <w:r w:rsidR="00FF5F50" w:rsidRPr="00921982">
              <w:rPr>
                <w:rFonts w:ascii="Times New Roman" w:hAnsi="Times New Roman" w:cs="Times New Roman"/>
                <w:b/>
              </w:rPr>
              <w:t xml:space="preserve"> </w:t>
            </w:r>
          </w:p>
          <w:p w14:paraId="09508967" w14:textId="77777777" w:rsidR="008B1C3D" w:rsidRPr="00921982" w:rsidRDefault="008B1C3D" w:rsidP="00FF5F50">
            <w:pPr>
              <w:tabs>
                <w:tab w:val="left" w:pos="4320"/>
              </w:tabs>
              <w:ind w:right="174"/>
              <w:jc w:val="both"/>
              <w:rPr>
                <w:rFonts w:ascii="Times New Roman" w:hAnsi="Times New Roman" w:cs="Times New Roman"/>
                <w:b/>
              </w:rPr>
            </w:pPr>
          </w:p>
          <w:p w14:paraId="7237CAAD" w14:textId="77777777" w:rsidR="00F17C94" w:rsidRDefault="00F17C94" w:rsidP="00FF5F50">
            <w:pPr>
              <w:tabs>
                <w:tab w:val="left" w:pos="4320"/>
              </w:tabs>
              <w:ind w:right="30"/>
              <w:jc w:val="both"/>
              <w:rPr>
                <w:rFonts w:ascii="Times New Roman" w:hAnsi="Times New Roman" w:cs="Times New Roman"/>
              </w:rPr>
            </w:pPr>
          </w:p>
          <w:p w14:paraId="6144E51C" w14:textId="5664C072" w:rsidR="008B1C3D" w:rsidRPr="00921982" w:rsidRDefault="00FF5F50" w:rsidP="00FF5F50">
            <w:pPr>
              <w:tabs>
                <w:tab w:val="left" w:pos="4320"/>
              </w:tabs>
              <w:ind w:right="30"/>
              <w:jc w:val="both"/>
              <w:rPr>
                <w:rFonts w:ascii="Times New Roman" w:hAnsi="Times New Roman" w:cs="Times New Roman"/>
              </w:rPr>
            </w:pPr>
            <w:r w:rsidRPr="00921982">
              <w:rPr>
                <w:rFonts w:ascii="Times New Roman" w:hAnsi="Times New Roman" w:cs="Times New Roman"/>
              </w:rPr>
              <w:t>L</w:t>
            </w:r>
            <w:r w:rsidR="008B1C3D" w:rsidRPr="00921982">
              <w:rPr>
                <w:rFonts w:ascii="Times New Roman" w:hAnsi="Times New Roman" w:cs="Times New Roman"/>
              </w:rPr>
              <w:t>ai nodrošinātu ekonomiskāku un racionālāku valsts funkciju īstenošanu un nepieciešamības gadījumā sniegtu priekšlikumus politikas izmaiņām</w:t>
            </w:r>
          </w:p>
          <w:p w14:paraId="2B163DFD" w14:textId="77777777" w:rsidR="008B1C3D" w:rsidRPr="00921982" w:rsidRDefault="008B1C3D" w:rsidP="008B1C3D">
            <w:pPr>
              <w:ind w:right="174"/>
              <w:jc w:val="both"/>
              <w:rPr>
                <w:rFonts w:ascii="Times New Roman" w:hAnsi="Times New Roman" w:cs="Times New Roman"/>
                <w:i/>
              </w:rPr>
            </w:pPr>
          </w:p>
        </w:tc>
        <w:tc>
          <w:tcPr>
            <w:tcW w:w="2945" w:type="dxa"/>
            <w:tcBorders>
              <w:left w:val="single" w:sz="4" w:space="0" w:color="auto"/>
            </w:tcBorders>
          </w:tcPr>
          <w:p w14:paraId="0F54CC15" w14:textId="77777777" w:rsidR="008B1C3D" w:rsidRPr="00921982" w:rsidRDefault="008B1C3D" w:rsidP="008B1C3D">
            <w:pPr>
              <w:ind w:right="-197" w:hanging="108"/>
              <w:rPr>
                <w:rFonts w:ascii="Times New Roman" w:hAnsi="Times New Roman" w:cs="Times New Roman"/>
                <w:b/>
                <w:noProof/>
                <w:lang w:eastAsia="lv-LV"/>
              </w:rPr>
            </w:pPr>
            <w:r w:rsidRPr="00921982">
              <w:rPr>
                <w:rFonts w:cs="Times New Roman"/>
                <w:noProof/>
                <w:lang w:eastAsia="lv-LV"/>
              </w:rPr>
              <w:drawing>
                <wp:inline distT="0" distB="0" distL="0" distR="0" wp14:anchorId="130D15DC" wp14:editId="780C444D">
                  <wp:extent cx="1933575" cy="742282"/>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20110"/>
                          <a:stretch/>
                        </pic:blipFill>
                        <pic:spPr bwMode="auto">
                          <a:xfrm>
                            <a:off x="0" y="0"/>
                            <a:ext cx="2267182" cy="870351"/>
                          </a:xfrm>
                          <a:prstGeom prst="rect">
                            <a:avLst/>
                          </a:prstGeom>
                          <a:ln>
                            <a:noFill/>
                          </a:ln>
                          <a:extLst>
                            <a:ext uri="{53640926-AAD7-44D8-BBD7-CCE9431645EC}">
                              <a14:shadowObscured xmlns:a14="http://schemas.microsoft.com/office/drawing/2010/main"/>
                            </a:ext>
                          </a:extLst>
                        </pic:spPr>
                      </pic:pic>
                    </a:graphicData>
                  </a:graphic>
                </wp:inline>
              </w:drawing>
            </w:r>
          </w:p>
          <w:p w14:paraId="43260BCF" w14:textId="77777777" w:rsidR="008B1C3D" w:rsidRPr="00921982" w:rsidRDefault="008B1C3D" w:rsidP="008B1C3D">
            <w:pPr>
              <w:rPr>
                <w:rFonts w:ascii="Times New Roman" w:hAnsi="Times New Roman" w:cs="Times New Roman"/>
              </w:rPr>
            </w:pPr>
          </w:p>
          <w:p w14:paraId="259FD74C" w14:textId="77777777" w:rsidR="008B1C3D" w:rsidRPr="00921982" w:rsidRDefault="008B1C3D" w:rsidP="008B1C3D">
            <w:pPr>
              <w:contextualSpacing/>
              <w:jc w:val="center"/>
              <w:rPr>
                <w:rFonts w:ascii="Times New Roman" w:hAnsi="Times New Roman" w:cs="Times New Roman"/>
                <w:b/>
              </w:rPr>
            </w:pPr>
          </w:p>
          <w:p w14:paraId="001342F3" w14:textId="77777777" w:rsidR="008B1C3D" w:rsidRPr="00921982" w:rsidRDefault="008B1C3D" w:rsidP="008B1C3D">
            <w:pPr>
              <w:contextualSpacing/>
              <w:jc w:val="center"/>
              <w:rPr>
                <w:rFonts w:ascii="Times New Roman" w:hAnsi="Times New Roman" w:cs="Times New Roman"/>
              </w:rPr>
            </w:pPr>
            <w:r w:rsidRPr="00921982">
              <w:rPr>
                <w:rFonts w:ascii="Times New Roman" w:hAnsi="Times New Roman" w:cs="Times New Roman"/>
                <w:b/>
              </w:rPr>
              <w:t>Vidēja termiņa izdevumu pārskatīšanas rezultāti, t.sk.</w:t>
            </w:r>
          </w:p>
          <w:p w14:paraId="7DFC0A90" w14:textId="77777777" w:rsidR="008B1C3D" w:rsidRPr="00921982" w:rsidRDefault="008B1C3D" w:rsidP="008B1C3D">
            <w:pPr>
              <w:ind w:left="601"/>
              <w:contextualSpacing/>
              <w:jc w:val="both"/>
              <w:rPr>
                <w:rFonts w:ascii="Times New Roman" w:hAnsi="Times New Roman" w:cs="Times New Roman"/>
              </w:rPr>
            </w:pPr>
          </w:p>
          <w:p w14:paraId="492E2F8C" w14:textId="77777777" w:rsidR="008B1C3D" w:rsidRPr="00921982" w:rsidRDefault="008B1C3D" w:rsidP="008B1C3D">
            <w:pPr>
              <w:ind w:left="601"/>
              <w:contextualSpacing/>
              <w:jc w:val="both"/>
              <w:rPr>
                <w:rFonts w:ascii="Times New Roman" w:hAnsi="Times New Roman" w:cs="Times New Roman"/>
              </w:rPr>
            </w:pPr>
          </w:p>
          <w:p w14:paraId="1C553EE4" w14:textId="77777777" w:rsidR="008B1C3D" w:rsidRPr="00921982" w:rsidRDefault="00FF5F50" w:rsidP="00FF5F50">
            <w:pPr>
              <w:ind w:left="37" w:right="-102"/>
              <w:jc w:val="both"/>
              <w:rPr>
                <w:rFonts w:ascii="Times New Roman" w:hAnsi="Times New Roman" w:cs="Times New Roman"/>
              </w:rPr>
            </w:pPr>
            <w:r w:rsidRPr="00921982">
              <w:rPr>
                <w:rFonts w:ascii="Times New Roman" w:hAnsi="Times New Roman" w:cs="Times New Roman"/>
              </w:rPr>
              <w:t xml:space="preserve">Atbalsta </w:t>
            </w:r>
            <w:r w:rsidR="008B1C3D" w:rsidRPr="00921982">
              <w:rPr>
                <w:rFonts w:ascii="Times New Roman" w:hAnsi="Times New Roman" w:cs="Times New Roman"/>
              </w:rPr>
              <w:t>funkciju centralizācijas iespējas</w:t>
            </w:r>
          </w:p>
          <w:p w14:paraId="0D5A6535" w14:textId="77777777" w:rsidR="008B1C3D" w:rsidRPr="00921982" w:rsidRDefault="008B1C3D" w:rsidP="00FF5F50">
            <w:pPr>
              <w:ind w:left="37" w:right="-102"/>
              <w:jc w:val="both"/>
              <w:rPr>
                <w:rFonts w:ascii="Times New Roman" w:hAnsi="Times New Roman" w:cs="Times New Roman"/>
              </w:rPr>
            </w:pPr>
          </w:p>
          <w:p w14:paraId="5FE95474" w14:textId="7F3ECE38" w:rsidR="008B1C3D" w:rsidRPr="00921982" w:rsidRDefault="005462B3" w:rsidP="00FF5F50">
            <w:pPr>
              <w:ind w:left="37" w:right="-102"/>
              <w:contextualSpacing/>
              <w:jc w:val="both"/>
              <w:rPr>
                <w:rFonts w:ascii="Times New Roman" w:eastAsia="Times New Roman" w:hAnsi="Times New Roman" w:cs="Times New Roman"/>
              </w:rPr>
            </w:pPr>
            <w:r>
              <w:rPr>
                <w:rFonts w:ascii="Times New Roman" w:eastAsia="Times New Roman" w:hAnsi="Times New Roman" w:cs="Times New Roman"/>
              </w:rPr>
              <w:t>IKT</w:t>
            </w:r>
            <w:r w:rsidR="008B1C3D" w:rsidRPr="00921982">
              <w:rPr>
                <w:rFonts w:ascii="Times New Roman" w:eastAsia="Times New Roman" w:hAnsi="Times New Roman" w:cs="Times New Roman"/>
              </w:rPr>
              <w:t xml:space="preserve"> jomas pilnveidošana</w:t>
            </w:r>
          </w:p>
          <w:p w14:paraId="1559DACF" w14:textId="77777777" w:rsidR="008B1C3D" w:rsidRPr="00921982" w:rsidRDefault="008B1C3D" w:rsidP="00FF5F50">
            <w:pPr>
              <w:ind w:left="37" w:right="-102"/>
              <w:contextualSpacing/>
              <w:jc w:val="both"/>
              <w:rPr>
                <w:rFonts w:ascii="Times New Roman" w:eastAsia="Times New Roman" w:hAnsi="Times New Roman" w:cs="Times New Roman"/>
              </w:rPr>
            </w:pPr>
          </w:p>
          <w:p w14:paraId="332BE38F" w14:textId="77777777" w:rsidR="008B1C3D" w:rsidRPr="00921982" w:rsidRDefault="008B1C3D" w:rsidP="00FF5F50">
            <w:pPr>
              <w:ind w:left="37" w:right="-102"/>
              <w:contextualSpacing/>
              <w:jc w:val="both"/>
              <w:rPr>
                <w:rFonts w:ascii="Times New Roman" w:hAnsi="Times New Roman" w:cs="Times New Roman"/>
              </w:rPr>
            </w:pPr>
            <w:r w:rsidRPr="00921982">
              <w:rPr>
                <w:rFonts w:ascii="Times New Roman" w:hAnsi="Times New Roman" w:cs="Times New Roman"/>
              </w:rPr>
              <w:t>Izdevumu sasaistes nodrošināšana ar resursu avotu</w:t>
            </w:r>
          </w:p>
          <w:p w14:paraId="35C5ACCE" w14:textId="77777777" w:rsidR="008B1C3D" w:rsidRPr="00921982" w:rsidRDefault="008B1C3D" w:rsidP="008B1C3D">
            <w:pPr>
              <w:ind w:left="601"/>
              <w:contextualSpacing/>
              <w:jc w:val="both"/>
              <w:rPr>
                <w:rFonts w:ascii="Times New Roman" w:hAnsi="Times New Roman" w:cs="Times New Roman"/>
                <w:b/>
              </w:rPr>
            </w:pPr>
          </w:p>
        </w:tc>
      </w:tr>
      <w:tr w:rsidR="00FF5F50" w:rsidRPr="008B1C3D" w14:paraId="63407E3A" w14:textId="77777777" w:rsidTr="00615C60">
        <w:trPr>
          <w:trHeight w:val="70"/>
        </w:trPr>
        <w:tc>
          <w:tcPr>
            <w:tcW w:w="3065" w:type="dxa"/>
            <w:tcBorders>
              <w:right w:val="single" w:sz="4" w:space="0" w:color="auto"/>
            </w:tcBorders>
          </w:tcPr>
          <w:p w14:paraId="74A535B7" w14:textId="77777777" w:rsidR="008B1C3D" w:rsidRPr="008B1C3D" w:rsidRDefault="008B1C3D" w:rsidP="008B1C3D">
            <w:pPr>
              <w:ind w:left="-113"/>
              <w:rPr>
                <w:rFonts w:cs="Times New Roman"/>
                <w:b/>
              </w:rPr>
            </w:pPr>
          </w:p>
        </w:tc>
        <w:tc>
          <w:tcPr>
            <w:tcW w:w="3185" w:type="dxa"/>
            <w:tcBorders>
              <w:left w:val="single" w:sz="4" w:space="0" w:color="auto"/>
              <w:right w:val="single" w:sz="4" w:space="0" w:color="auto"/>
            </w:tcBorders>
          </w:tcPr>
          <w:p w14:paraId="010A94F6" w14:textId="77777777" w:rsidR="008B1C3D" w:rsidRPr="008B1C3D" w:rsidRDefault="008B1C3D" w:rsidP="008B1C3D">
            <w:pPr>
              <w:jc w:val="center"/>
              <w:rPr>
                <w:rFonts w:cs="Times New Roman"/>
                <w:b/>
                <w:noProof/>
                <w:lang w:eastAsia="lv-LV"/>
              </w:rPr>
            </w:pPr>
          </w:p>
        </w:tc>
        <w:tc>
          <w:tcPr>
            <w:tcW w:w="2945" w:type="dxa"/>
            <w:tcBorders>
              <w:left w:val="single" w:sz="4" w:space="0" w:color="auto"/>
            </w:tcBorders>
          </w:tcPr>
          <w:p w14:paraId="0E014F00" w14:textId="77777777" w:rsidR="008B1C3D" w:rsidRPr="008B1C3D" w:rsidRDefault="008B1C3D" w:rsidP="008B1C3D">
            <w:pPr>
              <w:ind w:firstLine="178"/>
              <w:rPr>
                <w:rFonts w:cs="Times New Roman"/>
                <w:b/>
                <w:noProof/>
                <w:lang w:eastAsia="lv-LV"/>
              </w:rPr>
            </w:pPr>
          </w:p>
        </w:tc>
      </w:tr>
    </w:tbl>
    <w:p w14:paraId="3C376A7F" w14:textId="77777777" w:rsidR="00FF5F50" w:rsidRDefault="00FF5F50" w:rsidP="003563A9">
      <w:pPr>
        <w:ind w:firstLine="720"/>
        <w:jc w:val="both"/>
      </w:pPr>
    </w:p>
    <w:p w14:paraId="34FD7031" w14:textId="7497E307" w:rsidR="00B651E6" w:rsidRPr="004B7D98" w:rsidRDefault="003563A9" w:rsidP="004B7D98">
      <w:pPr>
        <w:spacing w:after="120"/>
        <w:ind w:firstLine="720"/>
        <w:jc w:val="both"/>
      </w:pPr>
      <w:r>
        <w:t>Sadaļā</w:t>
      </w:r>
      <w:r w:rsidR="001D1E19">
        <w:t xml:space="preserve"> </w:t>
      </w:r>
      <w:r w:rsidRPr="003B76F0">
        <w:t>Valsts budžeta finansēto funkciju analīze</w:t>
      </w:r>
      <w:r w:rsidRPr="00D11BC5">
        <w:t xml:space="preserve"> </w:t>
      </w:r>
      <w:r w:rsidR="00B651E6" w:rsidRPr="00D11BC5">
        <w:t>sadarbībā ar noza</w:t>
      </w:r>
      <w:r w:rsidR="001D1E19">
        <w:t xml:space="preserve">ru ministrijām, nozaru budžeti tika analizēti </w:t>
      </w:r>
      <w:r w:rsidR="00190FAD">
        <w:t>valsts budžeta</w:t>
      </w:r>
      <w:r>
        <w:t xml:space="preserve"> programm</w:t>
      </w:r>
      <w:r w:rsidR="00190FAD">
        <w:t>as</w:t>
      </w:r>
      <w:r>
        <w:t>/apakšprogramm</w:t>
      </w:r>
      <w:r w:rsidR="00190FAD">
        <w:t>as</w:t>
      </w:r>
      <w:r w:rsidR="001D1E19">
        <w:t xml:space="preserve"> </w:t>
      </w:r>
      <w:r w:rsidR="00B651E6" w:rsidRPr="00D11BC5">
        <w:t>sadalot pa funkcijām/aktivitātēm</w:t>
      </w:r>
      <w:r w:rsidR="00760D51">
        <w:t xml:space="preserve">, </w:t>
      </w:r>
      <w:r w:rsidR="00B651E6" w:rsidRPr="00D11BC5">
        <w:t xml:space="preserve">vērtējot to aktualitāti un efektivitāti, kā arī funkcijām/aktivitātēm piešķirto finansējumu. </w:t>
      </w:r>
      <w:r>
        <w:t>I</w:t>
      </w:r>
      <w:r w:rsidR="00B651E6" w:rsidRPr="00D11BC5">
        <w:t>zdevumu pārskatīšanas ietvaros ti</w:t>
      </w:r>
      <w:r>
        <w:t>ek</w:t>
      </w:r>
      <w:r w:rsidR="00B651E6" w:rsidRPr="00D11BC5">
        <w:t xml:space="preserve"> turpināta ministriju pārraudzībā esošo finansēšanas politiku analīze, padziļināti vērtējot </w:t>
      </w:r>
      <w:r>
        <w:t>IZM</w:t>
      </w:r>
      <w:r w:rsidR="00B651E6" w:rsidRPr="00D11BC5">
        <w:t xml:space="preserve"> pārraudzībā esošās jomas un </w:t>
      </w:r>
      <w:r w:rsidR="00190FAD">
        <w:t>v</w:t>
      </w:r>
      <w:r w:rsidR="00B651E6" w:rsidRPr="00D11BC5">
        <w:t xml:space="preserve">eselības nozari. Ņemot vērā, ka iepriekšējo gadu izdevumu pārskatīšanas rezultāti parāda nozīmīgus konstatējumus </w:t>
      </w:r>
      <w:r w:rsidR="004B7D98">
        <w:t>pilnveidojamiem valsts budžeta finansēšanas procesiem</w:t>
      </w:r>
      <w:r w:rsidR="00B651E6" w:rsidRPr="00D11BC5">
        <w:t>, t</w:t>
      </w:r>
      <w:r w:rsidR="008B1C3D">
        <w:t xml:space="preserve">rešajā sadaļā </w:t>
      </w:r>
      <w:r w:rsidR="00B651E6" w:rsidRPr="00D11BC5">
        <w:t xml:space="preserve">veikta vidēja termiņa izdevumu pārskatīšanas analīze, kuras ietvaros pārskatīti iepriekšējo gadu rezultāti un to ieviešanas progress, kā, piemēram, atbalsta funkciju centralizēšanas iespējas un </w:t>
      </w:r>
      <w:r w:rsidR="008E71A9">
        <w:t>IKT</w:t>
      </w:r>
      <w:r w:rsidR="00B651E6" w:rsidRPr="00D11BC5">
        <w:t xml:space="preserve"> jomas pilnveidošana</w:t>
      </w:r>
      <w:r w:rsidR="00B651E6">
        <w:rPr>
          <w:color w:val="1F4E79"/>
        </w:rPr>
        <w:t>.</w:t>
      </w:r>
      <w:r w:rsidR="00B651E6">
        <w:rPr>
          <w:color w:val="1F4E79"/>
          <w:sz w:val="18"/>
          <w:szCs w:val="18"/>
        </w:rPr>
        <w:t xml:space="preserve"> </w:t>
      </w:r>
    </w:p>
    <w:p w14:paraId="79C5CA69" w14:textId="0A1EAAE9" w:rsidR="007F5E8F" w:rsidRPr="007F5E8F" w:rsidRDefault="007F5E8F" w:rsidP="000965D4">
      <w:pPr>
        <w:spacing w:after="120"/>
        <w:ind w:firstLine="720"/>
        <w:jc w:val="both"/>
        <w:rPr>
          <w:rFonts w:cs="Times New Roman"/>
        </w:rPr>
      </w:pPr>
      <w:r w:rsidRPr="007F5E8F">
        <w:rPr>
          <w:rFonts w:cs="Times New Roman"/>
        </w:rPr>
        <w:t>Ar FM 2020.</w:t>
      </w:r>
      <w:r w:rsidR="00302182">
        <w:rPr>
          <w:rFonts w:cs="Times New Roman"/>
        </w:rPr>
        <w:t xml:space="preserve"> </w:t>
      </w:r>
      <w:r w:rsidRPr="007F5E8F">
        <w:rPr>
          <w:rFonts w:cs="Times New Roman"/>
        </w:rPr>
        <w:t>gada 29.</w:t>
      </w:r>
      <w:r w:rsidR="00302182">
        <w:rPr>
          <w:rFonts w:cs="Times New Roman"/>
        </w:rPr>
        <w:t xml:space="preserve"> </w:t>
      </w:r>
      <w:r w:rsidRPr="007F5E8F">
        <w:rPr>
          <w:rFonts w:cs="Times New Roman"/>
        </w:rPr>
        <w:t>janvāra rīkojumu Nr.22 “Par darba grupu”</w:t>
      </w:r>
      <w:r>
        <w:rPr>
          <w:rFonts w:cs="Times New Roman"/>
        </w:rPr>
        <w:t xml:space="preserve"> </w:t>
      </w:r>
      <w:r w:rsidRPr="007F5E8F">
        <w:rPr>
          <w:rFonts w:cs="Times New Roman"/>
        </w:rPr>
        <w:t>tika a</w:t>
      </w:r>
      <w:r>
        <w:rPr>
          <w:rFonts w:cs="Times New Roman"/>
        </w:rPr>
        <w:t>pstiprināts</w:t>
      </w:r>
      <w:r w:rsidRPr="007F5E8F">
        <w:rPr>
          <w:rFonts w:cs="Times New Roman"/>
        </w:rPr>
        <w:t xml:space="preserve"> izdevumu pārskatīšanas darba grupas sastāvs, t.sk. darba grupas priekšsēdētāj</w:t>
      </w:r>
      <w:r>
        <w:rPr>
          <w:rFonts w:cs="Times New Roman"/>
        </w:rPr>
        <w:t>a pienākumus turpina pildīt</w:t>
      </w:r>
      <w:r w:rsidRPr="007F5E8F">
        <w:rPr>
          <w:rFonts w:cs="Times New Roman"/>
        </w:rPr>
        <w:t xml:space="preserve"> FM parlamentārais sekretārs Atis Zakatistovs. Starpinstitucionālā darba grupa ir izveidota, lai </w:t>
      </w:r>
      <w:r w:rsidR="008E71A9">
        <w:rPr>
          <w:rFonts w:cs="Times New Roman"/>
        </w:rPr>
        <w:t>sagatavotu priekšlikumu</w:t>
      </w:r>
      <w:r w:rsidR="00760D51">
        <w:rPr>
          <w:rFonts w:cs="Times New Roman"/>
        </w:rPr>
        <w:t>s</w:t>
      </w:r>
      <w:r w:rsidR="008E71A9">
        <w:rPr>
          <w:rFonts w:cs="Times New Roman"/>
        </w:rPr>
        <w:t xml:space="preserve"> valsts budžeta izdevumu pārskatīšanai, </w:t>
      </w:r>
      <w:r>
        <w:rPr>
          <w:rFonts w:cs="Times New Roman"/>
        </w:rPr>
        <w:t>diskutētu par izvērtējumu rezultātiem</w:t>
      </w:r>
      <w:r w:rsidR="008E71A9">
        <w:rPr>
          <w:rFonts w:cs="Times New Roman"/>
        </w:rPr>
        <w:t xml:space="preserve"> un labākajiem </w:t>
      </w:r>
      <w:r>
        <w:rPr>
          <w:rFonts w:cs="Times New Roman"/>
        </w:rPr>
        <w:t>risinājum</w:t>
      </w:r>
      <w:r w:rsidR="008E71A9">
        <w:rPr>
          <w:rFonts w:cs="Times New Roman"/>
        </w:rPr>
        <w:t>a variantiem,</w:t>
      </w:r>
      <w:r w:rsidRPr="007F5E8F">
        <w:rPr>
          <w:rFonts w:cs="Times New Roman"/>
        </w:rPr>
        <w:t xml:space="preserve"> iesniegtu finanšu ministram izdevumu pārskatīšanas rezultātus un priekšlikumus par šo rezultātu izmantošanu budžeta izstrādes procesā. Darba grupas locekļi pārstāv šādas institūcijas: FM, LB, PKC, VK, kā arī novērotāja statusā piedalās VKo pārstāvis. Kopumā notika </w:t>
      </w:r>
      <w:r w:rsidR="00F17C94">
        <w:rPr>
          <w:rFonts w:cs="Times New Roman"/>
        </w:rPr>
        <w:t>astoņas</w:t>
      </w:r>
      <w:r w:rsidRPr="007F5E8F">
        <w:rPr>
          <w:rFonts w:cs="Times New Roman"/>
        </w:rPr>
        <w:t xml:space="preserve"> darba grupas sanāksmes, kurās diskutēts </w:t>
      </w:r>
      <w:r w:rsidR="008A76C3">
        <w:rPr>
          <w:rFonts w:cs="Times New Roman"/>
        </w:rPr>
        <w:t xml:space="preserve">par </w:t>
      </w:r>
      <w:r w:rsidR="008A76C3" w:rsidRPr="007F5E8F">
        <w:rPr>
          <w:rFonts w:cs="Times New Roman"/>
        </w:rPr>
        <w:t>šād</w:t>
      </w:r>
      <w:r w:rsidR="008A76C3">
        <w:rPr>
          <w:rFonts w:cs="Times New Roman"/>
        </w:rPr>
        <w:t>ām</w:t>
      </w:r>
      <w:r w:rsidR="008A76C3" w:rsidRPr="007F5E8F">
        <w:rPr>
          <w:rFonts w:cs="Times New Roman"/>
        </w:rPr>
        <w:t xml:space="preserve"> </w:t>
      </w:r>
      <w:r w:rsidRPr="007F5E8F">
        <w:rPr>
          <w:rFonts w:cs="Times New Roman"/>
        </w:rPr>
        <w:t>tēm</w:t>
      </w:r>
      <w:r w:rsidR="008A76C3">
        <w:rPr>
          <w:rFonts w:cs="Times New Roman"/>
        </w:rPr>
        <w:t>ām</w:t>
      </w:r>
      <w:r w:rsidRPr="007F5E8F">
        <w:rPr>
          <w:rFonts w:cs="Times New Roman"/>
        </w:rPr>
        <w:t xml:space="preserve">: </w:t>
      </w:r>
    </w:p>
    <w:p w14:paraId="33F30A58" w14:textId="65A7C1F0" w:rsidR="007F5E8F" w:rsidRDefault="007F5E8F" w:rsidP="000965D4">
      <w:pPr>
        <w:numPr>
          <w:ilvl w:val="0"/>
          <w:numId w:val="1"/>
        </w:numPr>
        <w:spacing w:after="120"/>
        <w:jc w:val="both"/>
        <w:rPr>
          <w:rFonts w:cs="Times New Roman"/>
        </w:rPr>
      </w:pPr>
      <w:r>
        <w:rPr>
          <w:rFonts w:cs="Times New Roman"/>
        </w:rPr>
        <w:t>Priekšlikumi 2020.</w:t>
      </w:r>
      <w:r w:rsidR="00302182">
        <w:rPr>
          <w:rFonts w:cs="Times New Roman"/>
        </w:rPr>
        <w:t xml:space="preserve"> </w:t>
      </w:r>
      <w:r>
        <w:rPr>
          <w:rFonts w:cs="Times New Roman"/>
        </w:rPr>
        <w:t>gada izdevumu pārskatīšanas tvērumam;</w:t>
      </w:r>
    </w:p>
    <w:p w14:paraId="0DE0908A" w14:textId="41F84B8E" w:rsidR="00321DCC" w:rsidRDefault="007F5E8F" w:rsidP="000965D4">
      <w:pPr>
        <w:numPr>
          <w:ilvl w:val="0"/>
          <w:numId w:val="1"/>
        </w:numPr>
        <w:spacing w:after="120"/>
        <w:jc w:val="both"/>
        <w:rPr>
          <w:rFonts w:cs="Times New Roman"/>
        </w:rPr>
      </w:pPr>
      <w:r w:rsidRPr="007F5E8F">
        <w:rPr>
          <w:rFonts w:cs="Times New Roman"/>
        </w:rPr>
        <w:t>Izdevumu pārskatīšanas tvērums un laika grafik</w:t>
      </w:r>
      <w:r>
        <w:rPr>
          <w:rFonts w:cs="Times New Roman"/>
        </w:rPr>
        <w:t>s 2020. gadam (FM prezentācija)</w:t>
      </w:r>
      <w:r w:rsidR="00E80A08">
        <w:rPr>
          <w:rFonts w:cs="Times New Roman"/>
        </w:rPr>
        <w:t>;</w:t>
      </w:r>
    </w:p>
    <w:p w14:paraId="7B15A4F1" w14:textId="77777777" w:rsidR="007F5E8F" w:rsidRDefault="007F5E8F" w:rsidP="000965D4">
      <w:pPr>
        <w:numPr>
          <w:ilvl w:val="0"/>
          <w:numId w:val="1"/>
        </w:numPr>
        <w:spacing w:after="120"/>
        <w:jc w:val="both"/>
        <w:rPr>
          <w:rFonts w:cs="Times New Roman"/>
        </w:rPr>
      </w:pPr>
      <w:r w:rsidRPr="00321DCC">
        <w:rPr>
          <w:rFonts w:cs="Times New Roman"/>
        </w:rPr>
        <w:t xml:space="preserve">Izdienas pensiju politikas pārskatīšana (FM prezentācija), Sabiedriskā transporta pakalpojumu sniegšana, t.sk. atvieglojumu administrēšana un digitalizācija (SM </w:t>
      </w:r>
      <w:r w:rsidRPr="00321DCC">
        <w:rPr>
          <w:rFonts w:cs="Times New Roman"/>
        </w:rPr>
        <w:lastRenderedPageBreak/>
        <w:t>prezentācija), Publiskās un privātās partnerības (PPP) potenciālā loma attīstības un produktivitātes</w:t>
      </w:r>
      <w:r w:rsidR="00E80A08">
        <w:rPr>
          <w:rFonts w:cs="Times New Roman"/>
        </w:rPr>
        <w:t xml:space="preserve"> veicināšanā (PKC prezentācija);</w:t>
      </w:r>
    </w:p>
    <w:p w14:paraId="0865B534" w14:textId="15727834" w:rsidR="00E04938" w:rsidRPr="004B28F2" w:rsidRDefault="00E80A08" w:rsidP="000965D4">
      <w:pPr>
        <w:pStyle w:val="ListParagraph"/>
        <w:numPr>
          <w:ilvl w:val="0"/>
          <w:numId w:val="1"/>
        </w:numPr>
        <w:spacing w:after="120"/>
        <w:contextualSpacing w:val="0"/>
        <w:jc w:val="both"/>
        <w:rPr>
          <w:rFonts w:cs="Times New Roman"/>
        </w:rPr>
      </w:pPr>
      <w:r w:rsidRPr="00E80A08">
        <w:rPr>
          <w:rFonts w:cs="Times New Roman"/>
        </w:rPr>
        <w:t>Budžeta izdevumu pārskatīšana: makro līmeņa skatījums (</w:t>
      </w:r>
      <w:r>
        <w:rPr>
          <w:rFonts w:cs="Times New Roman"/>
        </w:rPr>
        <w:t>LB prezentācija</w:t>
      </w:r>
      <w:r w:rsidR="00E04938">
        <w:rPr>
          <w:rFonts w:cs="Times New Roman"/>
        </w:rPr>
        <w:t xml:space="preserve"> </w:t>
      </w:r>
      <w:r w:rsidR="002D2EF3" w:rsidRPr="00C37186">
        <w:rPr>
          <w:rFonts w:cs="Times New Roman"/>
        </w:rPr>
        <w:t>Pielikum</w:t>
      </w:r>
      <w:r w:rsidR="00E03708">
        <w:rPr>
          <w:rFonts w:cs="Times New Roman"/>
        </w:rPr>
        <w:t>ā</w:t>
      </w:r>
      <w:r w:rsidR="002D2EF3" w:rsidRPr="00C37186">
        <w:rPr>
          <w:rFonts w:cs="Times New Roman"/>
        </w:rPr>
        <w:t xml:space="preserve"> </w:t>
      </w:r>
      <w:r w:rsidR="00E04938" w:rsidRPr="00C37186">
        <w:rPr>
          <w:rFonts w:cs="Times New Roman"/>
        </w:rPr>
        <w:t>Nr.</w:t>
      </w:r>
      <w:r w:rsidR="00735151">
        <w:rPr>
          <w:rFonts w:cs="Times New Roman"/>
        </w:rPr>
        <w:t>2</w:t>
      </w:r>
      <w:r w:rsidRPr="00C37186">
        <w:rPr>
          <w:rFonts w:cs="Times New Roman"/>
        </w:rPr>
        <w:t>)</w:t>
      </w:r>
      <w:r w:rsidR="00E04938" w:rsidRPr="00C37186">
        <w:rPr>
          <w:rFonts w:cs="Times New Roman"/>
        </w:rPr>
        <w:t>.</w:t>
      </w:r>
      <w:r w:rsidR="00E04938">
        <w:rPr>
          <w:rFonts w:cs="Times New Roman"/>
        </w:rPr>
        <w:t xml:space="preserve"> </w:t>
      </w:r>
      <w:r w:rsidR="002D2EF3">
        <w:rPr>
          <w:rFonts w:cs="Times New Roman"/>
        </w:rPr>
        <w:t>LB p</w:t>
      </w:r>
      <w:r w:rsidR="00E04938" w:rsidRPr="00E04938">
        <w:rPr>
          <w:rFonts w:cs="Times New Roman"/>
        </w:rPr>
        <w:t>rezentācijā valdības izdevumi tik</w:t>
      </w:r>
      <w:r w:rsidR="002D2EF3">
        <w:rPr>
          <w:rFonts w:cs="Times New Roman"/>
        </w:rPr>
        <w:t>a</w:t>
      </w:r>
      <w:r w:rsidR="00E04938" w:rsidRPr="00E04938">
        <w:rPr>
          <w:rFonts w:cs="Times New Roman"/>
        </w:rPr>
        <w:t xml:space="preserve"> analizēti pēc labuma guvēju struktūras, kur valsts budžeta izdevumi atbilstoši funkcionālajām kategorijām sadalīti divās daļās: kolektīvā patēriņa izdevumi (aizsardzība, sabiedriskā kārtība un drošība, vides aizsardzība, pašvaldības teritoriju un mājokļu apsaimniekošana, vispārējie valdības dienesti, ekonomiskā darbība) un individuālā patēriņa izdevumi (veselība, izglītība, atpūta, kultūra un reliģija, sociālā aizsardzība). </w:t>
      </w:r>
      <w:r w:rsidR="00E04938">
        <w:rPr>
          <w:rFonts w:cs="Times New Roman"/>
        </w:rPr>
        <w:t xml:space="preserve">LB </w:t>
      </w:r>
      <w:r w:rsidR="002D2EF3">
        <w:rPr>
          <w:rFonts w:cs="Times New Roman"/>
        </w:rPr>
        <w:t>norādīja</w:t>
      </w:r>
      <w:r w:rsidR="00E04938" w:rsidRPr="00E04938">
        <w:rPr>
          <w:rFonts w:cs="Times New Roman"/>
        </w:rPr>
        <w:t>, ka kolektīvā patēriņa izdevumi pēdējos gados saglabājas augstāki kā individuālā patēriņa izdevumi un salīdzinot starp OECD valstīm un ES līmenī, secināts, ka Latvijā ir vieni no augstākajiem kolektīvā patēriņa izdevumiem, savukārt individuālā patēriņa izdevumu līmenis Latvijā ir viens no zemākajiem.</w:t>
      </w:r>
      <w:r w:rsidR="00E04938">
        <w:rPr>
          <w:rFonts w:cs="Times New Roman"/>
        </w:rPr>
        <w:t xml:space="preserve"> </w:t>
      </w:r>
      <w:r w:rsidR="002D2EF3">
        <w:rPr>
          <w:rFonts w:cs="Times New Roman"/>
        </w:rPr>
        <w:t>LB p</w:t>
      </w:r>
      <w:r w:rsidR="00E04938">
        <w:rPr>
          <w:rFonts w:cs="Times New Roman"/>
        </w:rPr>
        <w:t>rezentācijā</w:t>
      </w:r>
      <w:r w:rsidR="00E04938" w:rsidRPr="00E04938">
        <w:rPr>
          <w:rFonts w:cs="Times New Roman"/>
        </w:rPr>
        <w:t xml:space="preserve"> tik</w:t>
      </w:r>
      <w:r w:rsidR="002D2EF3">
        <w:rPr>
          <w:rFonts w:cs="Times New Roman"/>
        </w:rPr>
        <w:t>a</w:t>
      </w:r>
      <w:r w:rsidR="00E04938" w:rsidRPr="00E04938">
        <w:rPr>
          <w:rFonts w:cs="Times New Roman"/>
        </w:rPr>
        <w:t xml:space="preserve"> norādīts, ka izdevumi atbilstoši funkcionālajām kategorijām (COFOG) </w:t>
      </w:r>
      <w:r w:rsidR="00CC72FB">
        <w:rPr>
          <w:rFonts w:cs="Times New Roman"/>
        </w:rPr>
        <w:t xml:space="preserve">var </w:t>
      </w:r>
      <w:r w:rsidR="00E04938" w:rsidRPr="00E04938">
        <w:rPr>
          <w:rFonts w:cs="Times New Roman"/>
        </w:rPr>
        <w:t>tik</w:t>
      </w:r>
      <w:r w:rsidR="00CC72FB">
        <w:rPr>
          <w:rFonts w:cs="Times New Roman"/>
        </w:rPr>
        <w:t>t</w:t>
      </w:r>
      <w:r w:rsidR="00E04938" w:rsidRPr="00E04938">
        <w:rPr>
          <w:rFonts w:cs="Times New Roman"/>
        </w:rPr>
        <w:t xml:space="preserve"> iedalīti vairākās grupās: (1) izdevumi </w:t>
      </w:r>
      <w:r w:rsidR="001E647F">
        <w:rPr>
          <w:rFonts w:cs="Times New Roman"/>
        </w:rPr>
        <w:t>virs ES vidējā līmeņa un virs Lietuvas</w:t>
      </w:r>
      <w:r w:rsidR="00E04938" w:rsidRPr="00E04938">
        <w:rPr>
          <w:rFonts w:cs="Times New Roman"/>
        </w:rPr>
        <w:t xml:space="preserve">, </w:t>
      </w:r>
      <w:r w:rsidR="001E647F">
        <w:rPr>
          <w:rFonts w:cs="Times New Roman"/>
        </w:rPr>
        <w:t>Igaunijas</w:t>
      </w:r>
      <w:r w:rsidR="00E04938" w:rsidRPr="00E04938">
        <w:rPr>
          <w:rFonts w:cs="Times New Roman"/>
        </w:rPr>
        <w:t xml:space="preserve">; (2) izdevumi zem ES vidējā, bet virs </w:t>
      </w:r>
      <w:r w:rsidR="001E647F">
        <w:rPr>
          <w:rFonts w:cs="Times New Roman"/>
        </w:rPr>
        <w:t>Lietuvas vai</w:t>
      </w:r>
      <w:r w:rsidR="001E647F" w:rsidRPr="00E04938">
        <w:rPr>
          <w:rFonts w:cs="Times New Roman"/>
        </w:rPr>
        <w:t xml:space="preserve"> </w:t>
      </w:r>
      <w:r w:rsidR="001E647F">
        <w:rPr>
          <w:rFonts w:cs="Times New Roman"/>
        </w:rPr>
        <w:t>Igaunijas</w:t>
      </w:r>
      <w:r w:rsidR="00E04938" w:rsidRPr="00E04938">
        <w:rPr>
          <w:rFonts w:cs="Times New Roman"/>
        </w:rPr>
        <w:t>, (</w:t>
      </w:r>
      <w:r w:rsidR="001E647F">
        <w:rPr>
          <w:rFonts w:cs="Times New Roman"/>
        </w:rPr>
        <w:t>3) izdevumi virs ES vidējā un Lietuvas</w:t>
      </w:r>
      <w:r w:rsidR="00E04938" w:rsidRPr="00E04938">
        <w:rPr>
          <w:rFonts w:cs="Times New Roman"/>
        </w:rPr>
        <w:t xml:space="preserve">, bet zem </w:t>
      </w:r>
      <w:r w:rsidR="001E647F">
        <w:rPr>
          <w:rFonts w:cs="Times New Roman"/>
        </w:rPr>
        <w:t xml:space="preserve">Igaunijas </w:t>
      </w:r>
      <w:r w:rsidR="00E04938" w:rsidRPr="00E04938">
        <w:rPr>
          <w:rFonts w:cs="Times New Roman"/>
        </w:rPr>
        <w:t xml:space="preserve">līmeņa un (4) antiTOPs jeb izdevumu grupas, kuras ES līmenī ieņem vienas no zemākajām pozīcijām. </w:t>
      </w:r>
      <w:r w:rsidR="002D2EF3">
        <w:rPr>
          <w:rFonts w:cs="Times New Roman"/>
        </w:rPr>
        <w:t xml:space="preserve">Tāpat LB prezentācijā </w:t>
      </w:r>
      <w:r w:rsidR="00E04938" w:rsidRPr="00E04938">
        <w:rPr>
          <w:rFonts w:cs="Times New Roman"/>
        </w:rPr>
        <w:t xml:space="preserve"> norād</w:t>
      </w:r>
      <w:r w:rsidR="002D2EF3">
        <w:rPr>
          <w:rFonts w:cs="Times New Roman"/>
        </w:rPr>
        <w:t>a</w:t>
      </w:r>
      <w:r w:rsidR="00E04938" w:rsidRPr="00E04938">
        <w:rPr>
          <w:rFonts w:cs="Times New Roman"/>
        </w:rPr>
        <w:t xml:space="preserve">, ka izdevumu pārskatīšana un efektivizēšana ir iespējama pilnīgi visās jomās, arī tajās, kurās izdevumi ieņem vienas no zemākajām pozīcijām ES līmenī, izvērtējot izdevumu aktualitāti un atbilstību mērķim. </w:t>
      </w:r>
      <w:r w:rsidR="002D2EF3">
        <w:rPr>
          <w:rFonts w:cs="Times New Roman"/>
        </w:rPr>
        <w:t xml:space="preserve">Vienlaikus </w:t>
      </w:r>
      <w:r w:rsidR="00E04938">
        <w:rPr>
          <w:rFonts w:cs="Times New Roman"/>
        </w:rPr>
        <w:t xml:space="preserve">LB </w:t>
      </w:r>
      <w:r w:rsidR="002D2EF3">
        <w:rPr>
          <w:rFonts w:cs="Times New Roman"/>
        </w:rPr>
        <w:t xml:space="preserve">prezentācijā </w:t>
      </w:r>
      <w:r w:rsidR="00E04938">
        <w:rPr>
          <w:rFonts w:cs="Times New Roman"/>
        </w:rPr>
        <w:t xml:space="preserve">detalizētāk </w:t>
      </w:r>
      <w:r w:rsidR="00E04938" w:rsidRPr="00E04938">
        <w:rPr>
          <w:rFonts w:cs="Times New Roman"/>
        </w:rPr>
        <w:t>aplūko</w:t>
      </w:r>
      <w:r w:rsidR="00E04938">
        <w:rPr>
          <w:rFonts w:cs="Times New Roman"/>
        </w:rPr>
        <w:t>ju</w:t>
      </w:r>
      <w:r w:rsidR="004B28F2">
        <w:rPr>
          <w:rFonts w:cs="Times New Roman"/>
        </w:rPr>
        <w:t>si</w:t>
      </w:r>
      <w:r w:rsidR="00E04938" w:rsidRPr="00E04938">
        <w:rPr>
          <w:rFonts w:cs="Times New Roman"/>
        </w:rPr>
        <w:t xml:space="preserve"> funkcionālās kategorijas (COFOG) </w:t>
      </w:r>
      <w:r w:rsidR="004B28F2">
        <w:rPr>
          <w:rFonts w:cs="Times New Roman"/>
        </w:rPr>
        <w:t>un analizējus</w:t>
      </w:r>
      <w:r w:rsidR="00E04938">
        <w:rPr>
          <w:rFonts w:cs="Times New Roman"/>
        </w:rPr>
        <w:t>i</w:t>
      </w:r>
      <w:r w:rsidR="00E04938" w:rsidRPr="00E04938">
        <w:rPr>
          <w:rFonts w:cs="Times New Roman"/>
        </w:rPr>
        <w:t>, vai konkrētie izdevumi sekmē ekonomikas attīstību.</w:t>
      </w:r>
      <w:r w:rsidR="00E04938">
        <w:rPr>
          <w:rFonts w:cs="Times New Roman"/>
        </w:rPr>
        <w:t xml:space="preserve"> I</w:t>
      </w:r>
      <w:r w:rsidR="00E04938" w:rsidRPr="00E04938">
        <w:rPr>
          <w:rFonts w:cs="Times New Roman"/>
        </w:rPr>
        <w:t>zvērtējot veselības nozares izdevumus makro līmenī, secināts, ka finansējums Latvijā joprojām ir viens no zemākajiem ES. Neskatoties uz to, ka tehnoloģiski veselības nozare Latvijā ir augstā līmenī, saglabājas augsts nenovērsto mirstību skaits un zems dzīvildzes radītājs, kā arī novērojama neefektīva medicīnisko iekārto izmantošana.</w:t>
      </w:r>
      <w:r w:rsidR="00E04938">
        <w:rPr>
          <w:rFonts w:cs="Times New Roman"/>
        </w:rPr>
        <w:t xml:space="preserve"> </w:t>
      </w:r>
      <w:r w:rsidR="004B28F2">
        <w:rPr>
          <w:rFonts w:cs="Times New Roman"/>
        </w:rPr>
        <w:t>S</w:t>
      </w:r>
      <w:r w:rsidR="00E04938" w:rsidRPr="00E04938">
        <w:rPr>
          <w:rFonts w:cs="Times New Roman"/>
        </w:rPr>
        <w:t xml:space="preserve">avukārt, izglītības izdevumi ir virs ES vidējā līmeņa, kā arī detalizētāk aplūkojot izdevumu izglītībai dinamiku un ar to saistītos rādītājus, tiek novērots, ka izglītība Latvijā joprojām izmaksā dārgi un tikai daļēji atbilst konkurētspējīgas ekonomikas vajadzībām. </w:t>
      </w:r>
      <w:r w:rsidR="00E04938">
        <w:rPr>
          <w:rFonts w:cs="Times New Roman"/>
        </w:rPr>
        <w:t>LB</w:t>
      </w:r>
      <w:r w:rsidR="00E04938" w:rsidRPr="00E04938">
        <w:rPr>
          <w:rFonts w:cs="Times New Roman"/>
        </w:rPr>
        <w:t xml:space="preserve"> </w:t>
      </w:r>
      <w:r w:rsidR="002D2EF3">
        <w:rPr>
          <w:rFonts w:cs="Times New Roman"/>
        </w:rPr>
        <w:t xml:space="preserve">prezentācijā vērš uzmanību uz savu veikto </w:t>
      </w:r>
      <w:r w:rsidR="002D2EF3" w:rsidRPr="00E04938">
        <w:rPr>
          <w:rFonts w:cs="Times New Roman"/>
        </w:rPr>
        <w:t>pētījum</w:t>
      </w:r>
      <w:r w:rsidR="002D2EF3">
        <w:rPr>
          <w:rFonts w:cs="Times New Roman"/>
        </w:rPr>
        <w:t>u</w:t>
      </w:r>
      <w:r w:rsidR="002D2EF3" w:rsidRPr="00E04938">
        <w:rPr>
          <w:rFonts w:cs="Times New Roman"/>
        </w:rPr>
        <w:t xml:space="preserve"> </w:t>
      </w:r>
      <w:r w:rsidR="00E04938" w:rsidRPr="00E04938">
        <w:rPr>
          <w:rFonts w:cs="Times New Roman"/>
        </w:rPr>
        <w:t xml:space="preserve">par mācību sasniegumu ietekmējošajiem aspektiem, kur secināts, ka mācību rezultāti, citu starpā, nav atkarīgi no skolu atrašanās vietas (laukos, pilsētā vai Rīgas reģionā) un skolotāju skaita uz 100 skolēniem, taču tie ir atkarīgi no, piemēram, skolotāju atalgojuma un skolotāju vecuma. </w:t>
      </w:r>
      <w:r w:rsidR="00D31B0D">
        <w:rPr>
          <w:rFonts w:cs="Times New Roman"/>
        </w:rPr>
        <w:t xml:space="preserve">Attiecībā uz </w:t>
      </w:r>
      <w:r w:rsidR="00E04938" w:rsidRPr="00E04938">
        <w:rPr>
          <w:rFonts w:cs="Times New Roman"/>
        </w:rPr>
        <w:t>izdevumi</w:t>
      </w:r>
      <w:r w:rsidR="00D31B0D">
        <w:rPr>
          <w:rFonts w:cs="Times New Roman"/>
        </w:rPr>
        <w:t>em</w:t>
      </w:r>
      <w:r w:rsidR="00E04938" w:rsidRPr="00E04938">
        <w:rPr>
          <w:rFonts w:cs="Times New Roman"/>
        </w:rPr>
        <w:t xml:space="preserve"> atpūtai, kultūrai un reliģijai </w:t>
      </w:r>
      <w:r w:rsidR="00D31B0D">
        <w:rPr>
          <w:rFonts w:cs="Times New Roman"/>
        </w:rPr>
        <w:t>LB prezentācijā norādīja</w:t>
      </w:r>
      <w:r w:rsidR="00D31B0D" w:rsidRPr="00E04938">
        <w:rPr>
          <w:rFonts w:cs="Times New Roman"/>
        </w:rPr>
        <w:t xml:space="preserve">, ka arī </w:t>
      </w:r>
      <w:r w:rsidR="00D31B0D">
        <w:rPr>
          <w:rFonts w:cs="Times New Roman"/>
        </w:rPr>
        <w:t xml:space="preserve">šie izdevumi </w:t>
      </w:r>
      <w:r w:rsidR="00E04938" w:rsidRPr="00E04938">
        <w:rPr>
          <w:rFonts w:cs="Times New Roman"/>
        </w:rPr>
        <w:t xml:space="preserve">ir virs ES vidējā līmeņa, taču vienlaikus novērojams, ka samazinās sabiedrības kopējais kultūras patēriņš, kas ir pretēji Latvijas kultūrpolitikas mērķiem. Kā ierosinājumu </w:t>
      </w:r>
      <w:r w:rsidR="00D31B0D">
        <w:rPr>
          <w:rFonts w:cs="Times New Roman"/>
        </w:rPr>
        <w:t xml:space="preserve">LB </w:t>
      </w:r>
      <w:r w:rsidR="00E04938" w:rsidRPr="00E04938">
        <w:rPr>
          <w:rFonts w:cs="Times New Roman"/>
        </w:rPr>
        <w:t>min</w:t>
      </w:r>
      <w:r w:rsidR="00D31B0D">
        <w:rPr>
          <w:rFonts w:cs="Times New Roman"/>
        </w:rPr>
        <w:t>ējusi</w:t>
      </w:r>
      <w:r w:rsidR="00E04938" w:rsidRPr="00E04938">
        <w:rPr>
          <w:rFonts w:cs="Times New Roman"/>
        </w:rPr>
        <w:t xml:space="preserve"> nepieciešamību veicināt kvalitatīvu rādītāju izveidi un uzturēšanu kultūras jomā.</w:t>
      </w:r>
      <w:r w:rsidR="00E04938">
        <w:rPr>
          <w:rFonts w:cs="Times New Roman"/>
        </w:rPr>
        <w:t xml:space="preserve"> LB</w:t>
      </w:r>
      <w:r w:rsidR="00D31B0D">
        <w:rPr>
          <w:rFonts w:cs="Times New Roman"/>
        </w:rPr>
        <w:t xml:space="preserve"> prezentācijā</w:t>
      </w:r>
      <w:r w:rsidR="00E04938">
        <w:rPr>
          <w:rFonts w:cs="Times New Roman"/>
        </w:rPr>
        <w:t xml:space="preserve"> pievērsusi uzmanību arī</w:t>
      </w:r>
      <w:r w:rsidR="00E04938" w:rsidRPr="00E04938">
        <w:rPr>
          <w:rFonts w:cs="Times New Roman"/>
        </w:rPr>
        <w:t xml:space="preserve"> sociālā</w:t>
      </w:r>
      <w:r w:rsidR="00E04938">
        <w:rPr>
          <w:rFonts w:cs="Times New Roman"/>
        </w:rPr>
        <w:t>s</w:t>
      </w:r>
      <w:r w:rsidR="00E04938" w:rsidRPr="00E04938">
        <w:rPr>
          <w:rFonts w:cs="Times New Roman"/>
        </w:rPr>
        <w:t xml:space="preserve"> aizsardzība</w:t>
      </w:r>
      <w:r w:rsidR="00E04938">
        <w:rPr>
          <w:rFonts w:cs="Times New Roman"/>
        </w:rPr>
        <w:t>s</w:t>
      </w:r>
      <w:r w:rsidR="00E04938" w:rsidRPr="00E04938">
        <w:rPr>
          <w:rFonts w:cs="Times New Roman"/>
        </w:rPr>
        <w:t xml:space="preserve"> </w:t>
      </w:r>
      <w:r w:rsidR="00E04938">
        <w:rPr>
          <w:rFonts w:cs="Times New Roman"/>
        </w:rPr>
        <w:t xml:space="preserve">tēmai un </w:t>
      </w:r>
      <w:r w:rsidR="00CC72FB">
        <w:rPr>
          <w:rFonts w:cs="Times New Roman"/>
        </w:rPr>
        <w:t>norādījusi</w:t>
      </w:r>
      <w:r w:rsidR="00E04938">
        <w:rPr>
          <w:rFonts w:cs="Times New Roman"/>
        </w:rPr>
        <w:t xml:space="preserve">, ka tā </w:t>
      </w:r>
      <w:r w:rsidR="00E04938" w:rsidRPr="00E04938">
        <w:rPr>
          <w:rFonts w:cs="Times New Roman"/>
        </w:rPr>
        <w:t xml:space="preserve">ir plaša tēma un šobrīd izdevumu līmenis Latvijā </w:t>
      </w:r>
      <w:r w:rsidR="00826005">
        <w:rPr>
          <w:rFonts w:cs="Times New Roman"/>
        </w:rPr>
        <w:t>sociālajai aizsardzībai</w:t>
      </w:r>
      <w:r w:rsidR="00826005" w:rsidRPr="00E04938">
        <w:rPr>
          <w:rFonts w:cs="Times New Roman"/>
        </w:rPr>
        <w:t xml:space="preserve"> </w:t>
      </w:r>
      <w:r w:rsidR="00E04938" w:rsidRPr="00E04938">
        <w:rPr>
          <w:rFonts w:cs="Times New Roman"/>
        </w:rPr>
        <w:t xml:space="preserve">ir viens no zemākajiem ES. </w:t>
      </w:r>
      <w:r w:rsidR="00826005">
        <w:rPr>
          <w:rFonts w:cs="Times New Roman"/>
        </w:rPr>
        <w:t>Vienlaikus LB prezentācijā  vērsa uzmanību</w:t>
      </w:r>
      <w:r w:rsidR="00E04938" w:rsidRPr="00E04938">
        <w:rPr>
          <w:rFonts w:cs="Times New Roman"/>
        </w:rPr>
        <w:t xml:space="preserve">, ka, analizējot nozares izdevumus un ar tiem saistītos radītājus, secināts, ka </w:t>
      </w:r>
      <w:r w:rsidR="00CC72FB">
        <w:rPr>
          <w:rFonts w:cs="Times New Roman"/>
        </w:rPr>
        <w:t xml:space="preserve">attiecībā uz </w:t>
      </w:r>
      <w:r w:rsidR="00E04938" w:rsidRPr="00E04938">
        <w:rPr>
          <w:rFonts w:cs="Times New Roman"/>
        </w:rPr>
        <w:t>iedzīvotājiem ar zemiem ienākumiem</w:t>
      </w:r>
      <w:r w:rsidR="00CC72FB">
        <w:rPr>
          <w:rFonts w:cs="Times New Roman"/>
        </w:rPr>
        <w:t xml:space="preserve"> nodokļu politikai ir mazāka ietekme nekā sociālajai palīdzībai</w:t>
      </w:r>
      <w:r w:rsidR="00E04938" w:rsidRPr="00E04938">
        <w:rPr>
          <w:rFonts w:cs="Times New Roman"/>
        </w:rPr>
        <w:t xml:space="preserve">. Savukārt sociālā atbalsta sistēma ir sadrumstalota gan skaita ziņā, gan finansiālajā apmērā. Kā iespējamos risinājumus situācijas uzlabošanai </w:t>
      </w:r>
      <w:r w:rsidR="00826005">
        <w:rPr>
          <w:rFonts w:cs="Times New Roman"/>
        </w:rPr>
        <w:t xml:space="preserve">LB </w:t>
      </w:r>
      <w:r w:rsidR="00E04938" w:rsidRPr="00E04938">
        <w:rPr>
          <w:rFonts w:cs="Times New Roman"/>
        </w:rPr>
        <w:t>min</w:t>
      </w:r>
      <w:r w:rsidR="00826005">
        <w:rPr>
          <w:rFonts w:cs="Times New Roman"/>
        </w:rPr>
        <w:t>ēja</w:t>
      </w:r>
      <w:r w:rsidR="00E04938" w:rsidRPr="00E04938">
        <w:rPr>
          <w:rFonts w:cs="Times New Roman"/>
        </w:rPr>
        <w:t xml:space="preserve"> mērķētas pabalstu sistēmas izveidi</w:t>
      </w:r>
      <w:r w:rsidR="00E43AC3">
        <w:rPr>
          <w:rFonts w:cs="Times New Roman"/>
        </w:rPr>
        <w:t>,</w:t>
      </w:r>
      <w:r w:rsidR="00E04938" w:rsidRPr="00E04938">
        <w:rPr>
          <w:rFonts w:cs="Times New Roman"/>
        </w:rPr>
        <w:t xml:space="preserve"> kā arī labāku nodokļu iekasējamību.</w:t>
      </w:r>
      <w:r w:rsidR="00E04938">
        <w:rPr>
          <w:rFonts w:cs="Times New Roman"/>
        </w:rPr>
        <w:t xml:space="preserve"> </w:t>
      </w:r>
      <w:r w:rsidR="00E04938" w:rsidRPr="00E04938">
        <w:rPr>
          <w:rFonts w:cs="Times New Roman"/>
        </w:rPr>
        <w:t>LB</w:t>
      </w:r>
      <w:r w:rsidR="00826005">
        <w:rPr>
          <w:rFonts w:cs="Times New Roman"/>
        </w:rPr>
        <w:t xml:space="preserve"> prezentācijā</w:t>
      </w:r>
      <w:r w:rsidR="00E04938" w:rsidRPr="00E04938">
        <w:rPr>
          <w:rFonts w:cs="Times New Roman"/>
        </w:rPr>
        <w:t xml:space="preserve"> </w:t>
      </w:r>
      <w:r w:rsidR="00826005">
        <w:rPr>
          <w:rFonts w:cs="Times New Roman"/>
        </w:rPr>
        <w:t xml:space="preserve"> </w:t>
      </w:r>
      <w:r w:rsidR="00826005">
        <w:rPr>
          <w:rFonts w:cs="Times New Roman"/>
        </w:rPr>
        <w:lastRenderedPageBreak/>
        <w:t>norādīj</w:t>
      </w:r>
      <w:r w:rsidR="00826005" w:rsidRPr="00E04938">
        <w:rPr>
          <w:rFonts w:cs="Times New Roman"/>
        </w:rPr>
        <w:t>a</w:t>
      </w:r>
      <w:r w:rsidR="00E04938" w:rsidRPr="00E04938">
        <w:rPr>
          <w:rFonts w:cs="Times New Roman"/>
        </w:rPr>
        <w:t>, ka izdevumi vispārējās valdības dienestiem ir zem ES vidējā līmeņa</w:t>
      </w:r>
      <w:r w:rsidR="00E43AC3">
        <w:rPr>
          <w:rFonts w:cs="Times New Roman"/>
        </w:rPr>
        <w:t>, tomēr norādīja</w:t>
      </w:r>
      <w:r w:rsidR="00E04938" w:rsidRPr="00E04938">
        <w:rPr>
          <w:rFonts w:cs="Times New Roman"/>
        </w:rPr>
        <w:t xml:space="preserve">, ka nodarbinātības jautājums valsts pārvaldē joprojām ir aktuāls un </w:t>
      </w:r>
      <w:r w:rsidR="00E43AC3">
        <w:rPr>
          <w:rFonts w:cs="Times New Roman"/>
        </w:rPr>
        <w:t xml:space="preserve">politikas attīstība </w:t>
      </w:r>
      <w:r w:rsidR="00E04938" w:rsidRPr="00E04938">
        <w:rPr>
          <w:rFonts w:cs="Times New Roman"/>
        </w:rPr>
        <w:t xml:space="preserve">nav </w:t>
      </w:r>
      <w:r w:rsidR="00E43AC3">
        <w:rPr>
          <w:rFonts w:cs="Times New Roman"/>
        </w:rPr>
        <w:t xml:space="preserve">bijusi </w:t>
      </w:r>
      <w:r w:rsidR="00E04938" w:rsidRPr="00E04938">
        <w:rPr>
          <w:rFonts w:cs="Times New Roman"/>
        </w:rPr>
        <w:t>viennozīmīg</w:t>
      </w:r>
      <w:r w:rsidR="00E43AC3">
        <w:rPr>
          <w:rFonts w:cs="Times New Roman"/>
        </w:rPr>
        <w:t>a</w:t>
      </w:r>
      <w:r w:rsidR="00E04938" w:rsidRPr="00E04938">
        <w:rPr>
          <w:rFonts w:cs="Times New Roman"/>
        </w:rPr>
        <w:t xml:space="preserve">. </w:t>
      </w:r>
      <w:r w:rsidR="00E43AC3">
        <w:rPr>
          <w:rFonts w:cs="Times New Roman"/>
        </w:rPr>
        <w:t xml:space="preserve">Turklāt </w:t>
      </w:r>
      <w:r w:rsidR="00E04938" w:rsidRPr="00E04938">
        <w:rPr>
          <w:rFonts w:cs="Times New Roman"/>
        </w:rPr>
        <w:t xml:space="preserve">pastāv potenciāls efektivitātes uzlabojumiem gan </w:t>
      </w:r>
      <w:r w:rsidR="00E43AC3">
        <w:rPr>
          <w:rFonts w:cs="Times New Roman"/>
        </w:rPr>
        <w:t xml:space="preserve">viedizācijas un </w:t>
      </w:r>
      <w:r w:rsidR="00E04938" w:rsidRPr="00E04938">
        <w:rPr>
          <w:rFonts w:cs="Times New Roman"/>
        </w:rPr>
        <w:t xml:space="preserve">digitalizācijas līmeņa paaugstināšanai visos pārvaldes līmeņos, gan valsts tiešās pārvaldes autobāzes izmantošanā, ņemot vērā, ka jau ir novērojamas labās prakses pieredzes abos jautājumos atsevišķās valsts pārvaldes iestādēs. </w:t>
      </w:r>
      <w:r w:rsidR="0005360F">
        <w:rPr>
          <w:rFonts w:cs="Times New Roman"/>
        </w:rPr>
        <w:t xml:space="preserve">Attiecībā uz izdevumiem, kas skar </w:t>
      </w:r>
      <w:r w:rsidR="00E04938" w:rsidRPr="004B28F2">
        <w:rPr>
          <w:rFonts w:cs="Times New Roman"/>
        </w:rPr>
        <w:t xml:space="preserve"> </w:t>
      </w:r>
      <w:r w:rsidR="0005360F">
        <w:rPr>
          <w:rFonts w:cs="Times New Roman"/>
        </w:rPr>
        <w:t xml:space="preserve">valsts </w:t>
      </w:r>
      <w:r w:rsidR="00E04938" w:rsidRPr="004B28F2">
        <w:rPr>
          <w:rFonts w:cs="Times New Roman"/>
        </w:rPr>
        <w:t xml:space="preserve">aizsardzību </w:t>
      </w:r>
      <w:r w:rsidR="0005360F">
        <w:rPr>
          <w:rFonts w:cs="Times New Roman"/>
        </w:rPr>
        <w:t>LB norāda, ka</w:t>
      </w:r>
      <w:r w:rsidR="00E04938" w:rsidRPr="004B28F2">
        <w:rPr>
          <w:rFonts w:cs="Times New Roman"/>
        </w:rPr>
        <w:t xml:space="preserve"> </w:t>
      </w:r>
      <w:r w:rsidR="00E43AC3">
        <w:rPr>
          <w:rFonts w:cs="Times New Roman"/>
        </w:rPr>
        <w:t xml:space="preserve">gados, kad faktiskie izdevumi pārsnieguši plānoto apmēru makroekonomisko rādītāju noviržu rezultātā, tas ir mazinājis potenciāli pieejamo finansējumu citām nozarēm. </w:t>
      </w:r>
      <w:r w:rsidR="0005360F">
        <w:rPr>
          <w:rFonts w:cs="Times New Roman"/>
        </w:rPr>
        <w:t>LB prezentācijā tiek</w:t>
      </w:r>
      <w:r w:rsidR="0005360F" w:rsidRPr="004B28F2">
        <w:rPr>
          <w:rFonts w:cs="Times New Roman"/>
        </w:rPr>
        <w:t xml:space="preserve"> </w:t>
      </w:r>
      <w:r w:rsidR="00E04938" w:rsidRPr="004B28F2">
        <w:rPr>
          <w:rFonts w:cs="Times New Roman"/>
        </w:rPr>
        <w:t>atzīmē</w:t>
      </w:r>
      <w:r w:rsidR="0005360F">
        <w:rPr>
          <w:rFonts w:cs="Times New Roman"/>
        </w:rPr>
        <w:t>ts</w:t>
      </w:r>
      <w:r w:rsidR="00E04938" w:rsidRPr="004B28F2">
        <w:rPr>
          <w:rFonts w:cs="Times New Roman"/>
        </w:rPr>
        <w:t xml:space="preserve">, ka atbalsts ekonomiskās darbības nodrošināšanai Latvijā ir augstāks kā </w:t>
      </w:r>
      <w:r w:rsidR="00373B4C">
        <w:rPr>
          <w:rFonts w:cs="Times New Roman"/>
        </w:rPr>
        <w:t>Lietuvā un</w:t>
      </w:r>
      <w:r w:rsidR="00373B4C" w:rsidRPr="00E04938">
        <w:rPr>
          <w:rFonts w:cs="Times New Roman"/>
        </w:rPr>
        <w:t xml:space="preserve"> </w:t>
      </w:r>
      <w:r w:rsidR="00373B4C">
        <w:rPr>
          <w:rFonts w:cs="Times New Roman"/>
        </w:rPr>
        <w:t>Igaunijā,</w:t>
      </w:r>
      <w:r w:rsidR="00373B4C" w:rsidRPr="004B28F2">
        <w:rPr>
          <w:rFonts w:cs="Times New Roman"/>
        </w:rPr>
        <w:t xml:space="preserve"> </w:t>
      </w:r>
      <w:r w:rsidR="00E04938" w:rsidRPr="004B28F2">
        <w:rPr>
          <w:rFonts w:cs="Times New Roman"/>
        </w:rPr>
        <w:t xml:space="preserve">kā arī pēdējos gados ir pieaugusi pašvaldību atbalsta daļa transporta jomā. </w:t>
      </w:r>
    </w:p>
    <w:p w14:paraId="40E544E9" w14:textId="77777777" w:rsidR="00E80A08" w:rsidRDefault="00581260" w:rsidP="000965D4">
      <w:pPr>
        <w:numPr>
          <w:ilvl w:val="0"/>
          <w:numId w:val="1"/>
        </w:numPr>
        <w:spacing w:after="120"/>
        <w:jc w:val="both"/>
        <w:rPr>
          <w:rFonts w:cs="Times New Roman"/>
        </w:rPr>
      </w:pPr>
      <w:r>
        <w:rPr>
          <w:rFonts w:cs="Times New Roman"/>
        </w:rPr>
        <w:t>V</w:t>
      </w:r>
      <w:r w:rsidRPr="00581260">
        <w:rPr>
          <w:rFonts w:cs="Times New Roman"/>
        </w:rPr>
        <w:t>alsts budžeta programmu (apakšprogrammu) funkciju un aktivitāš</w:t>
      </w:r>
      <w:r>
        <w:rPr>
          <w:rFonts w:cs="Times New Roman"/>
        </w:rPr>
        <w:t>u pārskatīšanas matricu analīze (FM prezentācija);</w:t>
      </w:r>
    </w:p>
    <w:p w14:paraId="36918140" w14:textId="77777777" w:rsidR="004B28F2" w:rsidRDefault="006F193F" w:rsidP="000965D4">
      <w:pPr>
        <w:numPr>
          <w:ilvl w:val="0"/>
          <w:numId w:val="1"/>
        </w:numPr>
        <w:spacing w:after="120"/>
        <w:jc w:val="both"/>
        <w:rPr>
          <w:rFonts w:cs="Times New Roman"/>
        </w:rPr>
      </w:pPr>
      <w:r>
        <w:rPr>
          <w:rFonts w:cs="Times New Roman"/>
        </w:rPr>
        <w:t>IZM pārraudzībā esošo jomu padziļināta finansēšanas analīze (</w:t>
      </w:r>
      <w:r>
        <w:t>augstākās izglītība, profesionālā izglītība, sporta nozare</w:t>
      </w:r>
      <w:r>
        <w:rPr>
          <w:rFonts w:cs="Times New Roman"/>
        </w:rPr>
        <w:t>)</w:t>
      </w:r>
      <w:r w:rsidR="00EF3CE9">
        <w:rPr>
          <w:rFonts w:cs="Times New Roman"/>
        </w:rPr>
        <w:t xml:space="preserve"> (</w:t>
      </w:r>
      <w:r w:rsidR="004D28CD">
        <w:rPr>
          <w:rFonts w:cs="Times New Roman"/>
        </w:rPr>
        <w:t xml:space="preserve">FM un </w:t>
      </w:r>
      <w:r w:rsidR="00EF3CE9">
        <w:rPr>
          <w:rFonts w:cs="Times New Roman"/>
        </w:rPr>
        <w:t>IZM prezentācijas);</w:t>
      </w:r>
    </w:p>
    <w:p w14:paraId="07184F97" w14:textId="2A2DCA8F" w:rsidR="00186E55" w:rsidRDefault="00C83D51" w:rsidP="000965D4">
      <w:pPr>
        <w:numPr>
          <w:ilvl w:val="0"/>
          <w:numId w:val="1"/>
        </w:numPr>
        <w:spacing w:after="120"/>
        <w:jc w:val="both"/>
        <w:rPr>
          <w:rFonts w:cs="Times New Roman"/>
        </w:rPr>
      </w:pPr>
      <w:r>
        <w:rPr>
          <w:color w:val="000000"/>
        </w:rPr>
        <w:t xml:space="preserve">Veselības nozares finansējuma izvērtējums, t.sk. </w:t>
      </w:r>
      <w:r>
        <w:t>veselības reformas pasākumu īstenošanai piešķirtā finansējuma analīze</w:t>
      </w:r>
      <w:r>
        <w:rPr>
          <w:rFonts w:cs="Times New Roman"/>
        </w:rPr>
        <w:t xml:space="preserve"> </w:t>
      </w:r>
      <w:r w:rsidR="00EF3CE9">
        <w:rPr>
          <w:rFonts w:cs="Times New Roman"/>
        </w:rPr>
        <w:t>(</w:t>
      </w:r>
      <w:r w:rsidR="004D28CD">
        <w:rPr>
          <w:rFonts w:cs="Times New Roman"/>
        </w:rPr>
        <w:t xml:space="preserve">FM un </w:t>
      </w:r>
      <w:r>
        <w:rPr>
          <w:rFonts w:cs="Times New Roman"/>
        </w:rPr>
        <w:t>VM prezentācijas</w:t>
      </w:r>
      <w:r w:rsidR="00EF3CE9">
        <w:rPr>
          <w:rFonts w:cs="Times New Roman"/>
        </w:rPr>
        <w:t>);</w:t>
      </w:r>
    </w:p>
    <w:p w14:paraId="39C0951C" w14:textId="32CB3E19" w:rsidR="0005360F" w:rsidRDefault="0005360F" w:rsidP="00373B4C">
      <w:pPr>
        <w:numPr>
          <w:ilvl w:val="0"/>
          <w:numId w:val="1"/>
        </w:numPr>
        <w:spacing w:after="120"/>
        <w:jc w:val="both"/>
        <w:rPr>
          <w:rFonts w:cs="Times New Roman"/>
        </w:rPr>
      </w:pPr>
      <w:r w:rsidRPr="0005360F">
        <w:rPr>
          <w:rFonts w:cs="Times New Roman"/>
        </w:rPr>
        <w:t xml:space="preserve">Izdevumu pārskatīšanas rezultāti un priekšlikumi to izmantošanai </w:t>
      </w:r>
      <w:r w:rsidRPr="0005360F">
        <w:rPr>
          <w:rFonts w:cs="Times New Roman"/>
        </w:rPr>
        <w:br/>
        <w:t>202</w:t>
      </w:r>
      <w:r>
        <w:rPr>
          <w:rFonts w:cs="Times New Roman"/>
        </w:rPr>
        <w:t>1</w:t>
      </w:r>
      <w:r w:rsidRPr="0005360F">
        <w:rPr>
          <w:rFonts w:cs="Times New Roman"/>
        </w:rPr>
        <w:t>.</w:t>
      </w:r>
      <w:r w:rsidR="00302182">
        <w:rPr>
          <w:rFonts w:cs="Times New Roman"/>
        </w:rPr>
        <w:t xml:space="preserve"> </w:t>
      </w:r>
      <w:r w:rsidRPr="0005360F">
        <w:rPr>
          <w:rFonts w:cs="Times New Roman"/>
        </w:rPr>
        <w:t>gada budžeta izstrādes procesā</w:t>
      </w:r>
      <w:r>
        <w:rPr>
          <w:rFonts w:cs="Times New Roman"/>
        </w:rPr>
        <w:t xml:space="preserve"> (FM prezentācija).</w:t>
      </w:r>
    </w:p>
    <w:p w14:paraId="4AB21771" w14:textId="77777777" w:rsidR="00EF3CE9" w:rsidRPr="00EF3CE9" w:rsidRDefault="00EF3CE9" w:rsidP="000965D4">
      <w:pPr>
        <w:spacing w:after="120"/>
        <w:ind w:left="1080"/>
        <w:jc w:val="both"/>
        <w:rPr>
          <w:rFonts w:cs="Times New Roman"/>
        </w:rPr>
      </w:pPr>
    </w:p>
    <w:p w14:paraId="2D3A1DBF" w14:textId="4E068DB8" w:rsidR="00186E55" w:rsidRPr="00E34052" w:rsidRDefault="002212E5" w:rsidP="000965D4">
      <w:pPr>
        <w:spacing w:after="120"/>
        <w:jc w:val="both"/>
        <w:rPr>
          <w:b/>
        </w:rPr>
      </w:pPr>
      <w:r>
        <w:rPr>
          <w:b/>
        </w:rPr>
        <w:t xml:space="preserve"> Covid-19 </w:t>
      </w:r>
      <w:r w:rsidR="00842894">
        <w:rPr>
          <w:b/>
        </w:rPr>
        <w:t xml:space="preserve">infekcija </w:t>
      </w:r>
      <w:r>
        <w:rPr>
          <w:b/>
        </w:rPr>
        <w:t>un ārkārtējās situācijas izsludināšanas ietekme uz izdevumu pārskatīšanu</w:t>
      </w:r>
    </w:p>
    <w:p w14:paraId="2993FE1B" w14:textId="7636BBF2" w:rsidR="00843169" w:rsidRDefault="00302182" w:rsidP="00E03708">
      <w:pPr>
        <w:spacing w:after="120"/>
        <w:ind w:firstLine="720"/>
        <w:jc w:val="both"/>
      </w:pPr>
      <w:r w:rsidRPr="00302182">
        <w:t>Ņemot vērā Pasaules veselības organizācijas 2020. gada 11. mart</w:t>
      </w:r>
      <w:r>
        <w:t>a</w:t>
      </w:r>
      <w:r w:rsidRPr="00302182">
        <w:t xml:space="preserve"> paziņojumu, ka Covid-19 ir sasniegusi pandēmijas apmērus</w:t>
      </w:r>
      <w:r>
        <w:t>, 2020. gada 12. martā Latvijā tika izsludināta ārkārtējā situācija (</w:t>
      </w:r>
      <w:r w:rsidR="00C36F40">
        <w:t xml:space="preserve">MK </w:t>
      </w:r>
      <w:r>
        <w:t>2020. gada 12. marta</w:t>
      </w:r>
      <w:r w:rsidR="00C36F40">
        <w:t xml:space="preserve"> rīkojums Nr.103 “</w:t>
      </w:r>
      <w:r w:rsidR="00C36F40" w:rsidRPr="00C36F40">
        <w:t>Par ārkārtējās situācijas izsludināšanu</w:t>
      </w:r>
      <w:r w:rsidR="00C36F40">
        <w:t>”)</w:t>
      </w:r>
      <w:r>
        <w:t xml:space="preserve">. </w:t>
      </w:r>
      <w:r w:rsidR="000B5363">
        <w:t xml:space="preserve">Ārkārtējās situācijas laikā, nosakot vairākus ierobežojumus, t. sk. klātienes darbu pārorientēšana uz attālinātu darbu, </w:t>
      </w:r>
      <w:r w:rsidR="008B7BBD" w:rsidRPr="00D76E10">
        <w:t xml:space="preserve"> </w:t>
      </w:r>
      <w:r w:rsidR="000B5363">
        <w:t>ne</w:t>
      </w:r>
      <w:r w:rsidR="008B7BBD" w:rsidRPr="00D76E10">
        <w:t xml:space="preserve">tika </w:t>
      </w:r>
      <w:r w:rsidR="000B5363">
        <w:t>organizētas</w:t>
      </w:r>
      <w:r w:rsidR="000B5363" w:rsidRPr="00D76E10">
        <w:t xml:space="preserve"> </w:t>
      </w:r>
      <w:r w:rsidR="008B7BBD" w:rsidRPr="00D76E10">
        <w:t xml:space="preserve">darba grupas sēdes, bet tika turpināts aktīvs </w:t>
      </w:r>
      <w:r w:rsidR="000B5363">
        <w:t xml:space="preserve">izdevumu </w:t>
      </w:r>
      <w:r w:rsidR="008B7BBD" w:rsidRPr="00D76E10">
        <w:t>izvērtēšanas process</w:t>
      </w:r>
      <w:r w:rsidR="003C7703" w:rsidRPr="00D76E10">
        <w:t>, t.sk.</w:t>
      </w:r>
      <w:r w:rsidR="00843169">
        <w:t xml:space="preserve"> pārskatot tekošā gada budžeta izdevumus</w:t>
      </w:r>
      <w:r w:rsidR="008B7BBD" w:rsidRPr="00D76E10">
        <w:t xml:space="preserve">. </w:t>
      </w:r>
      <w:r w:rsidR="003C7703" w:rsidRPr="00D76E10">
        <w:t xml:space="preserve">Ņemot vērā, ka Latvijā </w:t>
      </w:r>
      <w:r w:rsidR="000B5363" w:rsidRPr="00D76E10">
        <w:t>ārkārt</w:t>
      </w:r>
      <w:r w:rsidR="000B5363">
        <w:t>ējās</w:t>
      </w:r>
      <w:r w:rsidR="000B5363" w:rsidRPr="00D76E10">
        <w:t xml:space="preserve"> </w:t>
      </w:r>
      <w:r w:rsidR="003C7703" w:rsidRPr="00D76E10">
        <w:t xml:space="preserve">situācijas </w:t>
      </w:r>
      <w:r w:rsidR="000B5363" w:rsidRPr="00D76E10">
        <w:t>laik</w:t>
      </w:r>
      <w:r w:rsidR="000B5363">
        <w:t>ā</w:t>
      </w:r>
      <w:r w:rsidR="000B5363" w:rsidRPr="00D76E10">
        <w:t xml:space="preserve"> </w:t>
      </w:r>
      <w:r w:rsidR="003C7703" w:rsidRPr="00D76E10">
        <w:t xml:space="preserve">tika apturēti visi starptautiskie avio, dzelzceļa, jūras un autobusu pasažieru pārvadājumi, slēgta valsts ārējā robeža, kā arī ierobežoti publiskie un mācību pasākumi valsts iekšienē, tika rosināts samazināt valsts pamatbudžetā pamatfunkciju īstenošanai plānotos </w:t>
      </w:r>
      <w:r w:rsidR="00843169">
        <w:t xml:space="preserve">komandējumu </w:t>
      </w:r>
      <w:r w:rsidR="00D76E10" w:rsidRPr="00D76E10">
        <w:t>izdevumus</w:t>
      </w:r>
      <w:r w:rsidR="009414A8">
        <w:t xml:space="preserve"> </w:t>
      </w:r>
      <w:r w:rsidR="009414A8" w:rsidRPr="00D76E10">
        <w:t>10% apmērā</w:t>
      </w:r>
      <w:r w:rsidR="009414A8">
        <w:t xml:space="preserve"> un </w:t>
      </w:r>
      <w:r w:rsidR="00843169">
        <w:t xml:space="preserve">veikt apropriācijas pārdali 1 493 511 </w:t>
      </w:r>
      <w:r w:rsidR="00843169" w:rsidRPr="00843169">
        <w:rPr>
          <w:i/>
        </w:rPr>
        <w:t>euro</w:t>
      </w:r>
      <w:r w:rsidR="00843169">
        <w:t xml:space="preserve"> apmērā no ministriju un citu centrālo valsts iestāžu budžetiem uz budžeta resora “74.Gadskārtējā valsts budžeta izpildes procesā pārdalāmais finansējums” programmu 02.00.00 “Līdzekļi neparedzētiem gadījumiem”</w:t>
      </w:r>
      <w:r w:rsidR="009414A8">
        <w:t>.</w:t>
      </w:r>
    </w:p>
    <w:p w14:paraId="2CD518E5" w14:textId="6B8F2972" w:rsidR="00D006F5" w:rsidRDefault="00D006F5" w:rsidP="00E03708">
      <w:pPr>
        <w:spacing w:after="120"/>
        <w:ind w:firstLine="720"/>
        <w:jc w:val="both"/>
      </w:pPr>
    </w:p>
    <w:p w14:paraId="6E35E8A2" w14:textId="77777777" w:rsidR="00D006F5" w:rsidRDefault="00D006F5" w:rsidP="00E03708">
      <w:pPr>
        <w:spacing w:after="120"/>
        <w:ind w:firstLine="720"/>
        <w:jc w:val="both"/>
      </w:pPr>
    </w:p>
    <w:p w14:paraId="04DAD816" w14:textId="48EA7FE2" w:rsidR="00615C60" w:rsidRPr="001110B1" w:rsidRDefault="00615C60" w:rsidP="00F302CC">
      <w:pPr>
        <w:spacing w:after="120"/>
        <w:jc w:val="both"/>
      </w:pPr>
    </w:p>
    <w:p w14:paraId="20375B95" w14:textId="77777777" w:rsidR="008D0275" w:rsidRDefault="008D0275" w:rsidP="000B1E7B">
      <w:pPr>
        <w:pStyle w:val="Heading1"/>
      </w:pPr>
      <w:bookmarkStart w:id="2" w:name="_Toc11145955"/>
      <w:bookmarkStart w:id="3" w:name="_Toc16781637"/>
      <w:bookmarkStart w:id="4" w:name="_Toc48200642"/>
      <w:r w:rsidRPr="008D0275">
        <w:lastRenderedPageBreak/>
        <w:t>IEPRIEKŠĒJĀS IZDEVUMU PĀRSKATĪŠANAS REZULTĀTU IEVIEŠANA</w:t>
      </w:r>
      <w:bookmarkEnd w:id="2"/>
      <w:bookmarkEnd w:id="3"/>
      <w:bookmarkEnd w:id="4"/>
    </w:p>
    <w:p w14:paraId="06C130C2" w14:textId="6B0FE548" w:rsidR="00B27399" w:rsidRDefault="00B27399" w:rsidP="00B27399">
      <w:pPr>
        <w:spacing w:after="120"/>
        <w:ind w:firstLine="720"/>
        <w:jc w:val="both"/>
      </w:pPr>
      <w:r>
        <w:t>Atbilstoši MK 2019. gada 20</w:t>
      </w:r>
      <w:r w:rsidRPr="00E76A5F">
        <w:t xml:space="preserve">. </w:t>
      </w:r>
      <w:r>
        <w:t>augusta</w:t>
      </w:r>
      <w:r w:rsidRPr="00E76A5F">
        <w:t xml:space="preserve"> sēdes protokolam Nr. </w:t>
      </w:r>
      <w:r>
        <w:t>3</w:t>
      </w:r>
      <w:r w:rsidRPr="00E76A5F">
        <w:t xml:space="preserve">5 </w:t>
      </w:r>
      <w:r>
        <w:t>26</w:t>
      </w:r>
      <w:r w:rsidRPr="00E76A5F">
        <w:t xml:space="preserve">.§ </w:t>
      </w:r>
      <w:r>
        <w:t>i</w:t>
      </w:r>
      <w:r w:rsidRPr="00E76A5F">
        <w:t xml:space="preserve">nformatīvais ziņojums </w:t>
      </w:r>
      <w:r w:rsidR="000673C8">
        <w:t>“</w:t>
      </w:r>
      <w:r w:rsidRPr="00E76A5F">
        <w:t xml:space="preserve">Par valsts budžeta izdevumu pārskatīšanas rezultātiem un priekšlikumi par šo rezultātu izmantošanu likumprojekta </w:t>
      </w:r>
      <w:r w:rsidR="000673C8">
        <w:t>“</w:t>
      </w:r>
      <w:r w:rsidRPr="00E76A5F">
        <w:t>Par vidēja termiņa budžeta ietvaru 2020., 2021. un 2022.gadam</w:t>
      </w:r>
      <w:r w:rsidR="000673C8">
        <w:t>”</w:t>
      </w:r>
      <w:r w:rsidRPr="00E76A5F">
        <w:t xml:space="preserve"> un likumprojekta </w:t>
      </w:r>
      <w:r w:rsidR="000673C8">
        <w:t>“</w:t>
      </w:r>
      <w:r w:rsidRPr="00E76A5F">
        <w:t>Par valsts budžetu 2020.gadam</w:t>
      </w:r>
      <w:r w:rsidR="000673C8">
        <w:t>”</w:t>
      </w:r>
      <w:r w:rsidRPr="00E76A5F">
        <w:t xml:space="preserve"> izstrādes procesā</w:t>
      </w:r>
      <w:r w:rsidR="000673C8">
        <w:t>”</w:t>
      </w:r>
      <w:r w:rsidRPr="00E76A5F">
        <w:t xml:space="preserve"> </w:t>
      </w:r>
      <w:r>
        <w:t>(turpmāk – MK 2019. gada 20</w:t>
      </w:r>
      <w:r w:rsidRPr="00E76A5F">
        <w:t xml:space="preserve">. </w:t>
      </w:r>
      <w:r>
        <w:t>augusta</w:t>
      </w:r>
      <w:r w:rsidRPr="00E76A5F">
        <w:t xml:space="preserve"> sēdes protokols Nr. </w:t>
      </w:r>
      <w:r>
        <w:t>3</w:t>
      </w:r>
      <w:r w:rsidRPr="00E76A5F">
        <w:t xml:space="preserve">5 </w:t>
      </w:r>
      <w:r>
        <w:t>26</w:t>
      </w:r>
      <w:r w:rsidRPr="00E76A5F">
        <w:t>.§) nolemtajam izdevumu pārskatīšanas rezultātā identificēti pieejamie resursi</w:t>
      </w:r>
      <w:r>
        <w:t xml:space="preserve"> 2020. gadam 93,7 milj. </w:t>
      </w:r>
      <w:r w:rsidRPr="00306284">
        <w:rPr>
          <w:i/>
        </w:rPr>
        <w:t>euro</w:t>
      </w:r>
      <w:r>
        <w:t xml:space="preserve"> un 2021. gadam 34,5</w:t>
      </w:r>
      <w:r w:rsidRPr="00E76A5F">
        <w:t xml:space="preserve"> milj. </w:t>
      </w:r>
      <w:r w:rsidRPr="00306284">
        <w:rPr>
          <w:i/>
        </w:rPr>
        <w:t>euro</w:t>
      </w:r>
      <w:r w:rsidRPr="00E76A5F">
        <w:t xml:space="preserve"> apmērā (</w:t>
      </w:r>
      <w:r>
        <w:fldChar w:fldCharType="begin"/>
      </w:r>
      <w:r>
        <w:instrText xml:space="preserve"> REF _Ref45720334 \h </w:instrText>
      </w:r>
      <w:r>
        <w:fldChar w:fldCharType="separate"/>
      </w:r>
      <w:r w:rsidR="00D96F20">
        <w:t xml:space="preserve">Attēls Nr. </w:t>
      </w:r>
      <w:r w:rsidR="00D96F20">
        <w:rPr>
          <w:noProof/>
        </w:rPr>
        <w:t>2</w:t>
      </w:r>
      <w:r>
        <w:fldChar w:fldCharType="end"/>
      </w:r>
      <w:r w:rsidRPr="00E76A5F">
        <w:t>).</w:t>
      </w:r>
    </w:p>
    <w:p w14:paraId="3C783CD9" w14:textId="46F15A30" w:rsidR="00B27399" w:rsidRDefault="00B27399" w:rsidP="000965D4">
      <w:pPr>
        <w:pStyle w:val="Caption"/>
        <w:spacing w:before="0"/>
        <w:rPr>
          <w:b/>
        </w:rPr>
      </w:pPr>
      <w:bookmarkStart w:id="5" w:name="_Ref45720334"/>
      <w:r>
        <w:t xml:space="preserve">Attēls Nr. </w:t>
      </w:r>
      <w:fldSimple w:instr=" SEQ Attēls_Nr. \* ARABIC ">
        <w:r w:rsidR="00D96F20">
          <w:rPr>
            <w:noProof/>
          </w:rPr>
          <w:t>2</w:t>
        </w:r>
      </w:fldSimple>
      <w:bookmarkEnd w:id="5"/>
    </w:p>
    <w:p w14:paraId="6BC3176A" w14:textId="59B27CD6" w:rsidR="00B27399" w:rsidRDefault="00E43AC3" w:rsidP="00B27399">
      <w:pPr>
        <w:spacing w:after="120"/>
        <w:jc w:val="center"/>
        <w:rPr>
          <w:b/>
          <w:i/>
        </w:rPr>
      </w:pPr>
      <w:r>
        <w:rPr>
          <w:b/>
        </w:rPr>
        <w:t>Iepriekšējo gadu i</w:t>
      </w:r>
      <w:r w:rsidR="00B27399" w:rsidRPr="00B27E80">
        <w:rPr>
          <w:b/>
        </w:rPr>
        <w:t xml:space="preserve">zdevumu pārskatīšanas rezultātā identificētie pieejamie resursi un ministriju ieviestais, milj. </w:t>
      </w:r>
      <w:r w:rsidR="00B27399" w:rsidRPr="00B27E80">
        <w:rPr>
          <w:b/>
          <w:i/>
        </w:rPr>
        <w:t>euro</w:t>
      </w:r>
    </w:p>
    <w:p w14:paraId="36661B65" w14:textId="6910561C" w:rsidR="00B27399" w:rsidRDefault="00E03708" w:rsidP="00B27399">
      <w:pPr>
        <w:spacing w:after="120"/>
        <w:jc w:val="center"/>
      </w:pPr>
      <w:r w:rsidRPr="00E03708">
        <w:rPr>
          <w:noProof/>
          <w:sz w:val="32"/>
          <w:lang w:eastAsia="lv-LV"/>
        </w:rPr>
        <w:drawing>
          <wp:inline distT="0" distB="0" distL="0" distR="0" wp14:anchorId="32C45D45" wp14:editId="43C33404">
            <wp:extent cx="4803112" cy="3024554"/>
            <wp:effectExtent l="0" t="0" r="17145" b="4445"/>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635BC19" w14:textId="25E3883E" w:rsidR="00B27399" w:rsidRDefault="00E46A09" w:rsidP="000E4BCB">
      <w:pPr>
        <w:spacing w:after="120"/>
        <w:ind w:firstLine="720"/>
        <w:jc w:val="both"/>
      </w:pPr>
      <w:r>
        <w:t>Kā redzams attēlā (</w:t>
      </w:r>
      <w:r>
        <w:fldChar w:fldCharType="begin"/>
      </w:r>
      <w:r>
        <w:instrText xml:space="preserve"> REF _Ref45720334 \h </w:instrText>
      </w:r>
      <w:r>
        <w:fldChar w:fldCharType="separate"/>
      </w:r>
      <w:r w:rsidR="00D96F20">
        <w:t xml:space="preserve">Attēls Nr. </w:t>
      </w:r>
      <w:r w:rsidR="00D96F20">
        <w:rPr>
          <w:noProof/>
        </w:rPr>
        <w:t>2</w:t>
      </w:r>
      <w:r>
        <w:fldChar w:fldCharType="end"/>
      </w:r>
      <w:r>
        <w:t>) i</w:t>
      </w:r>
      <w:r w:rsidR="00B27399" w:rsidRPr="00E2577C">
        <w:t>epriekšējās izdevumu pārskatīšanas rezultātu ieviešana</w:t>
      </w:r>
      <w:r w:rsidR="00B27399">
        <w:t xml:space="preserve"> ir bijusi veiksmīga</w:t>
      </w:r>
      <w:r w:rsidR="00FC03C7">
        <w:t>, jo ieviests vairāk nekā sākotnēji tika konstatēts</w:t>
      </w:r>
      <w:r>
        <w:t xml:space="preserve">. </w:t>
      </w:r>
      <w:r w:rsidR="00B27399">
        <w:t>2020. gadā tika pārskatīti un citām prioritātēm novirzīti 95,5 milj. </w:t>
      </w:r>
      <w:r w:rsidR="00B27399" w:rsidRPr="00E2577C">
        <w:rPr>
          <w:i/>
        </w:rPr>
        <w:t>euro</w:t>
      </w:r>
      <w:r w:rsidR="00B27399">
        <w:t xml:space="preserve"> jeb 101,9%</w:t>
      </w:r>
      <w:r w:rsidR="00D12327">
        <w:t xml:space="preserve"> no plānotā</w:t>
      </w:r>
      <w:r w:rsidR="00B27399" w:rsidRPr="00E2577C">
        <w:t xml:space="preserve">, </w:t>
      </w:r>
      <w:r w:rsidR="00B27399">
        <w:t xml:space="preserve">2021. gadam pārskatīto un citām prioritātēm novirzīto resursu summa sasniedz 37,6 milj. </w:t>
      </w:r>
      <w:r w:rsidR="00B27399" w:rsidRPr="002D60BB">
        <w:rPr>
          <w:i/>
        </w:rPr>
        <w:t>euro</w:t>
      </w:r>
      <w:r w:rsidR="00B27399">
        <w:t xml:space="preserve"> jeb 109,0%</w:t>
      </w:r>
      <w:r w:rsidR="00D12327">
        <w:t xml:space="preserve"> no plānotā</w:t>
      </w:r>
      <w:r w:rsidR="00B27399">
        <w:t xml:space="preserve">. </w:t>
      </w:r>
    </w:p>
    <w:p w14:paraId="567DCCB8" w14:textId="2A39DDB2" w:rsidR="00B27399" w:rsidRDefault="00B27399" w:rsidP="000E4BCB">
      <w:pPr>
        <w:spacing w:after="120"/>
        <w:ind w:firstLine="720"/>
        <w:jc w:val="both"/>
      </w:pPr>
      <w:r>
        <w:t>Detalizētāk skatot ieviestos rezultātus, secināms, ka vislielākais finansiālais apjoms, ko novirzīt aktuālāku prioritāšu īstenošanai 2020. gadam, konstatēts, p</w:t>
      </w:r>
      <w:r w:rsidRPr="0073412E">
        <w:t>ārskatot iepriekšējo periodu prioritāros un citus pasākumus</w:t>
      </w:r>
      <w:r>
        <w:t xml:space="preserve"> – 83,5 milj. </w:t>
      </w:r>
      <w:r w:rsidRPr="00A0745F">
        <w:rPr>
          <w:i/>
        </w:rPr>
        <w:t>euro</w:t>
      </w:r>
      <w:r>
        <w:t xml:space="preserve">, no kuriem ieviesti 83,3 milj. </w:t>
      </w:r>
      <w:r w:rsidRPr="00A0745F">
        <w:rPr>
          <w:i/>
        </w:rPr>
        <w:t>euro</w:t>
      </w:r>
      <w:r w:rsidR="00D12327">
        <w:t xml:space="preserve"> jeb 99,8%</w:t>
      </w:r>
      <w:r w:rsidR="00FC03C7">
        <w:t>.</w:t>
      </w:r>
      <w:r>
        <w:t xml:space="preserve"> IZM, pārskatot izdevumus apakšprogrammā </w:t>
      </w:r>
      <w:r w:rsidRPr="009A7BB4">
        <w:t>03.04.00 “Studējošo un studiju kreditēšana”</w:t>
      </w:r>
      <w:r w:rsidR="00FC03C7">
        <w:t>,</w:t>
      </w:r>
      <w:r>
        <w:t xml:space="preserve"> kā arī tālmācības mācību iestādēs, spējis ieviest attiecīgi 749 042</w:t>
      </w:r>
      <w:r w:rsidRPr="00E46A09">
        <w:rPr>
          <w:i/>
        </w:rPr>
        <w:t xml:space="preserve"> euro</w:t>
      </w:r>
      <w:r>
        <w:t xml:space="preserve"> (100% no konstatētās summas) un 245 556 </w:t>
      </w:r>
      <w:r w:rsidRPr="00E46A09">
        <w:rPr>
          <w:i/>
        </w:rPr>
        <w:t>euro</w:t>
      </w:r>
      <w:r>
        <w:t xml:space="preserve"> jeb 103% no sākotnēji aprēķinātās summas 2020.</w:t>
      </w:r>
      <w:r w:rsidR="00FC03C7">
        <w:t xml:space="preserve"> </w:t>
      </w:r>
      <w:r>
        <w:t xml:space="preserve">gadā. Savukārt, VM, pārskatot izdevumus par kopējiem zāļu iepirkumiem visām Baltijas valstīm, iekšējiem resursiem spēja novirzīt 589 737 </w:t>
      </w:r>
      <w:r w:rsidRPr="00E46A09">
        <w:rPr>
          <w:i/>
        </w:rPr>
        <w:t>euro</w:t>
      </w:r>
      <w:r>
        <w:t xml:space="preserve"> jeb 108% no sākotnēji aprēķinātās summas izdevumu pārskatīšanas rezultātā.</w:t>
      </w:r>
    </w:p>
    <w:p w14:paraId="33238D2E" w14:textId="4C2205F9" w:rsidR="00B27399" w:rsidRDefault="00B27399" w:rsidP="000E4BCB">
      <w:pPr>
        <w:spacing w:after="120"/>
        <w:ind w:firstLine="720"/>
        <w:jc w:val="both"/>
      </w:pPr>
      <w:r>
        <w:t xml:space="preserve">Iepriekšējā izdevumu pārskatīšanas procesā tika veikta valsts budžeta programmu horizontālā pārskatīšana, kuras ietvaros tika pārskatīti resoru izdevumi telefonsakariem un </w:t>
      </w:r>
      <w:r>
        <w:lastRenderedPageBreak/>
        <w:t>drukas iekārtām. Šajās pozīcijās 2020.</w:t>
      </w:r>
      <w:r w:rsidR="00FC03C7">
        <w:t xml:space="preserve"> </w:t>
      </w:r>
      <w:r>
        <w:t xml:space="preserve">gadam tika konstatēti 390 613 </w:t>
      </w:r>
      <w:r w:rsidRPr="00AE5D28">
        <w:rPr>
          <w:i/>
        </w:rPr>
        <w:t>euro</w:t>
      </w:r>
      <w:r>
        <w:t xml:space="preserve">, no kuriem ieviesti 254 603 </w:t>
      </w:r>
      <w:r w:rsidRPr="00AE5D28">
        <w:rPr>
          <w:i/>
        </w:rPr>
        <w:t>euro</w:t>
      </w:r>
      <w:r>
        <w:t xml:space="preserve"> jeb 65,2%. Starp tiem lielākais īpatsvars starp ieviesto un konstatēto ir drukas iekārtu izdevumu pārskatīšanai, kur ieviests tika 93,8% jeb 189 202 </w:t>
      </w:r>
      <w:r w:rsidRPr="00AE5D28">
        <w:rPr>
          <w:i/>
        </w:rPr>
        <w:t>euro</w:t>
      </w:r>
      <w:r>
        <w:t>.</w:t>
      </w:r>
    </w:p>
    <w:p w14:paraId="75EBEB7C" w14:textId="34C2EA65" w:rsidR="00B27399" w:rsidRDefault="00B27399" w:rsidP="000E4BCB">
      <w:pPr>
        <w:spacing w:after="120"/>
        <w:ind w:firstLine="720"/>
        <w:jc w:val="both"/>
      </w:pPr>
      <w:r>
        <w:t xml:space="preserve">Lielākais apjoms, kas pārsniedz konstatēto tika ieviests IZM apakšprogrammas </w:t>
      </w:r>
      <w:r w:rsidRPr="00C64869">
        <w:t>01.07.00 “Dotācija brīvpusdienu nodrošināšanai 1., 2., 3. un 4.klases izglītojamiem”</w:t>
      </w:r>
      <w:r>
        <w:t xml:space="preserve"> ietvaros. Ieviestā summa ir 9,8 milj. </w:t>
      </w:r>
      <w:r w:rsidRPr="0053213F">
        <w:rPr>
          <w:i/>
        </w:rPr>
        <w:t>euro</w:t>
      </w:r>
      <w:r>
        <w:t xml:space="preserve">, turpretī sākotnējie aprēķini, </w:t>
      </w:r>
      <w:r w:rsidR="00A57171">
        <w:t xml:space="preserve">norādot </w:t>
      </w:r>
      <w:r>
        <w:t xml:space="preserve">IZM pārvērtēt augstākminētās apakšprogrammas finansējumu </w:t>
      </w:r>
      <w:r w:rsidR="00A57171">
        <w:t xml:space="preserve">un </w:t>
      </w:r>
      <w:r>
        <w:t xml:space="preserve">pielāgot to valstī esošajai demogrāfiskajai situācijai, bija 1,3 milj. </w:t>
      </w:r>
      <w:r w:rsidRPr="0053213F">
        <w:rPr>
          <w:i/>
        </w:rPr>
        <w:t>euro</w:t>
      </w:r>
      <w:r>
        <w:t>.</w:t>
      </w:r>
    </w:p>
    <w:p w14:paraId="76B5E2B7" w14:textId="6847365C" w:rsidR="00B27399" w:rsidRDefault="00B27399" w:rsidP="000E4BCB">
      <w:pPr>
        <w:spacing w:after="120"/>
        <w:ind w:firstLine="720"/>
        <w:jc w:val="both"/>
        <w:rPr>
          <w:iCs/>
          <w:szCs w:val="18"/>
        </w:rPr>
      </w:pPr>
      <w:bookmarkStart w:id="6" w:name="_Ref16156401"/>
      <w:r w:rsidRPr="0073412E">
        <w:t>201</w:t>
      </w:r>
      <w:r>
        <w:t>9</w:t>
      </w:r>
      <w:r w:rsidRPr="0073412E">
        <w:t>.</w:t>
      </w:r>
      <w:r>
        <w:t xml:space="preserve"> </w:t>
      </w:r>
      <w:r w:rsidRPr="0073412E">
        <w:t>ga</w:t>
      </w:r>
      <w:r>
        <w:t>dā tika identificēts resurss 3,7</w:t>
      </w:r>
      <w:r w:rsidRPr="0073412E">
        <w:t xml:space="preserve"> milj. </w:t>
      </w:r>
      <w:r w:rsidRPr="0073412E">
        <w:rPr>
          <w:i/>
        </w:rPr>
        <w:t>euro</w:t>
      </w:r>
      <w:r w:rsidRPr="0073412E">
        <w:t xml:space="preserve"> apmērā. 2019.</w:t>
      </w:r>
      <w:r>
        <w:t xml:space="preserve"> </w:t>
      </w:r>
      <w:r w:rsidRPr="0073412E">
        <w:t xml:space="preserve">gadā pārskatot ilgstošās vakances, konstatēts, ka ieviesti </w:t>
      </w:r>
      <w:r>
        <w:t>tikai 82 284</w:t>
      </w:r>
      <w:r w:rsidRPr="0073412E">
        <w:t xml:space="preserve"> </w:t>
      </w:r>
      <w:r w:rsidRPr="00215CA6">
        <w:rPr>
          <w:i/>
        </w:rPr>
        <w:t>euro</w:t>
      </w:r>
      <w:r>
        <w:t xml:space="preserve">, </w:t>
      </w:r>
      <w:r w:rsidRPr="00D8007F">
        <w:t>likvidējot</w:t>
      </w:r>
      <w:r w:rsidRPr="0073412E">
        <w:t xml:space="preserve"> ilgstošās vakances. </w:t>
      </w:r>
    </w:p>
    <w:bookmarkEnd w:id="6"/>
    <w:p w14:paraId="1091886A" w14:textId="096AA727" w:rsidR="000E4BCB" w:rsidRPr="00614F8C" w:rsidRDefault="00F63ABC" w:rsidP="00D006F5">
      <w:pPr>
        <w:pStyle w:val="Caption"/>
        <w:ind w:firstLine="720"/>
        <w:jc w:val="both"/>
      </w:pPr>
      <w:r>
        <w:t>Ar MK 2019.</w:t>
      </w:r>
      <w:r w:rsidR="00A150C2">
        <w:t xml:space="preserve"> </w:t>
      </w:r>
      <w:r w:rsidRPr="00092CF5">
        <w:t xml:space="preserve">gada </w:t>
      </w:r>
      <w:r>
        <w:t>20.</w:t>
      </w:r>
      <w:r w:rsidR="00A150C2">
        <w:t xml:space="preserve"> </w:t>
      </w:r>
      <w:r>
        <w:t>augusta</w:t>
      </w:r>
      <w:r w:rsidRPr="00092CF5">
        <w:t xml:space="preserve"> sēdes protokolu Nr. </w:t>
      </w:r>
      <w:r>
        <w:t>35</w:t>
      </w:r>
      <w:r w:rsidRPr="00092CF5">
        <w:t xml:space="preserve"> </w:t>
      </w:r>
      <w:r>
        <w:t>26.§ ministrijām tika uzdoti 49</w:t>
      </w:r>
      <w:r w:rsidRPr="00092CF5">
        <w:t xml:space="preserve"> uzdevumi. Lielākoties uzdevumu  izpildes statuss ir izpildīts (</w:t>
      </w:r>
      <w:r>
        <w:t>76</w:t>
      </w:r>
      <w:r w:rsidRPr="00092CF5">
        <w:t>%) vai uzsākts (</w:t>
      </w:r>
      <w:r>
        <w:t>22</w:t>
      </w:r>
      <w:r w:rsidRPr="00092CF5">
        <w:t>%) (</w:t>
      </w:r>
      <w:r w:rsidR="00614F8C">
        <w:fldChar w:fldCharType="begin"/>
      </w:r>
      <w:r w:rsidR="00614F8C">
        <w:instrText xml:space="preserve"> REF _Ref47946814 \h </w:instrText>
      </w:r>
      <w:r w:rsidR="00614F8C">
        <w:fldChar w:fldCharType="separate"/>
      </w:r>
      <w:r w:rsidR="00D96F20">
        <w:t xml:space="preserve">Attēls Nr. </w:t>
      </w:r>
      <w:r w:rsidR="00D96F20">
        <w:rPr>
          <w:noProof/>
        </w:rPr>
        <w:t>3</w:t>
      </w:r>
      <w:r w:rsidR="00614F8C">
        <w:fldChar w:fldCharType="end"/>
      </w:r>
      <w:r w:rsidRPr="00092CF5">
        <w:t xml:space="preserve">). </w:t>
      </w:r>
      <w:r>
        <w:t>Vienam uzdevumam (2%) uzdevuma izpildes statusu nav iespējams novērtēt</w:t>
      </w:r>
      <w:r w:rsidRPr="00092CF5">
        <w:t>. Tālāk tekstā sniegta informācija par tiem uzdevumiem, kuru izpildes progresu iespējams novērtēt.</w:t>
      </w:r>
      <w:bookmarkStart w:id="7" w:name="_Ref46844618"/>
    </w:p>
    <w:p w14:paraId="0F32BF5F" w14:textId="66C768C0" w:rsidR="00F63ABC" w:rsidRDefault="00F63ABC" w:rsidP="00F63ABC">
      <w:pPr>
        <w:pStyle w:val="Caption"/>
        <w:rPr>
          <w:b/>
        </w:rPr>
      </w:pPr>
      <w:bookmarkStart w:id="8" w:name="_Ref47946814"/>
      <w:r>
        <w:t xml:space="preserve">Attēls Nr. </w:t>
      </w:r>
      <w:fldSimple w:instr=" SEQ Attēls_Nr. \* ARABIC ">
        <w:r w:rsidR="00D96F20">
          <w:rPr>
            <w:noProof/>
          </w:rPr>
          <w:t>3</w:t>
        </w:r>
      </w:fldSimple>
      <w:bookmarkEnd w:id="7"/>
      <w:bookmarkEnd w:id="8"/>
    </w:p>
    <w:p w14:paraId="28E46B7E" w14:textId="49CE7FB1" w:rsidR="00F63ABC" w:rsidRPr="00092CF5" w:rsidRDefault="00F63ABC" w:rsidP="00F17C94">
      <w:pPr>
        <w:jc w:val="center"/>
        <w:rPr>
          <w:b/>
        </w:rPr>
      </w:pPr>
      <w:r w:rsidRPr="00092CF5">
        <w:rPr>
          <w:b/>
        </w:rPr>
        <w:t>Uzdoto uzdevumu izpildes statuss par MK 2019.</w:t>
      </w:r>
      <w:r w:rsidR="00A150C2">
        <w:rPr>
          <w:b/>
        </w:rPr>
        <w:t xml:space="preserve"> </w:t>
      </w:r>
      <w:r w:rsidRPr="00092CF5">
        <w:rPr>
          <w:b/>
        </w:rPr>
        <w:t>gada 20.</w:t>
      </w:r>
      <w:r w:rsidR="00A150C2">
        <w:rPr>
          <w:b/>
        </w:rPr>
        <w:t xml:space="preserve"> </w:t>
      </w:r>
      <w:r w:rsidRPr="00092CF5">
        <w:rPr>
          <w:b/>
        </w:rPr>
        <w:t>augusta sēdes protokolu</w:t>
      </w:r>
    </w:p>
    <w:p w14:paraId="5DFC7B4A" w14:textId="77777777" w:rsidR="00F63ABC" w:rsidRDefault="000D5D94" w:rsidP="00F63ABC">
      <w:pPr>
        <w:jc w:val="center"/>
      </w:pPr>
      <w:r>
        <w:rPr>
          <w:noProof/>
          <w:lang w:eastAsia="lv-LV"/>
        </w:rPr>
        <w:drawing>
          <wp:inline distT="0" distB="0" distL="0" distR="0" wp14:anchorId="26005370" wp14:editId="20AB8FA7">
            <wp:extent cx="4343400" cy="2447925"/>
            <wp:effectExtent l="0" t="0" r="0" b="9525"/>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12C0C4" w14:textId="77777777" w:rsidR="00F63ABC" w:rsidRPr="00F63ABC" w:rsidRDefault="00F63ABC" w:rsidP="000965D4">
      <w:pPr>
        <w:spacing w:after="120"/>
        <w:jc w:val="both"/>
        <w:rPr>
          <w:rFonts w:cs="Times New Roman"/>
          <w:b/>
          <w:u w:val="single"/>
        </w:rPr>
      </w:pPr>
      <w:r w:rsidRPr="00F63ABC">
        <w:rPr>
          <w:rFonts w:cs="Times New Roman"/>
          <w:b/>
          <w:u w:val="single"/>
        </w:rPr>
        <w:t>Izpildītie uzdevumi</w:t>
      </w:r>
    </w:p>
    <w:p w14:paraId="7C79F4D8" w14:textId="0E092774" w:rsidR="00F63ABC" w:rsidRPr="00F63ABC" w:rsidRDefault="00F63ABC" w:rsidP="000965D4">
      <w:pPr>
        <w:spacing w:after="120"/>
        <w:ind w:firstLine="720"/>
        <w:jc w:val="both"/>
        <w:rPr>
          <w:rFonts w:cs="Times New Roman"/>
        </w:rPr>
      </w:pPr>
      <w:r w:rsidRPr="00F63ABC">
        <w:rPr>
          <w:rFonts w:cs="Times New Roman"/>
        </w:rPr>
        <w:t>“</w:t>
      </w:r>
      <w:r w:rsidRPr="00F63ABC">
        <w:rPr>
          <w:rFonts w:cs="Times New Roman"/>
          <w:b/>
        </w:rPr>
        <w:t>7., 8., 9., 10., 11., 12., 13., 14., 16., 17., 18., 20., 21., 22., 39., 40., 41., 42.</w:t>
      </w:r>
      <w:r w:rsidR="00842894">
        <w:rPr>
          <w:rFonts w:cs="Times New Roman"/>
          <w:b/>
        </w:rPr>
        <w:t>, 43.</w:t>
      </w:r>
      <w:r w:rsidRPr="00F63ABC">
        <w:rPr>
          <w:rFonts w:cs="Times New Roman"/>
          <w:b/>
        </w:rPr>
        <w:t xml:space="preserve"> punktā </w:t>
      </w:r>
      <w:r w:rsidRPr="00F63ABC">
        <w:rPr>
          <w:rFonts w:cs="Times New Roman"/>
          <w:i/>
        </w:rPr>
        <w:t>noteikts atbalstīt finansējuma pārdales</w:t>
      </w:r>
      <w:r w:rsidRPr="00F63ABC">
        <w:rPr>
          <w:rFonts w:cs="Times New Roman"/>
        </w:rPr>
        <w:t>”</w:t>
      </w:r>
    </w:p>
    <w:p w14:paraId="6DB2F3E8" w14:textId="77777777" w:rsidR="00F63ABC" w:rsidRPr="00F63ABC" w:rsidRDefault="00F63ABC" w:rsidP="000965D4">
      <w:pPr>
        <w:spacing w:after="120"/>
        <w:ind w:firstLine="720"/>
        <w:jc w:val="both"/>
        <w:rPr>
          <w:rFonts w:cs="Times New Roman"/>
        </w:rPr>
      </w:pPr>
      <w:r w:rsidRPr="00F63ABC">
        <w:rPr>
          <w:rFonts w:cs="Times New Roman"/>
        </w:rPr>
        <w:t>Veiktas finansējuma pārdales atbilstoši protokollēmumā noteiktajam.</w:t>
      </w:r>
    </w:p>
    <w:p w14:paraId="05440BCA" w14:textId="77777777" w:rsidR="00CB7F17" w:rsidRPr="00F63ABC" w:rsidRDefault="00CB7F17" w:rsidP="00CB7F17">
      <w:pPr>
        <w:spacing w:before="120" w:after="120"/>
        <w:jc w:val="both"/>
        <w:rPr>
          <w:rFonts w:cs="Times New Roman"/>
        </w:rPr>
      </w:pPr>
      <w:r w:rsidRPr="00F63ABC">
        <w:rPr>
          <w:rFonts w:cs="Times New Roman"/>
        </w:rPr>
        <w:t>“</w:t>
      </w:r>
      <w:r w:rsidRPr="00F63ABC">
        <w:rPr>
          <w:rFonts w:cs="Times New Roman"/>
          <w:b/>
        </w:rPr>
        <w:t>15.punkts atbalstīt Zemkopības ministrijas</w:t>
      </w:r>
      <w:r w:rsidRPr="00F63ABC">
        <w:rPr>
          <w:rFonts w:cs="Times New Roman"/>
        </w:rPr>
        <w:t xml:space="preserve"> </w:t>
      </w:r>
      <w:r w:rsidRPr="00F63ABC">
        <w:rPr>
          <w:rFonts w:cs="Times New Roman"/>
          <w:i/>
        </w:rPr>
        <w:t>priekšlikumu veikt nepieciešamās darbības sadarbības modeļa maiņai ar lauksaimniecības nozares nevalstiskajām organizācijām atbilstoši Valsts kontroles ieteikumiem un budžeta apakšprogrammas 21.01.00 "Valsts atbalsts lauksaimniecībai un lauku attīstībai" ietvaros pasākumā "Atbalsts lauku un lauksaimnieku biedrību un nodibinājumu savstarpējās sadarbības veicināšanai un dalībai starptautiskās organizācijās" finansējumu 94 206 EUR apmērā 2020.gadā un turpmāk ik gadu pārdalīt pasākuma "Atbalsts lopkopības attīstībai" īstenošanai, attiecīgi sagatavojot un iesniedzot izskatīšanai Ministru kabinetā grozījumus Ministru kabineta 2013.gada 17. decembra noteikumos Nr. 1524 "Noteikumi par valsts atbalstu lauksaimniecībai".</w:t>
      </w:r>
      <w:r w:rsidRPr="00F63ABC">
        <w:rPr>
          <w:rFonts w:cs="Times New Roman"/>
        </w:rPr>
        <w:t>”</w:t>
      </w:r>
    </w:p>
    <w:p w14:paraId="1E84E547" w14:textId="6303BF86" w:rsidR="00CB7F17" w:rsidRPr="00360672" w:rsidRDefault="00CB7F17" w:rsidP="00CB7F17">
      <w:pPr>
        <w:spacing w:before="120" w:after="120"/>
        <w:ind w:firstLine="720"/>
        <w:jc w:val="both"/>
        <w:rPr>
          <w:rFonts w:cs="Times New Roman"/>
          <w:u w:val="single"/>
        </w:rPr>
      </w:pPr>
      <w:r w:rsidRPr="00F63ABC">
        <w:rPr>
          <w:rFonts w:cs="Times New Roman"/>
        </w:rPr>
        <w:lastRenderedPageBreak/>
        <w:t xml:space="preserve">ZM budžeta apakšprogrammā 21.01.00 </w:t>
      </w:r>
      <w:r w:rsidR="00DC713F">
        <w:rPr>
          <w:rFonts w:cs="Times New Roman"/>
        </w:rPr>
        <w:t>“</w:t>
      </w:r>
      <w:r w:rsidRPr="00F63ABC">
        <w:rPr>
          <w:rFonts w:cs="Times New Roman"/>
        </w:rPr>
        <w:t>Valsts atbalsts lauksaimniecībai un lauku attīstībai</w:t>
      </w:r>
      <w:r w:rsidR="00DC713F">
        <w:rPr>
          <w:rFonts w:cs="Times New Roman"/>
        </w:rPr>
        <w:t>”</w:t>
      </w:r>
      <w:r w:rsidRPr="00F63ABC">
        <w:rPr>
          <w:rFonts w:cs="Times New Roman"/>
        </w:rPr>
        <w:t xml:space="preserve"> izdevumi 2020.gadam 94 206 </w:t>
      </w:r>
      <w:r w:rsidRPr="00F63ABC">
        <w:rPr>
          <w:rFonts w:cs="Times New Roman"/>
          <w:i/>
        </w:rPr>
        <w:t>euro</w:t>
      </w:r>
      <w:r w:rsidRPr="00F63ABC">
        <w:rPr>
          <w:rFonts w:cs="Times New Roman"/>
        </w:rPr>
        <w:t xml:space="preserve"> nav ieviesti, jo ZM rosinot grozījumus MK 2013.</w:t>
      </w:r>
      <w:r w:rsidR="00DC713F">
        <w:rPr>
          <w:rFonts w:cs="Times New Roman"/>
        </w:rPr>
        <w:t xml:space="preserve"> </w:t>
      </w:r>
      <w:r w:rsidRPr="00F63ABC">
        <w:rPr>
          <w:rFonts w:cs="Times New Roman"/>
        </w:rPr>
        <w:t xml:space="preserve">gada 17. decembra noteikumos Nr.1524 </w:t>
      </w:r>
      <w:r w:rsidR="00DC713F">
        <w:rPr>
          <w:rFonts w:cs="Times New Roman"/>
        </w:rPr>
        <w:t>“</w:t>
      </w:r>
      <w:r w:rsidRPr="00F63ABC">
        <w:rPr>
          <w:rFonts w:cs="Times New Roman"/>
        </w:rPr>
        <w:t>Noteikumi par valsts atbalstu lauksaimniecībai</w:t>
      </w:r>
      <w:r w:rsidR="00DC713F">
        <w:rPr>
          <w:rFonts w:cs="Times New Roman"/>
        </w:rPr>
        <w:t>”</w:t>
      </w:r>
      <w:r w:rsidRPr="00F63ABC">
        <w:rPr>
          <w:rFonts w:cs="Times New Roman"/>
        </w:rPr>
        <w:t xml:space="preserve"> pasākumam “Atbalsts lopkopības attīstībai” paredzēto finansējuma apmēru samazināja, nevis palielināja. Attiecīgi, uzdevums ir izpildīts, taču mērķi nesasniedz.</w:t>
      </w:r>
    </w:p>
    <w:p w14:paraId="6B5CA4AA" w14:textId="434034BF" w:rsidR="00F63ABC" w:rsidRPr="00F63ABC" w:rsidRDefault="00360672" w:rsidP="000965D4">
      <w:pPr>
        <w:spacing w:after="120"/>
        <w:jc w:val="both"/>
        <w:rPr>
          <w:rFonts w:cs="Times New Roman"/>
        </w:rPr>
      </w:pPr>
      <w:r w:rsidRPr="00F63ABC">
        <w:rPr>
          <w:rFonts w:cs="Times New Roman"/>
        </w:rPr>
        <w:t xml:space="preserve"> </w:t>
      </w:r>
      <w:r w:rsidR="00F63ABC" w:rsidRPr="00F63ABC">
        <w:rPr>
          <w:rFonts w:cs="Times New Roman"/>
        </w:rPr>
        <w:t>“</w:t>
      </w:r>
      <w:r w:rsidR="00F63ABC" w:rsidRPr="00F63ABC">
        <w:rPr>
          <w:rFonts w:cs="Times New Roman"/>
          <w:b/>
        </w:rPr>
        <w:t>23.punkts Atbalstīt Izglītības un zinātnes ministrijas priekšlikumu</w:t>
      </w:r>
      <w:r w:rsidR="00F63ABC" w:rsidRPr="00F63ABC">
        <w:rPr>
          <w:rFonts w:cs="Times New Roman"/>
        </w:rPr>
        <w:t xml:space="preserve"> </w:t>
      </w:r>
      <w:r w:rsidR="00F63ABC" w:rsidRPr="00F63ABC">
        <w:rPr>
          <w:rFonts w:cs="Times New Roman"/>
          <w:i/>
        </w:rPr>
        <w:t xml:space="preserve">pārskatīt tālmācības programmu finansēšanas kārtību vispārējā izglītībā ar mērķi veicināt finansējuma izmantošanu atbilstoši izglītojamo skaita izmaiņām un pilnveidot kontroles mehānismu. Pēc minēto darbību veikšanas Izglītības un zinātnes ministrijai iesniegt attiecīgu informāciju Finanšu ministrijā izdevumu pārskatīšanas procesā saskaņā ar likumprojekta </w:t>
      </w:r>
      <w:r w:rsidR="00DC713F">
        <w:rPr>
          <w:rFonts w:cs="Times New Roman"/>
          <w:i/>
        </w:rPr>
        <w:t>“</w:t>
      </w:r>
      <w:r w:rsidR="00F63ABC" w:rsidRPr="00F63ABC">
        <w:rPr>
          <w:rFonts w:cs="Times New Roman"/>
          <w:i/>
        </w:rPr>
        <w:t>Par vidēja termiņa budžeta ietvaru 2021., 2022. un 2023.gadam</w:t>
      </w:r>
      <w:r w:rsidR="00DC713F">
        <w:rPr>
          <w:rFonts w:cs="Times New Roman"/>
          <w:i/>
        </w:rPr>
        <w:t>”</w:t>
      </w:r>
      <w:r w:rsidR="00F63ABC" w:rsidRPr="00F63ABC">
        <w:rPr>
          <w:rFonts w:cs="Times New Roman"/>
          <w:i/>
        </w:rPr>
        <w:t xml:space="preserve"> un likumprojekta </w:t>
      </w:r>
      <w:r w:rsidR="00DC713F">
        <w:rPr>
          <w:rFonts w:cs="Times New Roman"/>
          <w:i/>
        </w:rPr>
        <w:t>“</w:t>
      </w:r>
      <w:r w:rsidR="00F63ABC" w:rsidRPr="00F63ABC">
        <w:rPr>
          <w:rFonts w:cs="Times New Roman"/>
          <w:i/>
        </w:rPr>
        <w:t>Par valsts budžetu 2021.gadam</w:t>
      </w:r>
      <w:r w:rsidR="00DC713F">
        <w:rPr>
          <w:rFonts w:cs="Times New Roman"/>
          <w:i/>
        </w:rPr>
        <w:t>”</w:t>
      </w:r>
      <w:r w:rsidR="00F63ABC" w:rsidRPr="00F63ABC">
        <w:rPr>
          <w:rFonts w:cs="Times New Roman"/>
          <w:i/>
        </w:rPr>
        <w:t xml:space="preserve"> sagatavošanas grafikā noteiktajiem termiņiem.</w:t>
      </w:r>
      <w:r w:rsidR="00F63ABC" w:rsidRPr="00F63ABC">
        <w:rPr>
          <w:rFonts w:cs="Times New Roman"/>
        </w:rPr>
        <w:t>”</w:t>
      </w:r>
    </w:p>
    <w:p w14:paraId="5C25FFB9" w14:textId="74B2F2FF" w:rsidR="00F63ABC" w:rsidRPr="00F63ABC" w:rsidRDefault="00DC713F" w:rsidP="000965D4">
      <w:pPr>
        <w:spacing w:after="120"/>
        <w:ind w:firstLine="720"/>
        <w:jc w:val="both"/>
        <w:rPr>
          <w:rFonts w:cs="Times New Roman"/>
        </w:rPr>
      </w:pPr>
      <w:r>
        <w:rPr>
          <w:rFonts w:cs="Times New Roman"/>
        </w:rPr>
        <w:t xml:space="preserve">IZM ir sagatavojusi grozījumus un </w:t>
      </w:r>
      <w:r w:rsidR="00F63ABC" w:rsidRPr="00F63ABC">
        <w:rPr>
          <w:rFonts w:cs="Times New Roman"/>
        </w:rPr>
        <w:t>2020.</w:t>
      </w:r>
      <w:r>
        <w:rPr>
          <w:rFonts w:cs="Times New Roman"/>
        </w:rPr>
        <w:t xml:space="preserve"> </w:t>
      </w:r>
      <w:r w:rsidR="00F63ABC" w:rsidRPr="00F63ABC">
        <w:rPr>
          <w:rFonts w:cs="Times New Roman"/>
        </w:rPr>
        <w:t>gada 18.</w:t>
      </w:r>
      <w:r>
        <w:rPr>
          <w:rFonts w:cs="Times New Roman"/>
        </w:rPr>
        <w:t xml:space="preserve"> </w:t>
      </w:r>
      <w:r w:rsidR="00F63ABC" w:rsidRPr="00F63ABC">
        <w:rPr>
          <w:rFonts w:cs="Times New Roman"/>
        </w:rPr>
        <w:t xml:space="preserve">jūnijā VSS ir </w:t>
      </w:r>
      <w:r w:rsidRPr="00F63ABC">
        <w:rPr>
          <w:rFonts w:cs="Times New Roman"/>
        </w:rPr>
        <w:t>izsludinā</w:t>
      </w:r>
      <w:r>
        <w:rPr>
          <w:rFonts w:cs="Times New Roman"/>
        </w:rPr>
        <w:t>jusi grozījumus</w:t>
      </w:r>
      <w:r w:rsidRPr="00F63ABC">
        <w:rPr>
          <w:rFonts w:cs="Times New Roman"/>
        </w:rPr>
        <w:t xml:space="preserve"> </w:t>
      </w:r>
      <w:r w:rsidR="00F63ABC" w:rsidRPr="00F63ABC">
        <w:rPr>
          <w:rFonts w:cs="Times New Roman"/>
        </w:rPr>
        <w:t xml:space="preserve">MK </w:t>
      </w:r>
      <w:r>
        <w:rPr>
          <w:rFonts w:cs="Times New Roman"/>
        </w:rPr>
        <w:t xml:space="preserve">2017. gada 25. jūlija </w:t>
      </w:r>
      <w:r w:rsidRPr="00F63ABC">
        <w:rPr>
          <w:rFonts w:cs="Times New Roman"/>
        </w:rPr>
        <w:t>noteikum</w:t>
      </w:r>
      <w:r>
        <w:rPr>
          <w:rFonts w:cs="Times New Roman"/>
        </w:rPr>
        <w:t>os</w:t>
      </w:r>
      <w:r w:rsidRPr="00F63ABC">
        <w:rPr>
          <w:rFonts w:cs="Times New Roman"/>
        </w:rPr>
        <w:t xml:space="preserve"> </w:t>
      </w:r>
      <w:r w:rsidR="00F63ABC" w:rsidRPr="00F63ABC">
        <w:rPr>
          <w:rFonts w:cs="Times New Roman"/>
        </w:rPr>
        <w:t xml:space="preserve">Nr.420 </w:t>
      </w:r>
      <w:r>
        <w:rPr>
          <w:rFonts w:cs="Times New Roman"/>
        </w:rPr>
        <w:t>“</w:t>
      </w:r>
      <w:r w:rsidR="00F63ABC" w:rsidRPr="00F63ABC">
        <w:rPr>
          <w:rFonts w:cs="Times New Roman"/>
        </w:rPr>
        <w:t>Kārtība, kādā valsts finansē darba samaksu pedagogiem privātajās izglītības iestādēs</w:t>
      </w:r>
      <w:r>
        <w:rPr>
          <w:rFonts w:cs="Times New Roman"/>
        </w:rPr>
        <w:t>”</w:t>
      </w:r>
      <w:r w:rsidR="00282BA7">
        <w:rPr>
          <w:rFonts w:cs="Times New Roman"/>
        </w:rPr>
        <w:t xml:space="preserve"> (</w:t>
      </w:r>
      <w:r w:rsidR="00282BA7">
        <w:t>VSS-515</w:t>
      </w:r>
      <w:r w:rsidR="00282BA7">
        <w:rPr>
          <w:rFonts w:cs="Times New Roman"/>
        </w:rPr>
        <w:t>)</w:t>
      </w:r>
      <w:r w:rsidR="00F63ABC" w:rsidRPr="00F63ABC">
        <w:rPr>
          <w:rFonts w:cs="Times New Roman"/>
        </w:rPr>
        <w:t xml:space="preserve">, kurā ietverta norma, kas paredz, ka privātajās izglītības iestādēs izglītojamo skaitam, kas vienā un tajā pašā klasē tālmācības izglītības ieguves formā īstenotajās vispārējās vidējās izglītības programmās mācās vairāk kā vienu mācību gadu, piemēro koeficientu 0,3. </w:t>
      </w:r>
      <w:r>
        <w:rPr>
          <w:rFonts w:cs="Times New Roman"/>
        </w:rPr>
        <w:t>Vienlaikus IZM ir s</w:t>
      </w:r>
      <w:r w:rsidR="00F63ABC" w:rsidRPr="00F63ABC">
        <w:rPr>
          <w:rFonts w:cs="Times New Roman"/>
        </w:rPr>
        <w:t>agatavo</w:t>
      </w:r>
      <w:r>
        <w:rPr>
          <w:rFonts w:cs="Times New Roman"/>
        </w:rPr>
        <w:t>jusi</w:t>
      </w:r>
      <w:r w:rsidR="00F63ABC" w:rsidRPr="00F63ABC">
        <w:rPr>
          <w:rFonts w:cs="Times New Roman"/>
        </w:rPr>
        <w:t xml:space="preserve"> </w:t>
      </w:r>
      <w:r w:rsidR="00282BA7">
        <w:rPr>
          <w:rFonts w:cs="Times New Roman"/>
        </w:rPr>
        <w:t>MK noteikumus Nr. 3</w:t>
      </w:r>
      <w:r w:rsidR="00C22FE9">
        <w:rPr>
          <w:rFonts w:cs="Times New Roman"/>
        </w:rPr>
        <w:t>9</w:t>
      </w:r>
      <w:r w:rsidR="00282BA7">
        <w:rPr>
          <w:rFonts w:cs="Times New Roman"/>
        </w:rPr>
        <w:t>9 “G</w:t>
      </w:r>
      <w:r w:rsidRPr="00F63ABC">
        <w:rPr>
          <w:rFonts w:cs="Times New Roman"/>
        </w:rPr>
        <w:t>rozījum</w:t>
      </w:r>
      <w:r w:rsidR="00282BA7">
        <w:rPr>
          <w:rFonts w:cs="Times New Roman"/>
        </w:rPr>
        <w:t>i</w:t>
      </w:r>
      <w:r w:rsidRPr="00F63ABC">
        <w:rPr>
          <w:rFonts w:cs="Times New Roman"/>
        </w:rPr>
        <w:t xml:space="preserve"> </w:t>
      </w:r>
      <w:r w:rsidR="00F63ABC" w:rsidRPr="00F63ABC">
        <w:rPr>
          <w:rFonts w:cs="Times New Roman"/>
        </w:rPr>
        <w:t>MK 2016. gada 5. jūlija noteikumos Nr. 447 “Par valsts budžeta mērķdotāciju pedagogu darba samaksai pašvaldību vispārējās izglītības iestādēs un valsts augstskolu vispārējās vidējās izglītības iestādēs”</w:t>
      </w:r>
      <w:r w:rsidR="00282BA7">
        <w:rPr>
          <w:rFonts w:cs="Times New Roman"/>
        </w:rPr>
        <w:t>”</w:t>
      </w:r>
      <w:r w:rsidR="00F63ABC" w:rsidRPr="00F63ABC">
        <w:rPr>
          <w:rFonts w:cs="Times New Roman"/>
        </w:rPr>
        <w:t>, kas stāsies spēkā ar 2020.</w:t>
      </w:r>
      <w:r w:rsidR="00F557D2">
        <w:rPr>
          <w:rFonts w:cs="Times New Roman"/>
        </w:rPr>
        <w:t xml:space="preserve"> </w:t>
      </w:r>
      <w:r w:rsidR="00F63ABC" w:rsidRPr="00F63ABC">
        <w:rPr>
          <w:rFonts w:cs="Times New Roman"/>
        </w:rPr>
        <w:t>gada 1.</w:t>
      </w:r>
      <w:r w:rsidR="00F557D2">
        <w:rPr>
          <w:rFonts w:cs="Times New Roman"/>
        </w:rPr>
        <w:t xml:space="preserve"> </w:t>
      </w:r>
      <w:r w:rsidR="00F63ABC" w:rsidRPr="00F63ABC">
        <w:rPr>
          <w:rFonts w:cs="Times New Roman"/>
        </w:rPr>
        <w:t>septembri</w:t>
      </w:r>
      <w:r w:rsidR="00F557D2">
        <w:rPr>
          <w:rFonts w:cs="Times New Roman"/>
        </w:rPr>
        <w:t xml:space="preserve"> un</w:t>
      </w:r>
      <w:r w:rsidR="00F557D2" w:rsidRPr="00F63ABC">
        <w:rPr>
          <w:rFonts w:cs="Times New Roman"/>
        </w:rPr>
        <w:t xml:space="preserve"> </w:t>
      </w:r>
      <w:r w:rsidR="00F63ABC" w:rsidRPr="00F63ABC">
        <w:rPr>
          <w:rFonts w:cs="Times New Roman"/>
        </w:rPr>
        <w:t>kur</w:t>
      </w:r>
      <w:r w:rsidR="00F557D2">
        <w:rPr>
          <w:rFonts w:cs="Times New Roman"/>
        </w:rPr>
        <w:t>os</w:t>
      </w:r>
      <w:r w:rsidR="00F63ABC" w:rsidRPr="00F63ABC">
        <w:rPr>
          <w:rFonts w:cs="Times New Roman"/>
        </w:rPr>
        <w:t xml:space="preserve"> noteikts, ka izglītojamiem, kas mācās vispārējās vidējās izglītības posmā (10.-12.klasē) tālmācības programmās vairāk kā vienu reizi piemēro koeficientu 0,1 (šobrīd </w:t>
      </w:r>
      <w:r w:rsidR="00F557D2">
        <w:rPr>
          <w:rFonts w:cs="Times New Roman"/>
        </w:rPr>
        <w:t>tiek piemērots</w:t>
      </w:r>
      <w:r w:rsidR="00F557D2" w:rsidRPr="00F63ABC">
        <w:rPr>
          <w:rFonts w:cs="Times New Roman"/>
        </w:rPr>
        <w:t xml:space="preserve"> </w:t>
      </w:r>
      <w:r w:rsidR="00F63ABC" w:rsidRPr="00F63ABC">
        <w:rPr>
          <w:rFonts w:cs="Times New Roman"/>
        </w:rPr>
        <w:t>koeficients 0,6).</w:t>
      </w:r>
    </w:p>
    <w:p w14:paraId="38D040B0" w14:textId="5F4008AD" w:rsidR="00F63ABC" w:rsidRDefault="00CE4775" w:rsidP="000965D4">
      <w:pPr>
        <w:spacing w:after="120"/>
        <w:ind w:firstLine="720"/>
        <w:jc w:val="both"/>
        <w:rPr>
          <w:rFonts w:cs="Times New Roman"/>
        </w:rPr>
      </w:pPr>
      <w:r>
        <w:rPr>
          <w:rFonts w:cs="Times New Roman"/>
        </w:rPr>
        <w:t xml:space="preserve">IZM </w:t>
      </w:r>
      <w:r w:rsidR="00F63ABC" w:rsidRPr="00F63ABC">
        <w:rPr>
          <w:rFonts w:cs="Times New Roman"/>
        </w:rPr>
        <w:t xml:space="preserve"> gatavo </w:t>
      </w:r>
      <w:r w:rsidRPr="00F63ABC">
        <w:rPr>
          <w:rFonts w:cs="Times New Roman"/>
        </w:rPr>
        <w:t>grozījum</w:t>
      </w:r>
      <w:r>
        <w:rPr>
          <w:rFonts w:cs="Times New Roman"/>
        </w:rPr>
        <w:t xml:space="preserve">us </w:t>
      </w:r>
      <w:r w:rsidR="00F63ABC" w:rsidRPr="00F63ABC">
        <w:rPr>
          <w:rFonts w:cs="Times New Roman"/>
        </w:rPr>
        <w:t>arī Izglītības likumā, nosakot, ka regulējumu par pedagogu darba samaksas nodrošināšanu nepiemēro par izglītojamo, kas vienā un tajā pašā klasē tālmācības izglītības ieguves formā īstenotajās vispārējās vidējās izglītības programmās mācās vairāk kā vienu mācību gadu, šādā gadījumā pedagogu darba samaksa tiek nodrošināta no izglītības iestāžu dibinātāju budžeta.</w:t>
      </w:r>
    </w:p>
    <w:p w14:paraId="284E69AB"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26.punkts Atbalstīt Izglītības un zinātnes ministrijas priekšlikumu</w:t>
      </w:r>
      <w:r w:rsidRPr="00F63ABC">
        <w:rPr>
          <w:rFonts w:cs="Times New Roman"/>
        </w:rPr>
        <w:t xml:space="preserve"> </w:t>
      </w:r>
      <w:r w:rsidRPr="00F63ABC">
        <w:rPr>
          <w:rFonts w:cs="Times New Roman"/>
          <w:i/>
        </w:rPr>
        <w:t>pārskatīt doktorantūras finansēšanas principus atbilstoši starptautiskajai praksei, iekļaujot tajos augstskolas sniegumu pētniecībā un aizstāvēto promocijas darbu skaitu. Pēc minēto darbību veikšanas Izglītības un zinātnes ministrijai iesniegt attiecīgu informāciju Finanšu ministrijā izdevumu pārskatīšanas procesā saskaņā ar likumprojekta "Par vidēja termiņa budžeta ietvaru 2021., 2022. un 2023.gadam" un likumprojekta "Par valsts budžetu 2021.gadam" sagatavošanas grafikā noteiktajiem termiņiem.</w:t>
      </w:r>
      <w:r w:rsidRPr="00F63ABC">
        <w:rPr>
          <w:rFonts w:cs="Times New Roman"/>
        </w:rPr>
        <w:t>”</w:t>
      </w:r>
    </w:p>
    <w:p w14:paraId="633894C5" w14:textId="4991893D" w:rsidR="00F63ABC" w:rsidRPr="00F63ABC" w:rsidRDefault="00F63ABC" w:rsidP="00F17C94">
      <w:pPr>
        <w:spacing w:after="120"/>
        <w:ind w:firstLine="720"/>
        <w:jc w:val="both"/>
        <w:rPr>
          <w:rFonts w:cs="Times New Roman"/>
        </w:rPr>
      </w:pPr>
      <w:r w:rsidRPr="00F63ABC">
        <w:rPr>
          <w:rFonts w:cs="Times New Roman"/>
        </w:rPr>
        <w:t xml:space="preserve">IZM sagatavoja konceptuālo ziņojumu </w:t>
      </w:r>
      <w:r w:rsidR="006F5812">
        <w:rPr>
          <w:rFonts w:cs="Times New Roman"/>
        </w:rPr>
        <w:t>“P</w:t>
      </w:r>
      <w:r w:rsidRPr="00F63ABC">
        <w:rPr>
          <w:rFonts w:cs="Times New Roman"/>
        </w:rPr>
        <w:t>ar jauno doktorantūras finansēšanas mode</w:t>
      </w:r>
      <w:r w:rsidR="006F5812">
        <w:rPr>
          <w:rFonts w:cs="Times New Roman"/>
        </w:rPr>
        <w:t>ļa ieviešanu Latvijā”</w:t>
      </w:r>
      <w:r w:rsidRPr="00F63ABC">
        <w:rPr>
          <w:rFonts w:cs="Times New Roman"/>
        </w:rPr>
        <w:t>, kas paredz,</w:t>
      </w:r>
      <w:r w:rsidR="006F5812" w:rsidRPr="006F5812">
        <w:t xml:space="preserve"> </w:t>
      </w:r>
      <w:r w:rsidR="006F5812" w:rsidRPr="006F5812">
        <w:rPr>
          <w:rFonts w:cs="Times New Roman"/>
        </w:rPr>
        <w:t>paredz būtiski uzlabot doktorantūras studiju kvalitāti un ieviest jaunu finansēšanas kārtību, nodrošinot doktorantiem konkurētspējīgu atalgojumu studiju laikā, kā arī note</w:t>
      </w:r>
      <w:r w:rsidR="006F5812">
        <w:rPr>
          <w:rFonts w:cs="Times New Roman"/>
        </w:rPr>
        <w:t xml:space="preserve">ikt vienotu promocijas kārtību. </w:t>
      </w:r>
      <w:r w:rsidR="006F5812" w:rsidRPr="006F5812">
        <w:rPr>
          <w:rFonts w:cs="Times New Roman"/>
        </w:rPr>
        <w:t xml:space="preserve">Jauno doktorantūras finansēšanas pieeju pakāpeniski sāks īstenot no </w:t>
      </w:r>
      <w:r w:rsidR="006F5812">
        <w:rPr>
          <w:rFonts w:cs="Times New Roman"/>
        </w:rPr>
        <w:t>2020./2021.</w:t>
      </w:r>
      <w:r w:rsidR="006F5812" w:rsidRPr="006F5812">
        <w:rPr>
          <w:rFonts w:cs="Times New Roman"/>
        </w:rPr>
        <w:t xml:space="preserve"> studiju gada, līdzšinējo stipendiju vietā doktorantam piešķirot atalgojumu – vismaz 1000 </w:t>
      </w:r>
      <w:r w:rsidR="006F5812" w:rsidRPr="00F17C94">
        <w:rPr>
          <w:rFonts w:cs="Times New Roman"/>
          <w:i/>
        </w:rPr>
        <w:t>euro</w:t>
      </w:r>
      <w:r w:rsidR="006F5812" w:rsidRPr="006F5812">
        <w:rPr>
          <w:rFonts w:cs="Times New Roman"/>
        </w:rPr>
        <w:t xml:space="preserve"> mēnesī (bruto). Līdz 2023. gada beigām doktoranta atalgojumu nodrošinās no ES fondu finansējuma.</w:t>
      </w:r>
      <w:r w:rsidR="006F5812">
        <w:rPr>
          <w:rFonts w:cs="Times New Roman"/>
        </w:rPr>
        <w:t xml:space="preserve"> </w:t>
      </w:r>
      <w:r w:rsidR="006F5812" w:rsidRPr="006F5812">
        <w:rPr>
          <w:rFonts w:cs="Times New Roman"/>
        </w:rPr>
        <w:t xml:space="preserve">Jaunais doktorantūras modelis paredz, ka doktora studiju programmas apguve, promocijas darba, kā arī doktora teorētiskā pētījuma un mākslinieciskās jaunrades darba izstrāde būs vienots process, kas rezultējas ar doktora grāda iegūšanu. Kopējais </w:t>
      </w:r>
      <w:r w:rsidR="006F5812" w:rsidRPr="006F5812">
        <w:rPr>
          <w:rFonts w:cs="Times New Roman"/>
        </w:rPr>
        <w:lastRenderedPageBreak/>
        <w:t xml:space="preserve">doktora līmeņa studiju process, kas noslēgsies ar doktora grāda piešķiršanu, nebūs garāks par 3 līdz 4 gadiem un atbildīs labai starptautiskai praksei, vienkāršojot un būtiski saīsinot promocijas darba virzīšanu aizstāvēšanai. </w:t>
      </w:r>
      <w:r w:rsidR="006F5812">
        <w:rPr>
          <w:rFonts w:cs="Times New Roman"/>
        </w:rPr>
        <w:t>Minētais k</w:t>
      </w:r>
      <w:r w:rsidR="006F5812" w:rsidRPr="00F63ABC">
        <w:rPr>
          <w:rFonts w:cs="Times New Roman"/>
        </w:rPr>
        <w:t xml:space="preserve">onceptuālais ziņojums </w:t>
      </w:r>
      <w:r w:rsidR="006F5812">
        <w:rPr>
          <w:rFonts w:cs="Times New Roman"/>
        </w:rPr>
        <w:t xml:space="preserve">ir </w:t>
      </w:r>
      <w:r w:rsidR="006F5812" w:rsidRPr="00F63ABC">
        <w:rPr>
          <w:rFonts w:cs="Times New Roman"/>
        </w:rPr>
        <w:t>atbalstīts MK 2020.</w:t>
      </w:r>
      <w:r w:rsidR="006F5812">
        <w:rPr>
          <w:rFonts w:cs="Times New Roman"/>
        </w:rPr>
        <w:t xml:space="preserve"> </w:t>
      </w:r>
      <w:r w:rsidR="006F5812" w:rsidRPr="00F63ABC">
        <w:rPr>
          <w:rFonts w:cs="Times New Roman"/>
        </w:rPr>
        <w:t>gada 16.</w:t>
      </w:r>
      <w:r w:rsidR="006F5812">
        <w:rPr>
          <w:rFonts w:cs="Times New Roman"/>
        </w:rPr>
        <w:t xml:space="preserve"> </w:t>
      </w:r>
      <w:r w:rsidR="006F5812" w:rsidRPr="00F63ABC">
        <w:rPr>
          <w:rFonts w:cs="Times New Roman"/>
        </w:rPr>
        <w:t>jūnijā</w:t>
      </w:r>
      <w:r w:rsidR="006F5812">
        <w:rPr>
          <w:rFonts w:cs="Times New Roman"/>
        </w:rPr>
        <w:t>.</w:t>
      </w:r>
    </w:p>
    <w:p w14:paraId="5CC6B8E4" w14:textId="3E5FDF1B" w:rsidR="00F63ABC" w:rsidRDefault="006F5812" w:rsidP="000965D4">
      <w:pPr>
        <w:spacing w:after="120"/>
        <w:jc w:val="both"/>
      </w:pPr>
      <w:r w:rsidRPr="00F63ABC" w:rsidDel="006F5812">
        <w:rPr>
          <w:rFonts w:cs="Times New Roman"/>
        </w:rPr>
        <w:t xml:space="preserve"> </w:t>
      </w:r>
      <w:r w:rsidR="00F63ABC">
        <w:t>“</w:t>
      </w:r>
      <w:r w:rsidR="00F63ABC">
        <w:rPr>
          <w:b/>
        </w:rPr>
        <w:t>30.</w:t>
      </w:r>
      <w:r w:rsidR="00F63ABC" w:rsidRPr="00333D50">
        <w:rPr>
          <w:b/>
        </w:rPr>
        <w:t>punkts Izglītības un zinātnes ministrijai</w:t>
      </w:r>
      <w:r w:rsidR="00F63ABC">
        <w:t xml:space="preserve"> </w:t>
      </w:r>
      <w:r w:rsidR="00F63ABC" w:rsidRPr="00333D50">
        <w:rPr>
          <w:i/>
        </w:rPr>
        <w:t>sagatavot grozījumus Bērnu tiesību aizsardzības likumā, izslēdzot valsts līdzdalību brīvpusdienu nodrošināšanā 1.-4.klases izglītojamajiem no 2020.gada 1.janvāra un paredzēt, ka turpmāk brīvpusdienas 1.-4.klases izglītojamajiem nodrošina pašvaldības savu budžetu ietvaros vismaz pašreizējā līmenī.</w:t>
      </w:r>
      <w:r w:rsidR="00F63ABC">
        <w:t>”</w:t>
      </w:r>
    </w:p>
    <w:p w14:paraId="4EAFEAD4" w14:textId="7EFED6BC" w:rsidR="00F63ABC" w:rsidRDefault="00F63ABC" w:rsidP="000965D4">
      <w:pPr>
        <w:spacing w:after="120"/>
        <w:ind w:firstLine="720"/>
        <w:jc w:val="both"/>
      </w:pPr>
      <w:r>
        <w:t xml:space="preserve">IZM </w:t>
      </w:r>
      <w:r w:rsidR="00CE4775">
        <w:t xml:space="preserve">2020. gada budžeta likumprojektu paketē </w:t>
      </w:r>
      <w:r>
        <w:t>sagatavoja grozījumus Bērnu tiesību aizsardzības likumā, paredzot valsts un pašvaldību līdzdalību brīvpusdienu nodrošināšanā 1.-4.klases izglītojamajiem no 2020.</w:t>
      </w:r>
      <w:r w:rsidR="00CE4775">
        <w:t xml:space="preserve"> </w:t>
      </w:r>
      <w:r>
        <w:t>gada 1.</w:t>
      </w:r>
      <w:r w:rsidR="00CE4775">
        <w:t xml:space="preserve"> </w:t>
      </w:r>
      <w:r>
        <w:t>janvāra un grozījumus Izglītības likumā, paredzot, ka no 2020.</w:t>
      </w:r>
      <w:r w:rsidR="00CE4775">
        <w:t xml:space="preserve"> </w:t>
      </w:r>
      <w:r>
        <w:t>gada 1.</w:t>
      </w:r>
      <w:r w:rsidR="00CE4775">
        <w:t xml:space="preserve"> </w:t>
      </w:r>
      <w:r>
        <w:t>janvāra pašvaldības piedalās brīvpusdienu nodrošināšanā 1.-4.klases izglītojamajiem savu budžetu ietvaros vismaz tādā apmērā kā valsts.</w:t>
      </w:r>
    </w:p>
    <w:p w14:paraId="4DD0A55A" w14:textId="1BD8E96B" w:rsidR="00F63ABC" w:rsidRDefault="00F63ABC" w:rsidP="000965D4">
      <w:pPr>
        <w:spacing w:after="120"/>
        <w:jc w:val="both"/>
      </w:pPr>
      <w:r>
        <w:t>“</w:t>
      </w:r>
      <w:r w:rsidRPr="003C24D0">
        <w:rPr>
          <w:b/>
        </w:rPr>
        <w:t>31.punkts Atbalstīt Izglītības un zinātnes ministrijas priekšlikumu</w:t>
      </w:r>
      <w:r w:rsidRPr="003C24D0">
        <w:t xml:space="preserve"> </w:t>
      </w:r>
      <w:r w:rsidRPr="003C24D0">
        <w:rPr>
          <w:i/>
        </w:rPr>
        <w:t xml:space="preserve">par budžeta apakšprogrammā 01.07.00 </w:t>
      </w:r>
      <w:r w:rsidR="00CE4775">
        <w:rPr>
          <w:i/>
        </w:rPr>
        <w:t>“</w:t>
      </w:r>
      <w:r w:rsidRPr="003C24D0">
        <w:rPr>
          <w:i/>
        </w:rPr>
        <w:t>Dotācija brīvpusdienu nodrošināšanai 1., 2.,</w:t>
      </w:r>
      <w:r>
        <w:rPr>
          <w:i/>
        </w:rPr>
        <w:t xml:space="preserve"> 3. un 4.</w:t>
      </w:r>
      <w:r w:rsidRPr="003C24D0">
        <w:rPr>
          <w:i/>
        </w:rPr>
        <w:t>klases izglītojamiem</w:t>
      </w:r>
      <w:r w:rsidR="00CE4775">
        <w:rPr>
          <w:i/>
        </w:rPr>
        <w:t>”</w:t>
      </w:r>
      <w:r w:rsidRPr="003C24D0">
        <w:rPr>
          <w:i/>
        </w:rPr>
        <w:t xml:space="preserve"> plānotā finansējuma 19 681 416 EUR apmērā 2020.</w:t>
      </w:r>
      <w:r w:rsidR="00CE4775">
        <w:rPr>
          <w:i/>
        </w:rPr>
        <w:t xml:space="preserve"> </w:t>
      </w:r>
      <w:r w:rsidRPr="003C24D0">
        <w:rPr>
          <w:i/>
        </w:rPr>
        <w:t>gadā un turpmāk ik gadu novirzīšanu Izglītības un zinātnes ministrijas prioritāro pasākumu īstenošanai, tajā skaitā pedagogu algām, fundamentālajiem un lietišķajiem pētījumiem u.c.</w:t>
      </w:r>
      <w:r>
        <w:t>”</w:t>
      </w:r>
    </w:p>
    <w:p w14:paraId="58643B78" w14:textId="13E860ED" w:rsidR="00F63ABC" w:rsidRDefault="00F63ABC" w:rsidP="000965D4">
      <w:pPr>
        <w:spacing w:after="120"/>
        <w:ind w:firstLine="720"/>
        <w:jc w:val="both"/>
      </w:pPr>
      <w:r>
        <w:t xml:space="preserve">IZM </w:t>
      </w:r>
      <w:r w:rsidRPr="003C24D0">
        <w:t xml:space="preserve">budžeta apakšprogrammā 01.07.00 </w:t>
      </w:r>
      <w:r w:rsidR="00CE4775">
        <w:t>“</w:t>
      </w:r>
      <w:r w:rsidRPr="003C24D0">
        <w:t xml:space="preserve">Dotācija brīvpusdienu </w:t>
      </w:r>
      <w:r>
        <w:t>nodrošināšanai 1., 2., 3. un 4.</w:t>
      </w:r>
      <w:r w:rsidRPr="003C24D0">
        <w:t>klases izglītojamiem</w:t>
      </w:r>
      <w:r w:rsidR="00CE4775">
        <w:t>”</w:t>
      </w:r>
      <w:r w:rsidRPr="003C24D0">
        <w:t xml:space="preserve"> tika samazināts finansējums 9 840 708 </w:t>
      </w:r>
      <w:r w:rsidRPr="00CA3A06">
        <w:rPr>
          <w:i/>
        </w:rPr>
        <w:t>euro</w:t>
      </w:r>
      <w:r w:rsidRPr="003C24D0">
        <w:t xml:space="preserve"> apmērā atbilstoši MK </w:t>
      </w:r>
      <w:r>
        <w:t>2019.</w:t>
      </w:r>
      <w:r w:rsidR="00CE4775">
        <w:t xml:space="preserve"> </w:t>
      </w:r>
      <w:r>
        <w:t>gada 13.</w:t>
      </w:r>
      <w:r w:rsidR="00CE4775">
        <w:t xml:space="preserve"> </w:t>
      </w:r>
      <w:r>
        <w:t>septembra</w:t>
      </w:r>
      <w:r w:rsidRPr="003C24D0">
        <w:t xml:space="preserve"> sēdes protokola Nr.41 1.§ 17.punktā noteiktajam, paredzot, ka no 2020.</w:t>
      </w:r>
      <w:r w:rsidR="00CE4775">
        <w:t xml:space="preserve"> </w:t>
      </w:r>
      <w:r w:rsidRPr="003C24D0">
        <w:t>gada 1.</w:t>
      </w:r>
      <w:r w:rsidR="00CE4775">
        <w:t xml:space="preserve"> </w:t>
      </w:r>
      <w:r w:rsidRPr="003C24D0">
        <w:t>janvāra pašvaldības piedalās brīvpusdienu nodrošināšanā 1.-4.klases izglītojamajiem savu budžetu ietvaros vismaz tādā apmērā kā valsts.</w:t>
      </w:r>
      <w:r>
        <w:t xml:space="preserve"> </w:t>
      </w:r>
    </w:p>
    <w:p w14:paraId="184A5944" w14:textId="77777777" w:rsidR="00F63ABC" w:rsidRDefault="00F63ABC" w:rsidP="000965D4">
      <w:pPr>
        <w:spacing w:after="120"/>
        <w:jc w:val="both"/>
      </w:pPr>
      <w:r>
        <w:t>“</w:t>
      </w:r>
      <w:r w:rsidRPr="00735D05">
        <w:rPr>
          <w:b/>
        </w:rPr>
        <w:t>36.punkts Tieslietu ministrijai</w:t>
      </w:r>
      <w:r w:rsidRPr="00735D05">
        <w:t xml:space="preserve"> </w:t>
      </w:r>
      <w:r w:rsidRPr="00735D05">
        <w:rPr>
          <w:i/>
        </w:rPr>
        <w:t>2020.gada valsts budžeta likumprojektu paketē sagatavot grozījumus likumā "Par zemes komisijām", kas paredz Centrālās zemes komisijas likvidēšanu un tās funkciju un uzdevumu nodošanu Valsts zemes dienestam ar 2021.gada 1.jūliju, kā arī paredzot Centrālās zemes komisijai pienākumu komisijai piešķirto valsts budžeta līdzekļu ietvaros 2020.gada laikā sagatavot Centrālās zemes komisijas arhīva materiālu, kas saistīti ar zemes reformu, nodošanu Valsts zemes dienestam.</w:t>
      </w:r>
      <w:r>
        <w:t>”</w:t>
      </w:r>
    </w:p>
    <w:p w14:paraId="774F440A" w14:textId="7440F2C7" w:rsidR="00F63ABC" w:rsidRDefault="00A23AB5" w:rsidP="000965D4">
      <w:pPr>
        <w:spacing w:after="120"/>
        <w:ind w:firstLine="720"/>
        <w:jc w:val="both"/>
      </w:pPr>
      <w:r>
        <w:t xml:space="preserve">TM </w:t>
      </w:r>
      <w:r w:rsidR="00F63ABC">
        <w:t>2020.</w:t>
      </w:r>
      <w:r>
        <w:t xml:space="preserve"> </w:t>
      </w:r>
      <w:r w:rsidR="00F63ABC">
        <w:t>gada budžeta likumprojekta paketē sagatavoja grozījumus likumā “Par zemes komisijām”, kas paredz noteikt CZK darbības termiņu līdz 2021.</w:t>
      </w:r>
      <w:r>
        <w:t xml:space="preserve"> </w:t>
      </w:r>
      <w:r w:rsidR="00F63ABC">
        <w:t>gada 30.</w:t>
      </w:r>
      <w:r>
        <w:t xml:space="preserve"> </w:t>
      </w:r>
      <w:r w:rsidR="00F63ABC">
        <w:t>jūnijam. CZK savu arhīva dokumentāciju, kas saistīta ar zemes reformu, sakārto atbilstoši prasībām normatīvo aktu dokumentu pārvaldības un arhīvu jomā un līdz 2021.</w:t>
      </w:r>
      <w:r>
        <w:t xml:space="preserve"> </w:t>
      </w:r>
      <w:r w:rsidR="00F63ABC">
        <w:t>gada 1.</w:t>
      </w:r>
      <w:r>
        <w:t xml:space="preserve"> </w:t>
      </w:r>
      <w:r w:rsidR="00F63ABC">
        <w:t>jūnijam nodod VZD. Likums Saeimā pieņemts  2019.</w:t>
      </w:r>
      <w:r>
        <w:t xml:space="preserve"> </w:t>
      </w:r>
      <w:r w:rsidR="00F63ABC">
        <w:t>gada 14.</w:t>
      </w:r>
      <w:r>
        <w:t xml:space="preserve"> </w:t>
      </w:r>
      <w:r w:rsidR="00F63ABC">
        <w:t>novembrī. Vienlaikus likums paredz samazināt CZK locekļu skaitu no 20 līdz 9 CZK locekļiem.</w:t>
      </w:r>
    </w:p>
    <w:p w14:paraId="36F238A2" w14:textId="77777777" w:rsidR="00F63ABC" w:rsidRDefault="00F63ABC" w:rsidP="000965D4">
      <w:pPr>
        <w:spacing w:after="120"/>
        <w:jc w:val="both"/>
        <w:rPr>
          <w:i/>
        </w:rPr>
      </w:pPr>
      <w:r>
        <w:t xml:space="preserve"> “</w:t>
      </w:r>
      <w:r w:rsidRPr="00247CD0">
        <w:rPr>
          <w:b/>
        </w:rPr>
        <w:t>37.punkts Vides aizsardzības un reģionālās attīstības ministrijai</w:t>
      </w:r>
      <w:r w:rsidRPr="00247CD0">
        <w:t xml:space="preserve"> </w:t>
      </w:r>
      <w:r w:rsidRPr="00247CD0">
        <w:rPr>
          <w:i/>
        </w:rPr>
        <w:t>līdz 2020.gada 1.septembrim sagatavot un iesniegt izskatīšanai Ministru kabinetā informāciju par iespēju pilnveidot Elektronisko iepirkumu sistēmu atbilstoši informatīvajā ziņojumā ietvertajiem priekšlikumiem preču un pakalpojumu klāsta paplašināšanai un kvalitātes uzlabošanai, kā arī resora centralizētā iepirkuma veikšanai.</w:t>
      </w:r>
      <w:r w:rsidRPr="00247CD0">
        <w:t>”</w:t>
      </w:r>
    </w:p>
    <w:p w14:paraId="05736237" w14:textId="66046523" w:rsidR="00F63ABC" w:rsidRDefault="00F63ABC" w:rsidP="000965D4">
      <w:pPr>
        <w:spacing w:after="120"/>
        <w:ind w:firstLine="720"/>
        <w:jc w:val="both"/>
      </w:pPr>
      <w:r w:rsidRPr="00247CD0">
        <w:t xml:space="preserve">VARAM ir izstrādājis informatīvo ziņojumu “Par cilvēkresursu nodrošināšanu valsts </w:t>
      </w:r>
      <w:r w:rsidR="005462B3">
        <w:t>IKT</w:t>
      </w:r>
      <w:r w:rsidRPr="00247CD0">
        <w:t xml:space="preserve"> platformu uzturēšanai” (</w:t>
      </w:r>
      <w:r>
        <w:t>izskatīts MK 2020.</w:t>
      </w:r>
      <w:r w:rsidR="00A23AB5">
        <w:t xml:space="preserve"> </w:t>
      </w:r>
      <w:r w:rsidRPr="00247CD0">
        <w:t>gada 3.</w:t>
      </w:r>
      <w:r w:rsidR="00A23AB5">
        <w:t xml:space="preserve"> </w:t>
      </w:r>
      <w:r w:rsidRPr="00247CD0">
        <w:t>martā, protokols Nr.9, 35.§), kura 1.pielikumā ir atspoguļota informācija par EIS pilnveidošanas iespējām.</w:t>
      </w:r>
    </w:p>
    <w:p w14:paraId="368B96C5" w14:textId="77777777" w:rsidR="00F63ABC" w:rsidRPr="00F63ABC" w:rsidRDefault="00F63ABC" w:rsidP="000965D4">
      <w:pPr>
        <w:spacing w:after="120"/>
        <w:jc w:val="both"/>
        <w:rPr>
          <w:rFonts w:cs="Times New Roman"/>
        </w:rPr>
      </w:pPr>
      <w:r w:rsidRPr="00F63ABC">
        <w:rPr>
          <w:rFonts w:cs="Times New Roman"/>
        </w:rPr>
        <w:lastRenderedPageBreak/>
        <w:t>“</w:t>
      </w:r>
      <w:r w:rsidRPr="00F63ABC">
        <w:rPr>
          <w:rFonts w:cs="Times New Roman"/>
          <w:b/>
        </w:rPr>
        <w:t>38.punkts Aizsardzības ministrijai, Iekšlietu ministrijai, Izglītības un zinātnes ministrijai, Zemkopības ministrijai, Vides aizsardzības un reģionālās attīstības ministrijai un Veselības ministrijai</w:t>
      </w:r>
      <w:r w:rsidRPr="00F63ABC">
        <w:rPr>
          <w:rFonts w:cs="Times New Roman"/>
        </w:rPr>
        <w:t xml:space="preserve"> </w:t>
      </w:r>
      <w:r w:rsidRPr="00F63ABC">
        <w:rPr>
          <w:rFonts w:cs="Times New Roman"/>
          <w:i/>
        </w:rPr>
        <w:t>līdz 2020.gada 19.maijam iesniegt Finanšu ministrijā izvērtējumu par iespēju efektivizēt nozaru muzeju darbību, tai skaitā centralizējot atbalsta funkcijas un veicinot apmeklētāju interesi, aktualizējot ekspozīcijas un popularizējot muzeju darbību.</w:t>
      </w:r>
      <w:r w:rsidRPr="00F63ABC">
        <w:rPr>
          <w:rFonts w:cs="Times New Roman"/>
        </w:rPr>
        <w:t>”</w:t>
      </w:r>
    </w:p>
    <w:p w14:paraId="2423E5A6" w14:textId="6CB2A2EB" w:rsidR="00F63ABC" w:rsidRPr="00F63ABC" w:rsidRDefault="00F63ABC" w:rsidP="000965D4">
      <w:pPr>
        <w:spacing w:after="120"/>
        <w:ind w:firstLine="720"/>
        <w:jc w:val="both"/>
        <w:rPr>
          <w:rFonts w:cs="Times New Roman"/>
        </w:rPr>
      </w:pPr>
      <w:r w:rsidRPr="00F63ABC">
        <w:rPr>
          <w:rFonts w:cs="Times New Roman"/>
        </w:rPr>
        <w:t>AiM ir izvērtējusi iespēju efektivizēt padotībā esošā Latvijas Kara muzeja darbību, t</w:t>
      </w:r>
      <w:r w:rsidR="00A23AB5">
        <w:rPr>
          <w:rFonts w:cs="Times New Roman"/>
        </w:rPr>
        <w:t>.</w:t>
      </w:r>
      <w:r w:rsidRPr="00F63ABC">
        <w:rPr>
          <w:rFonts w:cs="Times New Roman"/>
        </w:rPr>
        <w:t xml:space="preserve"> sk</w:t>
      </w:r>
      <w:r w:rsidR="00A23AB5">
        <w:rPr>
          <w:rFonts w:cs="Times New Roman"/>
        </w:rPr>
        <w:t>.</w:t>
      </w:r>
      <w:r w:rsidRPr="00F63ABC">
        <w:rPr>
          <w:rFonts w:cs="Times New Roman"/>
        </w:rPr>
        <w:t xml:space="preserve"> centralizējot atbalsta funkcijas un veicinot apmeklētāju interesi, aktualizējot ekspozīcijas un popularizējot muzeju darbību. 2020. gadā ir pārskatītas amata vietas un grozīta muzeja struktūra, un tā rezultātā ir optimizētas trīs amata vietas, precizējot amata nosaukumus, atbilstoši amata aprakstos noteiktajiem uzdevumiem muzeja pamatfunkciju veikšanai. Papildus izceļama prakse, ka jau vairākus gadus darbojas centralizēta pieeja būvniecības, remontu, apsaimniekošanas, iepirkumu jomās Latvijas Kara muzeja vajadzībām. Aizsardzības nozarē visi šie procesi ir maksimāli konsolidēti un iepriekš minēto funkciju nodrošināšana ir nodota Valsts aizsardzības militāro objektu iepirkumu centra atbildībā, līdz ar to, Latvijas kara muzejs nenodrošina šīs atbalsta funkcijas. Papildus vērtējot muzeja efektivitāti, AiM ieskatā, izšķiroša ir iespēja visiem aizsardzības resorā strādājošiem intensīvi izmantot </w:t>
      </w:r>
      <w:r w:rsidR="00A23AB5" w:rsidRPr="00F63ABC">
        <w:rPr>
          <w:rFonts w:cs="Times New Roman"/>
        </w:rPr>
        <w:t>Latvijas Kara muzeja</w:t>
      </w:r>
      <w:r w:rsidRPr="00F63ABC">
        <w:rPr>
          <w:rFonts w:cs="Times New Roman"/>
        </w:rPr>
        <w:t xml:space="preserve"> telpas, kā arī materiālus, ekspertīzi, apmācību. Jāatzīmē, ka AiM ir ieplānojusi optimizēt muzeja algu grāmatvedības un izmaksas funkciju, un šo funkciju nākotnē nodrošinās AiM grāmatvedība. Tāpat saskaņā ar AiM apstiprināto IKT stratēģiju, tiek plānots, ka AiM pārņems Latvijas Kara muzeja IKT uzturēšanas funkciju. Pārējās funkcijas ir specifiskas muzeja pamatfunkcijas un to optimizēšana nav iespējama.</w:t>
      </w:r>
    </w:p>
    <w:p w14:paraId="102DE23B" w14:textId="697E93FF" w:rsidR="00F63ABC" w:rsidRPr="00F63ABC" w:rsidRDefault="00F63ABC" w:rsidP="000965D4">
      <w:pPr>
        <w:spacing w:after="120"/>
        <w:ind w:firstLine="720"/>
        <w:jc w:val="both"/>
        <w:rPr>
          <w:rFonts w:cs="Times New Roman"/>
        </w:rPr>
      </w:pPr>
      <w:r w:rsidRPr="00F63ABC">
        <w:rPr>
          <w:rFonts w:cs="Times New Roman"/>
        </w:rPr>
        <w:t xml:space="preserve">IZM meklē risinājumus Latvijas Sporta muzejam noteikto valsts pārvaldes uzdevumu deleģēšanai VSIA </w:t>
      </w:r>
      <w:r w:rsidR="00835569">
        <w:rPr>
          <w:rFonts w:cs="Times New Roman"/>
        </w:rPr>
        <w:t>“</w:t>
      </w:r>
      <w:r w:rsidRPr="00F63ABC">
        <w:rPr>
          <w:rFonts w:cs="Times New Roman"/>
        </w:rPr>
        <w:t xml:space="preserve">Kultūras un sporta centrs </w:t>
      </w:r>
      <w:r w:rsidR="00835569">
        <w:rPr>
          <w:rFonts w:cs="Times New Roman"/>
        </w:rPr>
        <w:t>“</w:t>
      </w:r>
      <w:r w:rsidRPr="00F63ABC">
        <w:rPr>
          <w:rFonts w:cs="Times New Roman"/>
        </w:rPr>
        <w:t>Daugavas stadions</w:t>
      </w:r>
      <w:r w:rsidR="00835569">
        <w:rPr>
          <w:rFonts w:cs="Times New Roman"/>
        </w:rPr>
        <w:t>””</w:t>
      </w:r>
      <w:r w:rsidRPr="00F63ABC">
        <w:rPr>
          <w:rFonts w:cs="Times New Roman"/>
        </w:rPr>
        <w:t xml:space="preserve"> (vienlaikus mainot arī muzeja nosaukumu - Latvijas Sporta un olimpiskās vēstures muzejs). Jautājuma virzība tiks atsākta pēc Latvijas Sporta muzeja akreditācijas (2020.</w:t>
      </w:r>
      <w:r w:rsidR="00835569">
        <w:rPr>
          <w:rFonts w:cs="Times New Roman"/>
        </w:rPr>
        <w:t xml:space="preserve"> </w:t>
      </w:r>
      <w:r w:rsidRPr="00F63ABC">
        <w:rPr>
          <w:rFonts w:cs="Times New Roman"/>
        </w:rPr>
        <w:t>gada vasarā). Latvijas Sporta muzeja reorganizācijas procesu plānots noslēgt 2021.</w:t>
      </w:r>
      <w:r w:rsidR="00835569">
        <w:rPr>
          <w:rFonts w:cs="Times New Roman"/>
        </w:rPr>
        <w:t xml:space="preserve"> </w:t>
      </w:r>
      <w:r w:rsidRPr="00F63ABC">
        <w:rPr>
          <w:rFonts w:cs="Times New Roman"/>
        </w:rPr>
        <w:t>gadā.</w:t>
      </w:r>
    </w:p>
    <w:p w14:paraId="4B4CAB81" w14:textId="77777777" w:rsidR="00F63ABC" w:rsidRPr="00F63ABC" w:rsidRDefault="00F63ABC" w:rsidP="000965D4">
      <w:pPr>
        <w:spacing w:after="120"/>
        <w:ind w:firstLine="720"/>
        <w:jc w:val="both"/>
        <w:rPr>
          <w:rFonts w:cs="Times New Roman"/>
        </w:rPr>
      </w:pPr>
      <w:r w:rsidRPr="00F63ABC">
        <w:rPr>
          <w:rFonts w:cs="Times New Roman"/>
        </w:rPr>
        <w:t>VARAM un IZM veicot muzeju darbības pārskatīšanu norāda, ka administratora amata vietas centralizācija nav iespējama, jo administratora galvenās funkcijas veicamas muzejā uz vietas.</w:t>
      </w:r>
    </w:p>
    <w:p w14:paraId="575C44EF" w14:textId="38008929" w:rsidR="00F63ABC" w:rsidRPr="00F63ABC" w:rsidRDefault="00F63ABC" w:rsidP="000965D4">
      <w:pPr>
        <w:spacing w:after="120"/>
        <w:ind w:firstLine="720"/>
        <w:jc w:val="both"/>
        <w:rPr>
          <w:rFonts w:cs="Times New Roman"/>
        </w:rPr>
      </w:pPr>
      <w:r w:rsidRPr="00F63ABC">
        <w:rPr>
          <w:rFonts w:cs="Times New Roman"/>
        </w:rPr>
        <w:t xml:space="preserve">VM </w:t>
      </w:r>
      <w:r w:rsidR="00166D5E">
        <w:rPr>
          <w:rFonts w:cs="Times New Roman"/>
        </w:rPr>
        <w:t xml:space="preserve">ir </w:t>
      </w:r>
      <w:r w:rsidRPr="00F63ABC">
        <w:rPr>
          <w:rFonts w:cs="Times New Roman"/>
        </w:rPr>
        <w:t>informē</w:t>
      </w:r>
      <w:r w:rsidR="00166D5E">
        <w:rPr>
          <w:rFonts w:cs="Times New Roman"/>
        </w:rPr>
        <w:t>jusi</w:t>
      </w:r>
      <w:r w:rsidRPr="00F63ABC">
        <w:rPr>
          <w:rFonts w:cs="Times New Roman"/>
        </w:rPr>
        <w:t>, ka ar 2020.</w:t>
      </w:r>
      <w:r w:rsidR="00166D5E">
        <w:rPr>
          <w:rFonts w:cs="Times New Roman"/>
        </w:rPr>
        <w:t xml:space="preserve"> </w:t>
      </w:r>
      <w:r w:rsidRPr="00F63ABC">
        <w:rPr>
          <w:rFonts w:cs="Times New Roman"/>
        </w:rPr>
        <w:t>gada 1.</w:t>
      </w:r>
      <w:r w:rsidR="00166D5E">
        <w:rPr>
          <w:rFonts w:cs="Times New Roman"/>
        </w:rPr>
        <w:t xml:space="preserve"> </w:t>
      </w:r>
      <w:r w:rsidRPr="00F63ABC">
        <w:rPr>
          <w:rFonts w:cs="Times New Roman"/>
        </w:rPr>
        <w:t xml:space="preserve">martu no P.Stradiņa Medicīnas vēstures muzeja tika pārņemta 1 vakantā amata vieta (IT funkciju centralizācijai), tādējādi ļaujot muzejam ietaupīt finansējumu algu fonda palielināšanai. </w:t>
      </w:r>
      <w:r w:rsidR="00166D5E">
        <w:rPr>
          <w:rFonts w:cs="Times New Roman"/>
        </w:rPr>
        <w:t>Vienlaikus p</w:t>
      </w:r>
      <w:r w:rsidRPr="00F63ABC">
        <w:rPr>
          <w:rFonts w:cs="Times New Roman"/>
        </w:rPr>
        <w:t>ēc ārkārtējās situācijas beigām, ir plān</w:t>
      </w:r>
      <w:r w:rsidR="00166D5E">
        <w:rPr>
          <w:rFonts w:cs="Times New Roman"/>
        </w:rPr>
        <w:t>ot</w:t>
      </w:r>
      <w:r w:rsidRPr="00F63ABC">
        <w:rPr>
          <w:rFonts w:cs="Times New Roman"/>
        </w:rPr>
        <w:t>s organizēt sabiedrisko aptauju un apzināt situāciju attiecībā uz iestādes cenrāža pārskatīšanu.</w:t>
      </w:r>
    </w:p>
    <w:p w14:paraId="09CD7332"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44.punkts Satiksmes ministrijai sadarbībā ar Kultūras ministriju</w:t>
      </w:r>
      <w:r w:rsidRPr="00F63ABC">
        <w:rPr>
          <w:rFonts w:cs="Times New Roman"/>
        </w:rPr>
        <w:t xml:space="preserve"> </w:t>
      </w:r>
      <w:r w:rsidRPr="00F63ABC">
        <w:rPr>
          <w:rFonts w:cs="Times New Roman"/>
          <w:i/>
        </w:rPr>
        <w:t>sagatavot priekšlikumus par abonēto preses izdevumu piegādes regulējuma kritērijiem, lai radīto zaudējumu kompensāciju varētu nodrošināt spēkā esošā tiesiskā regulējuma ietvarā. Pēc minēto darbību veikšanas Satiksmes ministrijai iesniegt attiecīgu informāciju Finanšu ministrijā izdevumu pārskatīšanas procesā saskaņā ar likumprojekta "Par vidēja termiņa budžeta ietvaru 2021., 2022. un 2023.gadam" un likumprojekta "Par valsts budžetu 2021.gadam" sagatavošanas grafikā noteiktajiem termiņiem.</w:t>
      </w:r>
      <w:r w:rsidRPr="00F63ABC">
        <w:rPr>
          <w:rFonts w:cs="Times New Roman"/>
        </w:rPr>
        <w:t>”</w:t>
      </w:r>
    </w:p>
    <w:p w14:paraId="29C90DFF" w14:textId="0FF71BE2" w:rsidR="00F63ABC" w:rsidRPr="00F63ABC" w:rsidRDefault="00166D5E" w:rsidP="000965D4">
      <w:pPr>
        <w:spacing w:after="120"/>
        <w:ind w:firstLine="720"/>
        <w:jc w:val="both"/>
        <w:rPr>
          <w:rFonts w:cs="Times New Roman"/>
        </w:rPr>
      </w:pPr>
      <w:r>
        <w:rPr>
          <w:rFonts w:cs="Times New Roman"/>
        </w:rPr>
        <w:t xml:space="preserve">KM sagatavoja </w:t>
      </w:r>
      <w:r w:rsidRPr="00F63ABC">
        <w:rPr>
          <w:rFonts w:cs="Times New Roman"/>
        </w:rPr>
        <w:t>konceptuāl</w:t>
      </w:r>
      <w:r>
        <w:rPr>
          <w:rFonts w:cs="Times New Roman"/>
        </w:rPr>
        <w:t>o</w:t>
      </w:r>
      <w:r w:rsidRPr="00F63ABC">
        <w:rPr>
          <w:rFonts w:cs="Times New Roman"/>
        </w:rPr>
        <w:t xml:space="preserve"> ziņojum</w:t>
      </w:r>
      <w:r>
        <w:rPr>
          <w:rFonts w:cs="Times New Roman"/>
        </w:rPr>
        <w:t>u</w:t>
      </w:r>
      <w:r w:rsidRPr="00F63ABC">
        <w:rPr>
          <w:rFonts w:cs="Times New Roman"/>
        </w:rPr>
        <w:t xml:space="preserve"> </w:t>
      </w:r>
      <w:r>
        <w:rPr>
          <w:rFonts w:cs="Times New Roman"/>
        </w:rPr>
        <w:t>“</w:t>
      </w:r>
      <w:r w:rsidRPr="00F63ABC">
        <w:rPr>
          <w:rFonts w:cs="Times New Roman"/>
        </w:rPr>
        <w:t>Abonētās preses izdevumu piegādes nodrošināšana un drukāto mediju atbalsta pilnveides iespējas</w:t>
      </w:r>
      <w:r>
        <w:rPr>
          <w:rFonts w:cs="Times New Roman"/>
        </w:rPr>
        <w:t>”</w:t>
      </w:r>
      <w:r w:rsidRPr="00F63ABC">
        <w:rPr>
          <w:rFonts w:cs="Times New Roman"/>
        </w:rPr>
        <w:t xml:space="preserve">, </w:t>
      </w:r>
      <w:r w:rsidR="007204CF">
        <w:rPr>
          <w:rFonts w:cs="Times New Roman"/>
        </w:rPr>
        <w:t xml:space="preserve">kas paredz, ka turpmāk nebūs fiksēts piegādes tarifs, bet to apstiprinās </w:t>
      </w:r>
      <w:r w:rsidR="0000423C">
        <w:rPr>
          <w:rFonts w:cs="Times New Roman"/>
        </w:rPr>
        <w:t xml:space="preserve">SPRK atbilstoši pakalpojuma pašizmaksai. Tāpat tiek </w:t>
      </w:r>
      <w:r w:rsidR="0000423C">
        <w:rPr>
          <w:rFonts w:cs="Times New Roman"/>
        </w:rPr>
        <w:lastRenderedPageBreak/>
        <w:t>paredzēti grozījumi Pasta likumā, kas noteiks, ka šis tarifs daļēji tiks apmaksāts no valsts budžeta, t.i., tiks noteikta preses izdevēju līdzmaksājuma procentuālā daļa, kāda tiem jāsedz no pilnā tarifa, kuru apstiprinājusi SPRK.</w:t>
      </w:r>
      <w:r w:rsidR="007204CF">
        <w:rPr>
          <w:rFonts w:cs="Times New Roman"/>
        </w:rPr>
        <w:t xml:space="preserve">  </w:t>
      </w:r>
      <w:r>
        <w:rPr>
          <w:rFonts w:cs="Times New Roman"/>
        </w:rPr>
        <w:t>Minētais konceptuālais ziņojums ir atbals</w:t>
      </w:r>
      <w:r w:rsidRPr="00F63ABC">
        <w:rPr>
          <w:rFonts w:cs="Times New Roman"/>
        </w:rPr>
        <w:t>tīts MK 2020. gada 30. jūnija sēdē</w:t>
      </w:r>
      <w:r>
        <w:rPr>
          <w:rFonts w:cs="Times New Roman"/>
        </w:rPr>
        <w:t>.</w:t>
      </w:r>
      <w:r w:rsidRPr="00F63ABC">
        <w:rPr>
          <w:rFonts w:cs="Times New Roman"/>
        </w:rPr>
        <w:t xml:space="preserve"> </w:t>
      </w:r>
    </w:p>
    <w:p w14:paraId="212AB865" w14:textId="77777777" w:rsidR="00F63ABC" w:rsidRPr="00F63ABC" w:rsidRDefault="00F63ABC" w:rsidP="000965D4">
      <w:pPr>
        <w:spacing w:after="120"/>
        <w:jc w:val="both"/>
        <w:rPr>
          <w:rFonts w:cs="Times New Roman"/>
          <w:i/>
        </w:rPr>
      </w:pPr>
      <w:r w:rsidRPr="00F63ABC">
        <w:rPr>
          <w:rFonts w:cs="Times New Roman"/>
        </w:rPr>
        <w:t>“</w:t>
      </w:r>
      <w:r w:rsidRPr="00F63ABC">
        <w:rPr>
          <w:rFonts w:cs="Times New Roman"/>
          <w:b/>
        </w:rPr>
        <w:t xml:space="preserve">45.punkts </w:t>
      </w:r>
      <w:r w:rsidRPr="00F63ABC">
        <w:rPr>
          <w:rFonts w:cs="Times New Roman"/>
          <w:i/>
        </w:rPr>
        <w:t xml:space="preserve">Lai rastu risinājumu, kas līdzsvarotu no Uzturlīdzekļu garantiju fonda izmaksājamo uzturlīdzekļu apmēru ar valsts budžeta iespējām, </w:t>
      </w:r>
      <w:r w:rsidRPr="00F63ABC">
        <w:rPr>
          <w:rFonts w:cs="Times New Roman"/>
          <w:b/>
          <w:i/>
        </w:rPr>
        <w:t>Tieslietu ministrijai</w:t>
      </w:r>
      <w:r w:rsidRPr="00F63ABC">
        <w:rPr>
          <w:rFonts w:cs="Times New Roman"/>
          <w:i/>
        </w:rPr>
        <w:t xml:space="preserve"> izstrādāt grozījumus normatīvajos aktos, paredzot, ka valsts garantēto uzturlīdzekļu apmērs ar 2020.gada 1.janvāri netiek piesaistīts minimālās algas apmēram.</w:t>
      </w:r>
    </w:p>
    <w:p w14:paraId="7EF0BC7A" w14:textId="7FE85A95" w:rsidR="00F63ABC" w:rsidRPr="00F63ABC" w:rsidRDefault="00F63ABC" w:rsidP="000965D4">
      <w:pPr>
        <w:spacing w:after="120"/>
        <w:ind w:firstLine="720"/>
        <w:jc w:val="both"/>
        <w:rPr>
          <w:rFonts w:cs="Times New Roman"/>
        </w:rPr>
      </w:pPr>
      <w:r w:rsidRPr="00F63ABC">
        <w:rPr>
          <w:rFonts w:cs="Times New Roman"/>
        </w:rPr>
        <w:t xml:space="preserve">TM </w:t>
      </w:r>
      <w:r w:rsidR="00285686" w:rsidRPr="00F63ABC">
        <w:rPr>
          <w:rFonts w:cs="Times New Roman"/>
        </w:rPr>
        <w:t xml:space="preserve">2020.gada budžeta likumprojekta paketē </w:t>
      </w:r>
      <w:r w:rsidRPr="00F63ABC">
        <w:rPr>
          <w:rFonts w:cs="Times New Roman"/>
        </w:rPr>
        <w:t>sagatavoja grozījumus Uzturlīdzekļu garantiju fonda likumā, kas  paredz, ka valsts garantētie uzturlīdzekļi tiek atsaistīti no minimālās algas sākot ar 2020.</w:t>
      </w:r>
      <w:r w:rsidR="00285686">
        <w:rPr>
          <w:rFonts w:cs="Times New Roman"/>
        </w:rPr>
        <w:t xml:space="preserve"> </w:t>
      </w:r>
      <w:r w:rsidRPr="00F63ABC">
        <w:rPr>
          <w:rFonts w:cs="Times New Roman"/>
        </w:rPr>
        <w:t>gada 1.</w:t>
      </w:r>
      <w:r w:rsidR="00285686">
        <w:rPr>
          <w:rFonts w:cs="Times New Roman"/>
        </w:rPr>
        <w:t xml:space="preserve"> </w:t>
      </w:r>
      <w:r w:rsidRPr="00F63ABC">
        <w:rPr>
          <w:rFonts w:cs="Times New Roman"/>
        </w:rPr>
        <w:t>janvāri. Likums Saeimā pieņemts  2019.</w:t>
      </w:r>
      <w:r w:rsidR="00285686">
        <w:rPr>
          <w:rFonts w:cs="Times New Roman"/>
        </w:rPr>
        <w:t xml:space="preserve"> </w:t>
      </w:r>
      <w:r w:rsidRPr="00F63ABC">
        <w:rPr>
          <w:rFonts w:cs="Times New Roman"/>
        </w:rPr>
        <w:t>gada 14.</w:t>
      </w:r>
      <w:r w:rsidR="00285686">
        <w:rPr>
          <w:rFonts w:cs="Times New Roman"/>
        </w:rPr>
        <w:t xml:space="preserve"> </w:t>
      </w:r>
      <w:r w:rsidRPr="00F63ABC">
        <w:rPr>
          <w:rFonts w:cs="Times New Roman"/>
        </w:rPr>
        <w:t>novembrī. TM ir sagatavojusi un MK ir apstiprinājis MK 2019.</w:t>
      </w:r>
      <w:r w:rsidR="00285686">
        <w:rPr>
          <w:rFonts w:cs="Times New Roman"/>
        </w:rPr>
        <w:t xml:space="preserve"> </w:t>
      </w:r>
      <w:r w:rsidRPr="00F63ABC">
        <w:rPr>
          <w:rFonts w:cs="Times New Roman"/>
        </w:rPr>
        <w:t>gada 10.</w:t>
      </w:r>
      <w:r w:rsidR="00285686">
        <w:rPr>
          <w:rFonts w:cs="Times New Roman"/>
        </w:rPr>
        <w:t xml:space="preserve"> </w:t>
      </w:r>
      <w:r w:rsidRPr="00F63ABC">
        <w:rPr>
          <w:rFonts w:cs="Times New Roman"/>
        </w:rPr>
        <w:t>decembra noteikumus Nr.616 “Noteikumi par uzturlīdzekļu apmēru, ko izmaksā no Uzturlīdzekļu garantiju fonda”. Noteikumi paredz, ka ar 2020.</w:t>
      </w:r>
      <w:r w:rsidR="00285686">
        <w:rPr>
          <w:rFonts w:cs="Times New Roman"/>
        </w:rPr>
        <w:t xml:space="preserve"> </w:t>
      </w:r>
      <w:r w:rsidRPr="00F63ABC">
        <w:rPr>
          <w:rFonts w:cs="Times New Roman"/>
        </w:rPr>
        <w:t>gada 1.</w:t>
      </w:r>
      <w:r w:rsidR="00285686">
        <w:rPr>
          <w:rFonts w:cs="Times New Roman"/>
        </w:rPr>
        <w:t xml:space="preserve"> </w:t>
      </w:r>
      <w:r w:rsidRPr="00F63ABC">
        <w:rPr>
          <w:rFonts w:cs="Times New Roman"/>
        </w:rPr>
        <w:t>janvāri no Uzturlīdzekļu garantiju fonda par pilnu kalendāro mēnesi izmaksā uzturlīdzekļus šādā apmērā:</w:t>
      </w:r>
    </w:p>
    <w:p w14:paraId="747B8097" w14:textId="77777777" w:rsidR="00F63ABC" w:rsidRPr="00F63ABC" w:rsidRDefault="00F63ABC" w:rsidP="000965D4">
      <w:pPr>
        <w:spacing w:after="120"/>
        <w:ind w:firstLine="720"/>
        <w:jc w:val="both"/>
        <w:rPr>
          <w:rFonts w:cs="Times New Roman"/>
        </w:rPr>
      </w:pPr>
      <w:r w:rsidRPr="00F63ABC">
        <w:rPr>
          <w:rFonts w:cs="Times New Roman"/>
        </w:rPr>
        <w:t xml:space="preserve">1) 107,5 </w:t>
      </w:r>
      <w:r w:rsidRPr="00F63ABC">
        <w:rPr>
          <w:rFonts w:cs="Times New Roman"/>
          <w:i/>
        </w:rPr>
        <w:t>euro</w:t>
      </w:r>
      <w:r w:rsidRPr="00F63ABC">
        <w:rPr>
          <w:rFonts w:cs="Times New Roman"/>
        </w:rPr>
        <w:t xml:space="preserve"> katram bērnam no viņa piedzimšanas līdz 7 gadu vecuma sasniegšanai;</w:t>
      </w:r>
    </w:p>
    <w:p w14:paraId="41010CD4" w14:textId="77777777" w:rsidR="00F63ABC" w:rsidRPr="00F63ABC" w:rsidRDefault="00F63ABC" w:rsidP="000965D4">
      <w:pPr>
        <w:spacing w:after="120"/>
        <w:ind w:firstLine="720"/>
        <w:jc w:val="both"/>
        <w:rPr>
          <w:rFonts w:cs="Times New Roman"/>
        </w:rPr>
      </w:pPr>
      <w:r w:rsidRPr="00F63ABC">
        <w:rPr>
          <w:rFonts w:cs="Times New Roman"/>
        </w:rPr>
        <w:t xml:space="preserve">2) 129,0 </w:t>
      </w:r>
      <w:r w:rsidRPr="00F63ABC">
        <w:rPr>
          <w:rFonts w:cs="Times New Roman"/>
          <w:i/>
        </w:rPr>
        <w:t>euro</w:t>
      </w:r>
      <w:r w:rsidRPr="00F63ABC">
        <w:rPr>
          <w:rFonts w:cs="Times New Roman"/>
        </w:rPr>
        <w:t xml:space="preserve"> katram bērnam no 7 gadu vecuma sasniegšanas līdz 18 gadu vecuma sasniegšanai un pilngadīgai personai no 18 gadu vecuma sasniegšanas līdz 21 gada vecuma sasniegšanai.</w:t>
      </w:r>
    </w:p>
    <w:p w14:paraId="6055F11D"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48.punkts Ministrijām</w:t>
      </w:r>
      <w:r w:rsidRPr="00F63ABC">
        <w:rPr>
          <w:rFonts w:cs="Times New Roman"/>
        </w:rPr>
        <w:t xml:space="preserve"> </w:t>
      </w:r>
      <w:r w:rsidRPr="00F63ABC">
        <w:rPr>
          <w:rFonts w:cs="Times New Roman"/>
          <w:i/>
        </w:rPr>
        <w:t>pārskatīt padotībā esošās mazās un vidējā lieluma iestādes un to veiktās funkcijas, lai optimizētu un efektivizētu institucionālās pārvaldības modeli, un līdz 2020.gada 19.maijam iesniegt attiecīgus priekšlikumus Finanšu ministrijā.</w:t>
      </w:r>
      <w:r w:rsidRPr="00F63ABC">
        <w:rPr>
          <w:rFonts w:cs="Times New Roman"/>
        </w:rPr>
        <w:t>”</w:t>
      </w:r>
    </w:p>
    <w:p w14:paraId="5C0FC60B" w14:textId="64D845FF" w:rsidR="00F63ABC" w:rsidRPr="00F63ABC" w:rsidRDefault="00F63ABC" w:rsidP="000965D4">
      <w:pPr>
        <w:spacing w:after="120"/>
        <w:ind w:firstLine="720"/>
        <w:jc w:val="both"/>
        <w:rPr>
          <w:rFonts w:cs="Times New Roman"/>
        </w:rPr>
      </w:pPr>
      <w:r w:rsidRPr="00F63ABC">
        <w:rPr>
          <w:rFonts w:cs="Times New Roman"/>
        </w:rPr>
        <w:t xml:space="preserve">AiM ir izvērtējusi iespēju pārskatīt padotībā esošās vidējā lieluma iestādes un to funkcijas, kopsakarā ar rezultatīvajiem rādītajiem ar mērķi optimizēt un efektivizēt institucionālās pārvaldības modeli. AiM padotībā ir 3 vidēja lieluma iestādes (Kara muzejs, Latvijas Ģeotelpiskās informācijas aģentūra, Jaunsardzes centrs), taču AiM padotībā nav maza lieluma iestādes. AiM neredz iespēju optimizēt to institucionālās pārvaldības modeli, izņemot muzeja algu grāmatvedības un izmaksas funkciju, rezultātā iegūstot papildus resursus </w:t>
      </w:r>
      <w:r w:rsidR="007D1F03">
        <w:rPr>
          <w:rFonts w:cs="Times New Roman"/>
        </w:rPr>
        <w:t>PP</w:t>
      </w:r>
      <w:r w:rsidRPr="00F63ABC">
        <w:rPr>
          <w:rFonts w:cs="Times New Roman"/>
        </w:rPr>
        <w:t xml:space="preserve"> finansēšanai. </w:t>
      </w:r>
    </w:p>
    <w:p w14:paraId="642D6C09" w14:textId="77777777" w:rsidR="00F63ABC" w:rsidRPr="00F63ABC" w:rsidRDefault="00F63ABC" w:rsidP="000965D4">
      <w:pPr>
        <w:spacing w:after="120"/>
        <w:ind w:firstLine="720"/>
        <w:jc w:val="both"/>
        <w:rPr>
          <w:rFonts w:cs="Times New Roman"/>
        </w:rPr>
      </w:pPr>
      <w:r w:rsidRPr="00F63ABC">
        <w:rPr>
          <w:rFonts w:cs="Times New Roman"/>
        </w:rPr>
        <w:t>EM sniedz informāciju, ka visas vērtētās iestādes (Latvijas Nacionālais akreditācijas birojs - maza iestāde; Konkurences padome, Būvniecības un valsts kontroles birojs, Patērētāju tiesību aizsardzības centrs - vidējas iestādes) īsteno sabiedrībai būtiskas funkcijas. Neviena nav likvidējama, apvienojama ar citu funkciju, centralizējama vai deleģējama. EM resorā jau ir daļēji centralizētas grāmatvedības, IKT pakalpojumu, dokumentu vadību, personālvadību un publisko iepirkumu funkcijas.</w:t>
      </w:r>
    </w:p>
    <w:p w14:paraId="3D967F85" w14:textId="6151A9F1" w:rsidR="00F63ABC" w:rsidRPr="00F63ABC" w:rsidRDefault="00F63ABC" w:rsidP="000965D4">
      <w:pPr>
        <w:spacing w:after="120"/>
        <w:ind w:firstLine="720"/>
        <w:jc w:val="both"/>
        <w:rPr>
          <w:rFonts w:cs="Times New Roman"/>
        </w:rPr>
      </w:pPr>
      <w:r w:rsidRPr="00F63ABC">
        <w:rPr>
          <w:rFonts w:cs="Times New Roman"/>
        </w:rPr>
        <w:t>FM ir izvērtējusi Izložu un azartspēļu uzraudzības inspekcijas reorganizācijas iespējas, pievienojot to VID un informē, ka jau šobrīd Izložu un azartspēļu uzraudzības inspekcija darbojas kā maza efektīva valsts pārvaldes iestāde ar centralizētām atbalsta funkcijām</w:t>
      </w:r>
      <w:r w:rsidR="00285686" w:rsidRPr="00285686">
        <w:rPr>
          <w:rFonts w:cs="Times New Roman"/>
        </w:rPr>
        <w:t xml:space="preserve"> </w:t>
      </w:r>
      <w:r w:rsidR="00285686">
        <w:rPr>
          <w:rFonts w:cs="Times New Roman"/>
        </w:rPr>
        <w:t>(</w:t>
      </w:r>
      <w:r w:rsidR="00285686" w:rsidRPr="00F63ABC">
        <w:rPr>
          <w:rFonts w:cs="Times New Roman"/>
        </w:rPr>
        <w:t>grāmatvedības uzskaites nodrošināšanu un personālvadības datu uzskaiti, veic Valsts kase</w:t>
      </w:r>
      <w:r w:rsidR="00285686">
        <w:rPr>
          <w:rFonts w:cs="Times New Roman"/>
        </w:rPr>
        <w:t>)</w:t>
      </w:r>
      <w:r w:rsidRPr="00F63ABC">
        <w:rPr>
          <w:rFonts w:cs="Times New Roman"/>
        </w:rPr>
        <w:t xml:space="preserve">, pievienošana kādai no iestādēm nav lietderīga, tādējādi Izložu un azartspēļu uzraudzības inspekcijai ir saglabājams esošais statuss.  </w:t>
      </w:r>
    </w:p>
    <w:p w14:paraId="51A6DA85" w14:textId="77777777" w:rsidR="00F63ABC" w:rsidRPr="00F63ABC" w:rsidRDefault="00F63ABC" w:rsidP="000965D4">
      <w:pPr>
        <w:spacing w:after="120"/>
        <w:ind w:firstLine="720"/>
        <w:jc w:val="both"/>
        <w:rPr>
          <w:rFonts w:cs="Times New Roman"/>
        </w:rPr>
      </w:pPr>
      <w:r w:rsidRPr="00F63ABC">
        <w:rPr>
          <w:rFonts w:cs="Times New Roman"/>
        </w:rPr>
        <w:t xml:space="preserve">VARAM ir izveidota darba grupa, lai izstrādātu priekšlikumus dabas aizsardzības sistēmas pilnveidei. Darba grupai ir uzdots izvērtēt Dabas aizsardzības pārvaldes, Latvijas </w:t>
      </w:r>
      <w:r w:rsidRPr="00F63ABC">
        <w:rPr>
          <w:rFonts w:cs="Times New Roman"/>
        </w:rPr>
        <w:lastRenderedPageBreak/>
        <w:t>Dabas muzeja un valsts zinātniskā institūta – atvasinātas publiskas personas “Nacionālais botāniskais dārzs” institūciju funkcijas un sagatavot priekšlikumus ministram par daļēju funkciju un uzdevumu nodošanu, kā arī par iespējamo iestāžu centralizāciju. VARAM plāno šo informāciju iekļaut MK informatīvā ziņojuma projektā, kura virzība būs atkarīga no izvērtēšanas rezultāta.</w:t>
      </w:r>
    </w:p>
    <w:p w14:paraId="091A0BEB" w14:textId="77777777" w:rsidR="00450DBB" w:rsidRPr="00F63ABC" w:rsidRDefault="00450DBB" w:rsidP="00450DBB">
      <w:pPr>
        <w:spacing w:after="120"/>
        <w:jc w:val="both"/>
        <w:rPr>
          <w:rFonts w:cs="Times New Roman"/>
        </w:rPr>
      </w:pPr>
      <w:r w:rsidRPr="00F63ABC">
        <w:rPr>
          <w:rFonts w:cs="Times New Roman"/>
        </w:rPr>
        <w:t xml:space="preserve"> “</w:t>
      </w:r>
      <w:r w:rsidRPr="00F63ABC">
        <w:rPr>
          <w:rFonts w:cs="Times New Roman"/>
          <w:b/>
        </w:rPr>
        <w:t>49.punkts Ministrijām</w:t>
      </w:r>
      <w:r w:rsidRPr="00F63ABC">
        <w:rPr>
          <w:rFonts w:cs="Times New Roman"/>
        </w:rPr>
        <w:t xml:space="preserve">, </w:t>
      </w:r>
      <w:r w:rsidRPr="00F63ABC">
        <w:rPr>
          <w:rFonts w:cs="Times New Roman"/>
          <w:i/>
        </w:rPr>
        <w:t>ņemot vērā valsts budžeta programmu/apakšprogrammu stratēģiskās pārskatīšanas matricas rezultātā konstatēto, efektivizēt budžeta programmu/apakšprogrammu turpmāko darbību.</w:t>
      </w:r>
      <w:r w:rsidRPr="00F63ABC">
        <w:rPr>
          <w:rFonts w:cs="Times New Roman"/>
        </w:rPr>
        <w:t>”</w:t>
      </w:r>
    </w:p>
    <w:p w14:paraId="4747E38E" w14:textId="6F3D6B33" w:rsidR="00450DBB" w:rsidRDefault="00450DBB" w:rsidP="00450DBB">
      <w:pPr>
        <w:spacing w:before="120" w:after="120"/>
        <w:ind w:firstLine="720"/>
        <w:jc w:val="both"/>
        <w:rPr>
          <w:rFonts w:cs="Times New Roman"/>
          <w:b/>
        </w:rPr>
      </w:pPr>
      <w:r>
        <w:t xml:space="preserve">Ministrijas veidojot savas rīcībpolitikas turpina patstāvīgi izmantojot matricu analīzes gūtos rezultātus </w:t>
      </w:r>
      <w:r w:rsidR="00510677">
        <w:t>pilnveidojot</w:t>
      </w:r>
      <w:r>
        <w:t xml:space="preserve"> savu turpmāko darbību un izmantot iekšējos resursus citiem aktuāliem pasākumiem.</w:t>
      </w:r>
      <w:r w:rsidRPr="00F63ABC">
        <w:rPr>
          <w:rFonts w:cs="Times New Roman"/>
          <w:b/>
        </w:rPr>
        <w:t xml:space="preserve"> </w:t>
      </w:r>
    </w:p>
    <w:p w14:paraId="2BF1865E" w14:textId="14F173B2" w:rsidR="00F63ABC" w:rsidRPr="00F63ABC" w:rsidRDefault="00F63ABC" w:rsidP="000965D4">
      <w:pPr>
        <w:spacing w:after="120"/>
        <w:jc w:val="both"/>
        <w:rPr>
          <w:rFonts w:cs="Times New Roman"/>
          <w:b/>
        </w:rPr>
      </w:pPr>
      <w:r>
        <w:rPr>
          <w:rFonts w:cs="Times New Roman"/>
          <w:b/>
        </w:rPr>
        <w:t>“50., 51.</w:t>
      </w:r>
      <w:r w:rsidRPr="00F63ABC">
        <w:rPr>
          <w:rFonts w:cs="Times New Roman"/>
          <w:b/>
        </w:rPr>
        <w:t xml:space="preserve">punkts </w:t>
      </w:r>
      <w:r w:rsidR="00285686">
        <w:rPr>
          <w:rFonts w:cs="Times New Roman"/>
          <w:b/>
        </w:rPr>
        <w:t>M</w:t>
      </w:r>
      <w:r w:rsidRPr="00F63ABC">
        <w:rPr>
          <w:rFonts w:cs="Times New Roman"/>
          <w:b/>
        </w:rPr>
        <w:t xml:space="preserve">inistrijām </w:t>
      </w:r>
      <w:r w:rsidRPr="00F63ABC">
        <w:rPr>
          <w:rFonts w:cs="Times New Roman"/>
          <w:i/>
        </w:rPr>
        <w:t>pārskatīt mobilo un stacionāro telefonsakaru pakalpojumus, kā arī drukas iekārtu un to izejmateriālu iegādi un izmantošanu atbilstoši informatīvajā ziņojumā ietvertajam priekšlikumiem.</w:t>
      </w:r>
      <w:r w:rsidRPr="00F63ABC">
        <w:rPr>
          <w:rFonts w:cs="Times New Roman"/>
          <w:b/>
        </w:rPr>
        <w:t>”</w:t>
      </w:r>
    </w:p>
    <w:p w14:paraId="6BBC9E6F" w14:textId="66D9E752" w:rsidR="00E45AF3" w:rsidRPr="002D57C1" w:rsidRDefault="00F63ABC" w:rsidP="002D57C1">
      <w:pPr>
        <w:spacing w:after="120"/>
        <w:ind w:firstLine="720"/>
        <w:jc w:val="both"/>
        <w:rPr>
          <w:rFonts w:cs="Times New Roman"/>
        </w:rPr>
      </w:pPr>
      <w:r w:rsidRPr="00F63ABC">
        <w:rPr>
          <w:rFonts w:cs="Times New Roman"/>
        </w:rPr>
        <w:t xml:space="preserve">Ministrijas ir pārskatījušas mobilo uz stacionāro telefonsakaru pakalpojumus kopā efektivizējot un iegūstot resursus citām iekšējām prioritātēm 59,2 tūkst. </w:t>
      </w:r>
      <w:r w:rsidRPr="00F63ABC">
        <w:rPr>
          <w:rFonts w:cs="Times New Roman"/>
          <w:i/>
        </w:rPr>
        <w:t xml:space="preserve">euro </w:t>
      </w:r>
      <w:r w:rsidRPr="00F63ABC">
        <w:rPr>
          <w:rFonts w:cs="Times New Roman"/>
        </w:rPr>
        <w:t xml:space="preserve">apmērā. Savukārt pārskatot drukas iekārtu un to izejmateriālu iegādi un izmantošanu, </w:t>
      </w:r>
      <w:r w:rsidR="00510677">
        <w:rPr>
          <w:rFonts w:cs="Times New Roman"/>
        </w:rPr>
        <w:t>rasti resursi iekšējām prioritātēm</w:t>
      </w:r>
      <w:r w:rsidRPr="00F63ABC">
        <w:rPr>
          <w:rFonts w:cs="Times New Roman"/>
        </w:rPr>
        <w:t xml:space="preserve"> 189,2 tūkst </w:t>
      </w:r>
      <w:r w:rsidRPr="00F63ABC">
        <w:rPr>
          <w:rFonts w:cs="Times New Roman"/>
          <w:i/>
        </w:rPr>
        <w:t>euro</w:t>
      </w:r>
      <w:r w:rsidRPr="00F63ABC">
        <w:rPr>
          <w:rFonts w:cs="Times New Roman"/>
        </w:rPr>
        <w:t>.</w:t>
      </w:r>
    </w:p>
    <w:p w14:paraId="3E1703CE" w14:textId="5A0F28A4" w:rsidR="00F63ABC" w:rsidRDefault="00F63ABC" w:rsidP="000965D4">
      <w:pPr>
        <w:spacing w:after="120"/>
        <w:jc w:val="both"/>
        <w:rPr>
          <w:rFonts w:cs="Times New Roman"/>
          <w:b/>
          <w:u w:val="single"/>
        </w:rPr>
      </w:pPr>
      <w:r w:rsidRPr="00F63ABC">
        <w:rPr>
          <w:rFonts w:cs="Times New Roman"/>
          <w:b/>
          <w:u w:val="single"/>
        </w:rPr>
        <w:t>Uzsāktie uzdevumi</w:t>
      </w:r>
    </w:p>
    <w:p w14:paraId="13F9DCDE" w14:textId="0EB367CC" w:rsidR="00F63ABC" w:rsidRPr="00F63ABC" w:rsidRDefault="005E1561" w:rsidP="000965D4">
      <w:pPr>
        <w:spacing w:after="120"/>
        <w:jc w:val="both"/>
        <w:rPr>
          <w:rFonts w:cs="Times New Roman"/>
        </w:rPr>
      </w:pPr>
      <w:r w:rsidRPr="00F63ABC">
        <w:rPr>
          <w:rFonts w:cs="Times New Roman"/>
        </w:rPr>
        <w:t xml:space="preserve"> </w:t>
      </w:r>
      <w:r w:rsidR="00F63ABC" w:rsidRPr="00F63ABC">
        <w:rPr>
          <w:rFonts w:cs="Times New Roman"/>
        </w:rPr>
        <w:t>“</w:t>
      </w:r>
      <w:r w:rsidR="00F63ABC" w:rsidRPr="00F63ABC">
        <w:rPr>
          <w:rFonts w:cs="Times New Roman"/>
          <w:b/>
        </w:rPr>
        <w:t>24.punkts Atbalstīt Izglītības un zinātnes ministrijas priekšlikumu</w:t>
      </w:r>
      <w:r w:rsidR="00F63ABC" w:rsidRPr="00F63ABC">
        <w:rPr>
          <w:rFonts w:cs="Times New Roman"/>
        </w:rPr>
        <w:t xml:space="preserve"> </w:t>
      </w:r>
      <w:r w:rsidR="00F63ABC" w:rsidRPr="00F63ABC">
        <w:rPr>
          <w:rFonts w:cs="Times New Roman"/>
          <w:i/>
        </w:rPr>
        <w:t>pārskatīt nosacījumus studentu uzņemšanai augstākās izglītības studiju programmās un valsts budžeta finansētas studiju vietas piešķiršanas kārtību (vidējā atzīme iepriekšējā mācību līmenī, iestājeksāmens u.tml.). Pēc minēto darbību veikšanas Izglītības un zinātnes ministrijai iesniegt attiecīgu informāciju Finanšu ministrijā izdevumu pārskatīšanas procesā saskaņā ar likumprojekta "Par vidēja termiņa budžeta ietvaru 2021., 2022. un 2023.gadam" un likumprojekta "Par valsts budžetu 2021.gadam" sagatavošanas grafikā noteiktajiem termiņiem.</w:t>
      </w:r>
      <w:r w:rsidR="00F63ABC" w:rsidRPr="00F63ABC">
        <w:rPr>
          <w:rFonts w:cs="Times New Roman"/>
        </w:rPr>
        <w:t>”</w:t>
      </w:r>
    </w:p>
    <w:p w14:paraId="739ADAC1" w14:textId="0DF031C8" w:rsidR="00F63ABC" w:rsidRPr="00F63ABC" w:rsidRDefault="00F63ABC" w:rsidP="000965D4">
      <w:pPr>
        <w:spacing w:after="120"/>
        <w:ind w:firstLine="720"/>
        <w:jc w:val="both"/>
        <w:rPr>
          <w:rFonts w:cs="Times New Roman"/>
        </w:rPr>
      </w:pPr>
      <w:r w:rsidRPr="00F63ABC">
        <w:rPr>
          <w:rFonts w:cs="Times New Roman"/>
        </w:rPr>
        <w:t xml:space="preserve">IZM veic datu analīzi ar mērķi noskaidrot, vai pastāv korelācija starp centralizēto eksāmenu rezultātiem un turpmāko </w:t>
      </w:r>
      <w:r>
        <w:rPr>
          <w:rFonts w:cs="Times New Roman"/>
        </w:rPr>
        <w:t xml:space="preserve">studentu </w:t>
      </w:r>
      <w:r w:rsidRPr="00F63ABC">
        <w:rPr>
          <w:rFonts w:cs="Times New Roman"/>
        </w:rPr>
        <w:t xml:space="preserve">atbirumu. Analīzes secinājumi un priekšlikumi par uzņemšanas principiem tiks apkopoti IZM informatīvajā ziņojumā par turpmāko augstākās izglītības finansēšanu, </w:t>
      </w:r>
      <w:r w:rsidR="004F5FA6" w:rsidRPr="00F63ABC">
        <w:rPr>
          <w:rFonts w:cs="Times New Roman"/>
        </w:rPr>
        <w:t>k</w:t>
      </w:r>
      <w:r w:rsidR="004F5FA6">
        <w:rPr>
          <w:rFonts w:cs="Times New Roman"/>
        </w:rPr>
        <w:t>uru</w:t>
      </w:r>
      <w:r w:rsidR="004F5FA6" w:rsidRPr="00F63ABC">
        <w:rPr>
          <w:rFonts w:cs="Times New Roman"/>
        </w:rPr>
        <w:t xml:space="preserve"> </w:t>
      </w:r>
      <w:r w:rsidRPr="00F63ABC">
        <w:rPr>
          <w:rFonts w:cs="Times New Roman"/>
        </w:rPr>
        <w:t>IZM plāno sagatavot un iesniegt izskatīšanai MK līdz 2020.</w:t>
      </w:r>
      <w:r w:rsidR="00EF5020">
        <w:rPr>
          <w:rFonts w:cs="Times New Roman"/>
        </w:rPr>
        <w:t xml:space="preserve"> </w:t>
      </w:r>
      <w:r w:rsidRPr="00F63ABC">
        <w:rPr>
          <w:rFonts w:cs="Times New Roman"/>
        </w:rPr>
        <w:t>gada 31.</w:t>
      </w:r>
      <w:r w:rsidR="00EF5020">
        <w:rPr>
          <w:rFonts w:cs="Times New Roman"/>
        </w:rPr>
        <w:t xml:space="preserve"> </w:t>
      </w:r>
      <w:r w:rsidRPr="00F63ABC">
        <w:rPr>
          <w:rFonts w:cs="Times New Roman"/>
        </w:rPr>
        <w:t>augustam.</w:t>
      </w:r>
    </w:p>
    <w:p w14:paraId="16C72177"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25.punkts Atbalstīt Izglītības un zinātnes ministrijas priekšlikumu</w:t>
      </w:r>
      <w:r w:rsidRPr="00F63ABC">
        <w:rPr>
          <w:rFonts w:cs="Times New Roman"/>
        </w:rPr>
        <w:t xml:space="preserve"> </w:t>
      </w:r>
      <w:r w:rsidRPr="00F63ABC">
        <w:rPr>
          <w:rFonts w:cs="Times New Roman"/>
          <w:i/>
        </w:rPr>
        <w:t>izvērtēt un piedāvāt izmaiņas studiju finansēšanas principos (1.pīlāra finansējums), tai skaitā izvērtējot budžeta vietas un maksas vietas finansēšanas principus. Pēc minēto darbību veikšanas Izglītības un zinātnes ministrijai iesniegt attiecīgu informāciju Finanšu ministrijā izdevumu pārskatīšanas procesā saskaņā ar likumprojekta "Par vidēja termiņa budžeta ietvaru 2021., 2022. un 2023.gadam" un likumprojekta "Par valsts budžetu 2021.gadam" sagatavošanas grafikā noteiktajiem termiņiem.</w:t>
      </w:r>
      <w:r w:rsidRPr="00F63ABC">
        <w:rPr>
          <w:rFonts w:cs="Times New Roman"/>
        </w:rPr>
        <w:t>”</w:t>
      </w:r>
    </w:p>
    <w:p w14:paraId="705B95BD" w14:textId="71B0F38F" w:rsidR="00F63ABC" w:rsidRPr="00F63ABC" w:rsidRDefault="00F63ABC" w:rsidP="000965D4">
      <w:pPr>
        <w:spacing w:after="120"/>
        <w:ind w:firstLine="720"/>
        <w:jc w:val="both"/>
        <w:rPr>
          <w:rFonts w:cs="Times New Roman"/>
        </w:rPr>
      </w:pPr>
      <w:r w:rsidRPr="00F63ABC">
        <w:rPr>
          <w:rFonts w:cs="Times New Roman"/>
        </w:rPr>
        <w:t xml:space="preserve">Informācija par IZM priekšlikumu izvērtēt un piedāvāt izmaiņas studiju finansēšanas principos (1.pīlāra finansējums), </w:t>
      </w:r>
      <w:r w:rsidR="00095F13" w:rsidRPr="00F63ABC">
        <w:rPr>
          <w:rFonts w:cs="Times New Roman"/>
        </w:rPr>
        <w:t>t</w:t>
      </w:r>
      <w:r w:rsidR="00095F13">
        <w:rPr>
          <w:rFonts w:cs="Times New Roman"/>
        </w:rPr>
        <w:t>.</w:t>
      </w:r>
      <w:r w:rsidR="00095F13" w:rsidRPr="00F63ABC">
        <w:rPr>
          <w:rFonts w:cs="Times New Roman"/>
        </w:rPr>
        <w:t xml:space="preserve"> sk</w:t>
      </w:r>
      <w:r w:rsidR="00095F13">
        <w:rPr>
          <w:rFonts w:cs="Times New Roman"/>
        </w:rPr>
        <w:t>.</w:t>
      </w:r>
      <w:r w:rsidR="00095F13" w:rsidRPr="00F63ABC">
        <w:rPr>
          <w:rFonts w:cs="Times New Roman"/>
        </w:rPr>
        <w:t xml:space="preserve"> </w:t>
      </w:r>
      <w:r w:rsidRPr="00F63ABC">
        <w:rPr>
          <w:rFonts w:cs="Times New Roman"/>
        </w:rPr>
        <w:t xml:space="preserve">izvērtējot budžeta vietas un maksas vietas finansēšanas principus, tiks ietverta IZM informatīvajā ziņojumā par turpmāko augstākās izglītības finansēšanu, </w:t>
      </w:r>
      <w:r w:rsidR="004F5FA6" w:rsidRPr="00F63ABC">
        <w:rPr>
          <w:rFonts w:cs="Times New Roman"/>
        </w:rPr>
        <w:t>k</w:t>
      </w:r>
      <w:r w:rsidR="004F5FA6">
        <w:rPr>
          <w:rFonts w:cs="Times New Roman"/>
        </w:rPr>
        <w:t>uru</w:t>
      </w:r>
      <w:r w:rsidR="004F5FA6" w:rsidRPr="00F63ABC">
        <w:rPr>
          <w:rFonts w:cs="Times New Roman"/>
        </w:rPr>
        <w:t xml:space="preserve"> </w:t>
      </w:r>
      <w:r w:rsidRPr="00F63ABC">
        <w:rPr>
          <w:rFonts w:cs="Times New Roman"/>
        </w:rPr>
        <w:t>IZM plāno sagatavot un iesniegt izskatīšanai MK līdz 2020.</w:t>
      </w:r>
      <w:r w:rsidR="00095F13">
        <w:rPr>
          <w:rFonts w:cs="Times New Roman"/>
        </w:rPr>
        <w:t xml:space="preserve"> </w:t>
      </w:r>
      <w:r w:rsidRPr="00F63ABC">
        <w:rPr>
          <w:rFonts w:cs="Times New Roman"/>
        </w:rPr>
        <w:t>gada 31.</w:t>
      </w:r>
      <w:r w:rsidR="00095F13">
        <w:rPr>
          <w:rFonts w:cs="Times New Roman"/>
        </w:rPr>
        <w:t xml:space="preserve"> </w:t>
      </w:r>
      <w:r w:rsidRPr="00F63ABC">
        <w:rPr>
          <w:rFonts w:cs="Times New Roman"/>
        </w:rPr>
        <w:t xml:space="preserve">augustam. IZM ir pasūtījis pētījumu par studiju bāzes izmaksu, jomu un līmeņu koeficientu </w:t>
      </w:r>
      <w:r w:rsidRPr="00F63ABC">
        <w:rPr>
          <w:rFonts w:cs="Times New Roman"/>
        </w:rPr>
        <w:lastRenderedPageBreak/>
        <w:t xml:space="preserve">aktualizāciju atbilstoši mūsdienīga studiju procesa prasībām. Uz </w:t>
      </w:r>
      <w:r w:rsidR="004F5FA6">
        <w:rPr>
          <w:rFonts w:cs="Times New Roman"/>
        </w:rPr>
        <w:t xml:space="preserve"> minētā</w:t>
      </w:r>
      <w:r w:rsidR="00BF066A">
        <w:rPr>
          <w:rFonts w:cs="Times New Roman"/>
        </w:rPr>
        <w:t xml:space="preserve"> </w:t>
      </w:r>
      <w:r w:rsidR="00095F13">
        <w:rPr>
          <w:rFonts w:cs="Times New Roman"/>
        </w:rPr>
        <w:t>pētījuma</w:t>
      </w:r>
      <w:r w:rsidR="00095F13" w:rsidRPr="00F63ABC">
        <w:rPr>
          <w:rFonts w:cs="Times New Roman"/>
        </w:rPr>
        <w:t xml:space="preserve"> </w:t>
      </w:r>
      <w:r w:rsidRPr="00F63ABC">
        <w:rPr>
          <w:rFonts w:cs="Times New Roman"/>
        </w:rPr>
        <w:t>pamata IZM sagatavos secinājumus un priekšlikumus par studiju vietas finansēšanas principiem un par studiju maksas noteikšanas principiem.</w:t>
      </w:r>
    </w:p>
    <w:p w14:paraId="048C66C1" w14:textId="77777777" w:rsidR="00F63ABC" w:rsidRPr="00F63ABC" w:rsidRDefault="00F63ABC" w:rsidP="000965D4">
      <w:pPr>
        <w:spacing w:after="120"/>
        <w:jc w:val="both"/>
        <w:rPr>
          <w:rFonts w:cs="Times New Roman"/>
        </w:rPr>
      </w:pPr>
      <w:r w:rsidRPr="00F63ABC" w:rsidDel="00D2051D">
        <w:rPr>
          <w:rFonts w:cs="Times New Roman"/>
        </w:rPr>
        <w:t xml:space="preserve"> </w:t>
      </w:r>
      <w:r w:rsidRPr="00F63ABC">
        <w:rPr>
          <w:rFonts w:cs="Times New Roman"/>
        </w:rPr>
        <w:t>“</w:t>
      </w:r>
      <w:r w:rsidRPr="00F63ABC">
        <w:rPr>
          <w:rFonts w:cs="Times New Roman"/>
          <w:b/>
        </w:rPr>
        <w:t>27.punkts Atbalstīt Izglītības un zinātnes ministrijas priekšlikumu</w:t>
      </w:r>
      <w:r w:rsidRPr="00F63ABC">
        <w:rPr>
          <w:rFonts w:cs="Times New Roman"/>
        </w:rPr>
        <w:t xml:space="preserve"> </w:t>
      </w:r>
      <w:r w:rsidRPr="00F63ABC">
        <w:rPr>
          <w:rFonts w:cs="Times New Roman"/>
          <w:i/>
        </w:rPr>
        <w:t>nodrošināt studiju programmu skaita izmaiņas saskaņā ar mērķa rādītājiem Darbības programmas "Izaugsme un nodarbinātība" 8.2.1.specifiskā atbalsta mērķa "Samazināt studiju programmu fragmentāciju un stiprināt resursu koplietošanu" ietvaros no 916 studiju programmām 2017.gadā uz 800 programmām 2023.gadā, kā arī tā ietvaros plānoto jauno kopīgo doktorantūras programmu un programmu angļu valodā izveidi, tādā veidā uzlabojot Latvijas augstākās izglītības starptautisko konkurētspēju. Studiju jomu pārklāšanās ir vērtējama pēc jaunā akreditācijas posma, kas notiks no 2020. līdz 2023.gadam (piemēram, sociālo zinātņu programmās 2020.-2021.gadā).</w:t>
      </w:r>
      <w:r w:rsidRPr="00F63ABC">
        <w:rPr>
          <w:rFonts w:cs="Times New Roman"/>
        </w:rPr>
        <w:t>”</w:t>
      </w:r>
    </w:p>
    <w:p w14:paraId="194EAD97" w14:textId="6D5DB79C" w:rsidR="00F63ABC" w:rsidRPr="00F63ABC" w:rsidRDefault="00F63ABC" w:rsidP="000965D4">
      <w:pPr>
        <w:spacing w:after="120"/>
        <w:ind w:firstLine="720"/>
        <w:jc w:val="both"/>
        <w:rPr>
          <w:rFonts w:cs="Times New Roman"/>
        </w:rPr>
      </w:pPr>
      <w:r w:rsidRPr="00F63ABC">
        <w:rPr>
          <w:rFonts w:cs="Times New Roman"/>
        </w:rPr>
        <w:t xml:space="preserve">8.2.1.specifiskā atbalsta mērķa </w:t>
      </w:r>
      <w:r w:rsidR="00095F13">
        <w:rPr>
          <w:rFonts w:cs="Times New Roman"/>
        </w:rPr>
        <w:t>“</w:t>
      </w:r>
      <w:r w:rsidRPr="00F63ABC">
        <w:rPr>
          <w:rFonts w:cs="Times New Roman"/>
        </w:rPr>
        <w:t>Samazināt studiju programmu fragmentāciju un stiprināt resursu koplietošanu</w:t>
      </w:r>
      <w:r w:rsidR="00095F13">
        <w:rPr>
          <w:rFonts w:cs="Times New Roman"/>
        </w:rPr>
        <w:t>”</w:t>
      </w:r>
      <w:r w:rsidRPr="00F63ABC">
        <w:rPr>
          <w:rFonts w:cs="Times New Roman"/>
        </w:rPr>
        <w:t xml:space="preserve"> ietvaros tiek īstenoti 20 projekti (6 projekti 1.kārtā un 14 projekti 2.kārtā), kuru rezultātā līdz 2023.</w:t>
      </w:r>
      <w:r w:rsidR="00095F13">
        <w:rPr>
          <w:rFonts w:cs="Times New Roman"/>
        </w:rPr>
        <w:t xml:space="preserve"> </w:t>
      </w:r>
      <w:r w:rsidRPr="00F63ABC">
        <w:rPr>
          <w:rFonts w:cs="Times New Roman"/>
        </w:rPr>
        <w:t>gada beigām tiks slēgtas 116 studiju programmas un izveidotas 9 jaunas kopīgās doktorantūras studiju programmas, kā arī 59 studiju programmas angļu valodā. Pēc IZM sniegtajiem datiem uz 2020.</w:t>
      </w:r>
      <w:r w:rsidR="00095F13">
        <w:rPr>
          <w:rFonts w:cs="Times New Roman"/>
        </w:rPr>
        <w:t xml:space="preserve"> </w:t>
      </w:r>
      <w:r w:rsidRPr="00F63ABC">
        <w:rPr>
          <w:rFonts w:cs="Times New Roman"/>
        </w:rPr>
        <w:t>gada 6.</w:t>
      </w:r>
      <w:r w:rsidR="00095F13">
        <w:rPr>
          <w:rFonts w:cs="Times New Roman"/>
        </w:rPr>
        <w:t xml:space="preserve"> </w:t>
      </w:r>
      <w:r w:rsidRPr="00F63ABC">
        <w:rPr>
          <w:rFonts w:cs="Times New Roman"/>
        </w:rPr>
        <w:t>jūliju kopumā projektu īstenošanas rezultātā jau ir slēgtas 23 studiju programmas. Studiju jomu pārklāšanās ir vērtējama pēc jaunā akreditācijas posma, kas notiks no 2020. līdz 2023.</w:t>
      </w:r>
      <w:r w:rsidR="00095F13">
        <w:rPr>
          <w:rFonts w:cs="Times New Roman"/>
        </w:rPr>
        <w:t xml:space="preserve"> </w:t>
      </w:r>
      <w:r w:rsidRPr="00F63ABC">
        <w:rPr>
          <w:rFonts w:cs="Times New Roman"/>
        </w:rPr>
        <w:t>gadam (piemēram, sociālo zinātņu programmās 2020.-2021.</w:t>
      </w:r>
      <w:r w:rsidR="00095F13">
        <w:rPr>
          <w:rFonts w:cs="Times New Roman"/>
        </w:rPr>
        <w:t xml:space="preserve"> </w:t>
      </w:r>
      <w:r w:rsidRPr="00F63ABC">
        <w:rPr>
          <w:rFonts w:cs="Times New Roman"/>
        </w:rPr>
        <w:t>gadā).</w:t>
      </w:r>
    </w:p>
    <w:p w14:paraId="7A664B86" w14:textId="3A31C9D2" w:rsidR="00F63ABC" w:rsidRPr="00F63ABC" w:rsidRDefault="00F63ABC" w:rsidP="000965D4">
      <w:pPr>
        <w:spacing w:after="120"/>
        <w:jc w:val="both"/>
        <w:rPr>
          <w:rFonts w:cs="Times New Roman"/>
        </w:rPr>
      </w:pPr>
      <w:r w:rsidRPr="00F63ABC">
        <w:rPr>
          <w:rFonts w:cs="Times New Roman"/>
        </w:rPr>
        <w:t>“</w:t>
      </w:r>
      <w:r w:rsidRPr="00F63ABC">
        <w:rPr>
          <w:rFonts w:cs="Times New Roman"/>
          <w:b/>
        </w:rPr>
        <w:t>28.punkts Atbalstīt Izglītības un zinātnes ministrijas priekšlikumu</w:t>
      </w:r>
      <w:r w:rsidRPr="00F63ABC">
        <w:rPr>
          <w:rFonts w:cs="Times New Roman"/>
        </w:rPr>
        <w:t xml:space="preserve"> </w:t>
      </w:r>
      <w:r w:rsidRPr="00F63ABC">
        <w:rPr>
          <w:rFonts w:cs="Times New Roman"/>
          <w:i/>
        </w:rPr>
        <w:t xml:space="preserve">sagatavot izmaiņas studiju maksas noteikšanas principos visu līmeņu studiju programmās. Pēc minēto darbību veikšanas Izglītības un zinātnes ministrijai iesniegt attiecīgu informāciju Finanšu ministrijā izdevumu pārskatīšanas procesā saskaņā ar likumprojekta </w:t>
      </w:r>
      <w:r w:rsidR="00095F13">
        <w:rPr>
          <w:rFonts w:cs="Times New Roman"/>
          <w:i/>
        </w:rPr>
        <w:t>“</w:t>
      </w:r>
      <w:r w:rsidRPr="00F63ABC">
        <w:rPr>
          <w:rFonts w:cs="Times New Roman"/>
          <w:i/>
        </w:rPr>
        <w:t>Par vidēja termiņa budžeta ietvaru 2021., 2022. un 2023.gadam</w:t>
      </w:r>
      <w:r w:rsidR="00095F13">
        <w:rPr>
          <w:rFonts w:cs="Times New Roman"/>
          <w:i/>
        </w:rPr>
        <w:t>”</w:t>
      </w:r>
      <w:r w:rsidRPr="00F63ABC">
        <w:rPr>
          <w:rFonts w:cs="Times New Roman"/>
          <w:i/>
        </w:rPr>
        <w:t xml:space="preserve"> un likumprojekta </w:t>
      </w:r>
      <w:r w:rsidR="00095F13">
        <w:rPr>
          <w:rFonts w:cs="Times New Roman"/>
          <w:i/>
        </w:rPr>
        <w:t>“</w:t>
      </w:r>
      <w:r w:rsidRPr="00F63ABC">
        <w:rPr>
          <w:rFonts w:cs="Times New Roman"/>
          <w:i/>
        </w:rPr>
        <w:t>Par valsts budžetu 2021.gadam</w:t>
      </w:r>
      <w:r w:rsidR="00095F13">
        <w:rPr>
          <w:rFonts w:cs="Times New Roman"/>
          <w:i/>
        </w:rPr>
        <w:t>”</w:t>
      </w:r>
      <w:r w:rsidRPr="00F63ABC">
        <w:rPr>
          <w:rFonts w:cs="Times New Roman"/>
          <w:i/>
        </w:rPr>
        <w:t xml:space="preserve"> sagatavošanas grafikā noteiktajiem termiņiem.</w:t>
      </w:r>
      <w:r w:rsidRPr="00F63ABC">
        <w:rPr>
          <w:rFonts w:cs="Times New Roman"/>
        </w:rPr>
        <w:t>”</w:t>
      </w:r>
    </w:p>
    <w:p w14:paraId="416C536F" w14:textId="229019B9" w:rsidR="00F63ABC" w:rsidRPr="00F63ABC" w:rsidRDefault="000F7182" w:rsidP="000965D4">
      <w:pPr>
        <w:spacing w:after="120"/>
        <w:ind w:firstLine="720"/>
        <w:jc w:val="both"/>
        <w:rPr>
          <w:rFonts w:cs="Times New Roman"/>
        </w:rPr>
      </w:pPr>
      <w:r>
        <w:rPr>
          <w:rFonts w:cs="Times New Roman"/>
        </w:rPr>
        <w:t>IZM plāno ietvert priekšlikumu</w:t>
      </w:r>
      <w:r w:rsidR="00F63ABC" w:rsidRPr="00F63ABC">
        <w:rPr>
          <w:rFonts w:cs="Times New Roman"/>
        </w:rPr>
        <w:t xml:space="preserve"> izmaiņām studiju maksas noteikšanas principos visu līmeņu studiju programmās IZM informatīvajā ziņojumā par turpmāko augstākās izglītības finansēšanu, </w:t>
      </w:r>
      <w:r w:rsidR="004F5FA6" w:rsidRPr="00F63ABC">
        <w:rPr>
          <w:rFonts w:cs="Times New Roman"/>
        </w:rPr>
        <w:t>k</w:t>
      </w:r>
      <w:r w:rsidR="004F5FA6">
        <w:rPr>
          <w:rFonts w:cs="Times New Roman"/>
        </w:rPr>
        <w:t>uru</w:t>
      </w:r>
      <w:r w:rsidR="004F5FA6" w:rsidRPr="00F63ABC">
        <w:rPr>
          <w:rFonts w:cs="Times New Roman"/>
        </w:rPr>
        <w:t xml:space="preserve"> </w:t>
      </w:r>
      <w:r w:rsidR="00F63ABC" w:rsidRPr="00F63ABC">
        <w:rPr>
          <w:rFonts w:cs="Times New Roman"/>
        </w:rPr>
        <w:t>IZM plāno sagatavot un iesniegt izskatīšanai MK līdz 2020.</w:t>
      </w:r>
      <w:r w:rsidR="00095F13">
        <w:rPr>
          <w:rFonts w:cs="Times New Roman"/>
        </w:rPr>
        <w:t xml:space="preserve"> </w:t>
      </w:r>
      <w:r w:rsidR="00F63ABC" w:rsidRPr="00F63ABC">
        <w:rPr>
          <w:rFonts w:cs="Times New Roman"/>
        </w:rPr>
        <w:t>gada 31.</w:t>
      </w:r>
      <w:r w:rsidR="00095F13">
        <w:rPr>
          <w:rFonts w:cs="Times New Roman"/>
        </w:rPr>
        <w:t xml:space="preserve"> </w:t>
      </w:r>
      <w:r w:rsidR="00F63ABC" w:rsidRPr="00F63ABC">
        <w:rPr>
          <w:rFonts w:cs="Times New Roman"/>
        </w:rPr>
        <w:t>augustam.</w:t>
      </w:r>
    </w:p>
    <w:p w14:paraId="73C9979F"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29.punkts Izglītības un zinātnes ministrijai</w:t>
      </w:r>
      <w:r w:rsidRPr="00F63ABC">
        <w:rPr>
          <w:rFonts w:cs="Times New Roman"/>
        </w:rPr>
        <w:t xml:space="preserve"> </w:t>
      </w:r>
      <w:r w:rsidRPr="00F63ABC">
        <w:rPr>
          <w:rFonts w:cs="Times New Roman"/>
          <w:i/>
        </w:rPr>
        <w:t>nodrošināt Ministru kabineta 2018.gada 2.oktobra sēdes protokollēmumā (Nr.45 23.§) dotā uzdevuma izpildi – ņemot vērā 2019.gadā veikto starptautisko novērtējumu, sešu mēnešu laikā no starptautiskā novērtējuma pabeigšanas dienas sagatavot un izglītības un zinātnes ministram iesniegt izskatīšanai Ministru kabinetā informatīvo ziņojumu par turpmāko publiskā finansējuma sasaisti ar starptautiskā novērtējuma rezultātiem, tai skaitā aprēķinot un piešķirot bāzes finansējumu zinātnisko institūciju reģistrā reģistrētajiem valsts zinātniskajiem institūtiem, valsts augstskolām, valsts augstskolu zinātniskajiem institūtiem, tajā skaitā valsts dibināto universitāšu zinātniskajiem institūtiem – atvasinātām publiskām personām, tostarp ievērojot, ka starptautiskais novērtējums ir veikts valsts augstskolu vērtējamām vienībām.</w:t>
      </w:r>
      <w:r w:rsidRPr="00F63ABC">
        <w:rPr>
          <w:rFonts w:cs="Times New Roman"/>
        </w:rPr>
        <w:t>”</w:t>
      </w:r>
    </w:p>
    <w:p w14:paraId="17CAA7D9" w14:textId="07AE3148" w:rsidR="00F63ABC" w:rsidRPr="00F63ABC" w:rsidRDefault="00095F13" w:rsidP="000965D4">
      <w:pPr>
        <w:spacing w:after="120"/>
        <w:ind w:firstLine="720"/>
        <w:jc w:val="both"/>
        <w:rPr>
          <w:rFonts w:cs="Times New Roman"/>
        </w:rPr>
      </w:pPr>
      <w:r>
        <w:rPr>
          <w:rFonts w:cs="Times New Roman"/>
        </w:rPr>
        <w:t>IZM inform</w:t>
      </w:r>
      <w:r w:rsidR="004F5FA6">
        <w:rPr>
          <w:rFonts w:cs="Times New Roman"/>
        </w:rPr>
        <w:t>ē</w:t>
      </w:r>
      <w:r>
        <w:rPr>
          <w:rFonts w:cs="Times New Roman"/>
        </w:rPr>
        <w:t xml:space="preserve">, ka </w:t>
      </w:r>
      <w:r w:rsidR="004F5FA6">
        <w:rPr>
          <w:rFonts w:cs="Times New Roman"/>
        </w:rPr>
        <w:t xml:space="preserve">notiek darbs pie </w:t>
      </w:r>
      <w:r>
        <w:rPr>
          <w:rFonts w:cs="Times New Roman"/>
        </w:rPr>
        <w:t>s</w:t>
      </w:r>
      <w:r w:rsidR="00F63ABC" w:rsidRPr="00F63ABC">
        <w:rPr>
          <w:rFonts w:cs="Times New Roman"/>
        </w:rPr>
        <w:t>tarptautisk</w:t>
      </w:r>
      <w:r w:rsidR="004F5FA6">
        <w:rPr>
          <w:rFonts w:cs="Times New Roman"/>
        </w:rPr>
        <w:t>ā</w:t>
      </w:r>
      <w:r w:rsidR="00F63ABC" w:rsidRPr="00F63ABC">
        <w:rPr>
          <w:rFonts w:cs="Times New Roman"/>
        </w:rPr>
        <w:t xml:space="preserve"> zinātnisko institūciju </w:t>
      </w:r>
      <w:r w:rsidR="004F5FA6" w:rsidRPr="00F63ABC">
        <w:rPr>
          <w:rFonts w:cs="Times New Roman"/>
        </w:rPr>
        <w:t>novērtējum</w:t>
      </w:r>
      <w:r w:rsidR="004F5FA6">
        <w:rPr>
          <w:rFonts w:cs="Times New Roman"/>
        </w:rPr>
        <w:t>a.</w:t>
      </w:r>
      <w:r w:rsidR="004F5FA6" w:rsidRPr="00F63ABC">
        <w:rPr>
          <w:rFonts w:cs="Times New Roman"/>
        </w:rPr>
        <w:t xml:space="preserve"> </w:t>
      </w:r>
      <w:r w:rsidR="00F63ABC" w:rsidRPr="00F63ABC">
        <w:rPr>
          <w:rFonts w:cs="Times New Roman"/>
        </w:rPr>
        <w:t xml:space="preserve">Tomēr, ņemot vērā noteikto ārkārtējo situāciju, ekspertu vizītes zinātniskajās institūcijās ir pārceltas uz nenoteiktu laiku. Labvēlīgas situācijas apstākļos </w:t>
      </w:r>
      <w:r w:rsidR="004F5FA6">
        <w:rPr>
          <w:rFonts w:cs="Times New Roman"/>
        </w:rPr>
        <w:t xml:space="preserve">informatīvo </w:t>
      </w:r>
      <w:r w:rsidR="00F63ABC" w:rsidRPr="00F63ABC">
        <w:rPr>
          <w:rFonts w:cs="Times New Roman"/>
        </w:rPr>
        <w:t xml:space="preserve">ziņojumu </w:t>
      </w:r>
      <w:r w:rsidR="004F5FA6" w:rsidRPr="00B312BF">
        <w:t>par turpmāko publiskā finansējuma sasaisti ar starptautiskā novērtējuma rezultātiem</w:t>
      </w:r>
      <w:r w:rsidR="004F5FA6" w:rsidRPr="00F63ABC">
        <w:rPr>
          <w:rFonts w:cs="Times New Roman"/>
        </w:rPr>
        <w:t xml:space="preserve"> </w:t>
      </w:r>
      <w:r w:rsidR="00F63ABC" w:rsidRPr="00F63ABC">
        <w:rPr>
          <w:rFonts w:cs="Times New Roman"/>
        </w:rPr>
        <w:t>ir plānots pabeigt 2021.</w:t>
      </w:r>
      <w:r>
        <w:rPr>
          <w:rFonts w:cs="Times New Roman"/>
        </w:rPr>
        <w:t xml:space="preserve"> </w:t>
      </w:r>
      <w:r w:rsidR="00F63ABC" w:rsidRPr="00F63ABC">
        <w:rPr>
          <w:rFonts w:cs="Times New Roman"/>
        </w:rPr>
        <w:t>gada sākumā.</w:t>
      </w:r>
    </w:p>
    <w:p w14:paraId="5495F7B0" w14:textId="77777777" w:rsidR="00F63ABC" w:rsidRPr="00F63ABC" w:rsidRDefault="00F63ABC" w:rsidP="000965D4">
      <w:pPr>
        <w:spacing w:after="120"/>
        <w:jc w:val="both"/>
        <w:rPr>
          <w:rFonts w:cs="Times New Roman"/>
        </w:rPr>
      </w:pPr>
      <w:r w:rsidRPr="00F63ABC">
        <w:rPr>
          <w:rFonts w:cs="Times New Roman"/>
        </w:rPr>
        <w:lastRenderedPageBreak/>
        <w:t>“</w:t>
      </w:r>
      <w:r w:rsidRPr="00F63ABC">
        <w:rPr>
          <w:rFonts w:cs="Times New Roman"/>
          <w:b/>
        </w:rPr>
        <w:t>32.punkts Veselības ministrijai</w:t>
      </w:r>
      <w:r w:rsidRPr="00F63ABC">
        <w:rPr>
          <w:rFonts w:cs="Times New Roman"/>
        </w:rPr>
        <w:t xml:space="preserve"> </w:t>
      </w:r>
      <w:r w:rsidRPr="00F63ABC">
        <w:rPr>
          <w:rFonts w:cs="Times New Roman"/>
          <w:i/>
        </w:rPr>
        <w:t>līdz 2021.gada 1.janvārim pārskatīt ģimenes ārsta darbības kvalitātes kritērijus saistībā ar viņa reģistrēto pacientu plūsmu stacionāru uzņemšanas nodaļās un hospitalizāciju skaitu attiecībā pret vidējo valstī.</w:t>
      </w:r>
      <w:r w:rsidRPr="00F63ABC">
        <w:rPr>
          <w:rFonts w:cs="Times New Roman"/>
        </w:rPr>
        <w:t>”</w:t>
      </w:r>
    </w:p>
    <w:p w14:paraId="184BFC32" w14:textId="387522D0" w:rsidR="00F63ABC" w:rsidRPr="00F63ABC" w:rsidRDefault="00F63ABC" w:rsidP="000965D4">
      <w:pPr>
        <w:spacing w:after="120"/>
        <w:ind w:firstLine="720"/>
        <w:jc w:val="both"/>
        <w:rPr>
          <w:rFonts w:cs="Times New Roman"/>
        </w:rPr>
      </w:pPr>
      <w:r w:rsidRPr="00F63ABC">
        <w:rPr>
          <w:rFonts w:cs="Times New Roman"/>
        </w:rPr>
        <w:t xml:space="preserve">VM </w:t>
      </w:r>
      <w:r w:rsidR="006165D3">
        <w:rPr>
          <w:rFonts w:cs="Times New Roman"/>
        </w:rPr>
        <w:t>ir informējusi, ka n</w:t>
      </w:r>
      <w:r w:rsidR="006165D3" w:rsidRPr="00F63ABC">
        <w:rPr>
          <w:rFonts w:cs="Times New Roman"/>
        </w:rPr>
        <w:t xml:space="preserve">otiek </w:t>
      </w:r>
      <w:r w:rsidRPr="00F63ABC">
        <w:rPr>
          <w:rFonts w:cs="Times New Roman"/>
        </w:rPr>
        <w:t>diskusijas ar ģimenes ārstu asociācijām par ģimenes ārsta darbības kvalitātes kritēriju pārskatīšanu</w:t>
      </w:r>
      <w:r w:rsidR="006165D3" w:rsidRPr="006165D3">
        <w:rPr>
          <w:rFonts w:cs="Times New Roman"/>
        </w:rPr>
        <w:t xml:space="preserve"> </w:t>
      </w:r>
      <w:r w:rsidR="006165D3">
        <w:rPr>
          <w:rFonts w:cs="Times New Roman"/>
        </w:rPr>
        <w:t xml:space="preserve">un </w:t>
      </w:r>
      <w:r w:rsidR="00F5680B" w:rsidRPr="00F5680B">
        <w:rPr>
          <w:rFonts w:cs="Times New Roman"/>
        </w:rPr>
        <w:t>lūgusi minētā uzdevuma izpildes termiņu pagarināt līdz 2021.</w:t>
      </w:r>
      <w:r w:rsidR="00F5680B">
        <w:rPr>
          <w:rFonts w:cs="Times New Roman"/>
        </w:rPr>
        <w:t xml:space="preserve"> </w:t>
      </w:r>
      <w:r w:rsidR="00F5680B" w:rsidRPr="00F5680B">
        <w:rPr>
          <w:rFonts w:cs="Times New Roman"/>
        </w:rPr>
        <w:t>gada 1.</w:t>
      </w:r>
      <w:r w:rsidR="00F5680B">
        <w:rPr>
          <w:rFonts w:cs="Times New Roman"/>
        </w:rPr>
        <w:t xml:space="preserve"> </w:t>
      </w:r>
      <w:r w:rsidR="00F5680B" w:rsidRPr="00F5680B">
        <w:rPr>
          <w:rFonts w:cs="Times New Roman"/>
        </w:rPr>
        <w:t>jūlijam.</w:t>
      </w:r>
      <w:r w:rsidR="00F5680B">
        <w:rPr>
          <w:rFonts w:cs="Times New Roman"/>
        </w:rPr>
        <w:t xml:space="preserve"> </w:t>
      </w:r>
    </w:p>
    <w:p w14:paraId="3616DB2A"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33.punkts Veselības ministrijai</w:t>
      </w:r>
      <w:r w:rsidRPr="00F63ABC">
        <w:rPr>
          <w:rFonts w:cs="Times New Roman"/>
        </w:rPr>
        <w:t xml:space="preserve"> </w:t>
      </w:r>
      <w:r w:rsidRPr="00F63ABC">
        <w:rPr>
          <w:rFonts w:cs="Times New Roman"/>
          <w:i/>
        </w:rPr>
        <w:t>līdz 2020.gada 1.oktobrim iesniegt Finanšu ministrijā informāciju par projekta "Slimnīcu sadarbības teritorijas" rezultātiem, tai skaitā par identificētajām problēmām, izstrādātajiem ieteikumiem (par cik samazināti speciālisti, cik bijušas pārbaudes, vai slimnīcām ir izmaiņas līmeņos)</w:t>
      </w:r>
      <w:r w:rsidRPr="00F63ABC">
        <w:rPr>
          <w:rFonts w:cs="Times New Roman"/>
        </w:rPr>
        <w:t>.”</w:t>
      </w:r>
    </w:p>
    <w:p w14:paraId="25E29B4C" w14:textId="41AB4D52" w:rsidR="00F63ABC" w:rsidRPr="00F63ABC" w:rsidRDefault="003C510F" w:rsidP="000965D4">
      <w:pPr>
        <w:spacing w:after="120"/>
        <w:ind w:firstLine="720"/>
        <w:jc w:val="both"/>
        <w:rPr>
          <w:rFonts w:cs="Times New Roman"/>
        </w:rPr>
      </w:pPr>
      <w:r>
        <w:rPr>
          <w:rFonts w:cs="Times New Roman"/>
        </w:rPr>
        <w:t>VM ir informējusi, ka s</w:t>
      </w:r>
      <w:r w:rsidR="00F63ABC" w:rsidRPr="00F63ABC">
        <w:rPr>
          <w:rFonts w:cs="Times New Roman"/>
        </w:rPr>
        <w:t xml:space="preserve">limnīcu līmeņu pārskatīšanas shēma, pasākumi un laika grafiks ir iekļauts progresa ziņojumā </w:t>
      </w:r>
      <w:r>
        <w:rPr>
          <w:rFonts w:cs="Times New Roman"/>
        </w:rPr>
        <w:t>“</w:t>
      </w:r>
      <w:r w:rsidR="00F63ABC" w:rsidRPr="00F63ABC">
        <w:rPr>
          <w:rFonts w:cs="Times New Roman"/>
        </w:rPr>
        <w:t xml:space="preserve">Par konceptuālajā ziņojumā </w:t>
      </w:r>
      <w:r>
        <w:rPr>
          <w:rFonts w:cs="Times New Roman"/>
        </w:rPr>
        <w:t>“</w:t>
      </w:r>
      <w:r w:rsidR="00F63ABC" w:rsidRPr="00F63ABC">
        <w:rPr>
          <w:rFonts w:cs="Times New Roman"/>
        </w:rPr>
        <w:t>Par veselības aprūpes sistēmas reformu</w:t>
      </w:r>
      <w:r>
        <w:rPr>
          <w:rFonts w:cs="Times New Roman"/>
        </w:rPr>
        <w:t>”</w:t>
      </w:r>
      <w:r w:rsidR="00F63ABC" w:rsidRPr="00F63ABC">
        <w:rPr>
          <w:rFonts w:cs="Times New Roman"/>
        </w:rPr>
        <w:t xml:space="preserve"> iekļauto uzdevumu izpildi</w:t>
      </w:r>
      <w:r>
        <w:rPr>
          <w:rFonts w:cs="Times New Roman"/>
        </w:rPr>
        <w:t>”</w:t>
      </w:r>
      <w:r w:rsidR="00F63ABC" w:rsidRPr="00F63ABC">
        <w:rPr>
          <w:rFonts w:cs="Times New Roman"/>
        </w:rPr>
        <w:t xml:space="preserve"> (pieņemts zināšanai MK 2020.</w:t>
      </w:r>
      <w:r>
        <w:rPr>
          <w:rFonts w:cs="Times New Roman"/>
        </w:rPr>
        <w:t xml:space="preserve"> </w:t>
      </w:r>
      <w:r w:rsidR="00F63ABC" w:rsidRPr="00F63ABC">
        <w:rPr>
          <w:rFonts w:cs="Times New Roman"/>
        </w:rPr>
        <w:t>gada 4.</w:t>
      </w:r>
      <w:r>
        <w:rPr>
          <w:rFonts w:cs="Times New Roman"/>
        </w:rPr>
        <w:t xml:space="preserve"> </w:t>
      </w:r>
      <w:r w:rsidR="00F63ABC" w:rsidRPr="00F63ABC">
        <w:rPr>
          <w:rFonts w:cs="Times New Roman"/>
        </w:rPr>
        <w:t>februāra sēdes prot. Nr.5 34.§).  2020.</w:t>
      </w:r>
      <w:r>
        <w:rPr>
          <w:rFonts w:cs="Times New Roman"/>
        </w:rPr>
        <w:t xml:space="preserve"> </w:t>
      </w:r>
      <w:r w:rsidR="00F63ABC" w:rsidRPr="00F63ABC">
        <w:rPr>
          <w:rFonts w:cs="Times New Roman"/>
        </w:rPr>
        <w:t>gada 2.</w:t>
      </w:r>
      <w:r>
        <w:rPr>
          <w:rFonts w:cs="Times New Roman"/>
        </w:rPr>
        <w:t xml:space="preserve"> </w:t>
      </w:r>
      <w:r w:rsidR="00F63ABC" w:rsidRPr="00F63ABC">
        <w:rPr>
          <w:rFonts w:cs="Times New Roman"/>
        </w:rPr>
        <w:t xml:space="preserve">jūnijā MK izskatīts Informatīvais ziņojums (starpziņojums) </w:t>
      </w:r>
      <w:r>
        <w:rPr>
          <w:rFonts w:cs="Times New Roman"/>
        </w:rPr>
        <w:t>“</w:t>
      </w:r>
      <w:r w:rsidR="00F63ABC" w:rsidRPr="00F63ABC">
        <w:rPr>
          <w:rFonts w:cs="Times New Roman"/>
        </w:rPr>
        <w:t>Izvērtējums par stacionāro ārstniecības iestāžu atbilstību definētajiem līmeņiem</w:t>
      </w:r>
      <w:r>
        <w:rPr>
          <w:rFonts w:cs="Times New Roman"/>
        </w:rPr>
        <w:t>”</w:t>
      </w:r>
      <w:r w:rsidR="00F63ABC" w:rsidRPr="00F63ABC">
        <w:rPr>
          <w:rFonts w:cs="Times New Roman"/>
        </w:rPr>
        <w:t>, kurā informēts par ārstniecības iestāžu līmeņošanas progresu, konstatējumiem pārbaudēs, darba grupas izveidi un plānotajiem izvērtējumiem un turpmāko rīcību</w:t>
      </w:r>
      <w:r>
        <w:rPr>
          <w:rFonts w:cs="Times New Roman"/>
        </w:rPr>
        <w:t xml:space="preserve"> </w:t>
      </w:r>
      <w:r w:rsidRPr="003C510F">
        <w:rPr>
          <w:rFonts w:cs="Times New Roman"/>
        </w:rPr>
        <w:t>(prot. Nr.38, 33. §)</w:t>
      </w:r>
      <w:r w:rsidR="00F63ABC" w:rsidRPr="00F63ABC">
        <w:rPr>
          <w:rFonts w:cs="Times New Roman"/>
        </w:rPr>
        <w:t xml:space="preserve">. </w:t>
      </w:r>
      <w:r>
        <w:rPr>
          <w:rFonts w:cs="Times New Roman"/>
        </w:rPr>
        <w:t>VM</w:t>
      </w:r>
      <w:r w:rsidRPr="003C510F">
        <w:rPr>
          <w:rFonts w:cs="Times New Roman"/>
        </w:rPr>
        <w:t xml:space="preserve"> līdz 2020.</w:t>
      </w:r>
      <w:r>
        <w:rPr>
          <w:rFonts w:cs="Times New Roman"/>
        </w:rPr>
        <w:t xml:space="preserve"> </w:t>
      </w:r>
      <w:r w:rsidRPr="003C510F">
        <w:rPr>
          <w:rFonts w:cs="Times New Roman"/>
        </w:rPr>
        <w:t>gada 1.</w:t>
      </w:r>
      <w:r>
        <w:rPr>
          <w:rFonts w:cs="Times New Roman"/>
        </w:rPr>
        <w:t xml:space="preserve"> </w:t>
      </w:r>
      <w:r w:rsidRPr="003C510F">
        <w:rPr>
          <w:rFonts w:cs="Times New Roman"/>
        </w:rPr>
        <w:t>novembrim iesnieg</w:t>
      </w:r>
      <w:r>
        <w:rPr>
          <w:rFonts w:cs="Times New Roman"/>
        </w:rPr>
        <w:t>s</w:t>
      </w:r>
      <w:r w:rsidRPr="003C510F">
        <w:rPr>
          <w:rFonts w:cs="Times New Roman"/>
        </w:rPr>
        <w:t xml:space="preserve"> </w:t>
      </w:r>
      <w:r>
        <w:rPr>
          <w:rFonts w:cs="Times New Roman"/>
        </w:rPr>
        <w:t>informāciju par projekta “</w:t>
      </w:r>
      <w:r w:rsidRPr="003C510F">
        <w:rPr>
          <w:rFonts w:cs="Times New Roman"/>
        </w:rPr>
        <w:t>Slimnīcu sadarbības teritorijas</w:t>
      </w:r>
      <w:r>
        <w:rPr>
          <w:rFonts w:cs="Times New Roman"/>
        </w:rPr>
        <w:t>”</w:t>
      </w:r>
      <w:r w:rsidRPr="003C510F">
        <w:rPr>
          <w:rFonts w:cs="Times New Roman"/>
        </w:rPr>
        <w:t xml:space="preserve"> rezultātiem, t</w:t>
      </w:r>
      <w:r>
        <w:rPr>
          <w:rFonts w:cs="Times New Roman"/>
        </w:rPr>
        <w:t>.</w:t>
      </w:r>
      <w:r w:rsidRPr="003C510F">
        <w:rPr>
          <w:rFonts w:cs="Times New Roman"/>
        </w:rPr>
        <w:t xml:space="preserve"> sk</w:t>
      </w:r>
      <w:r>
        <w:rPr>
          <w:rFonts w:cs="Times New Roman"/>
        </w:rPr>
        <w:t>.</w:t>
      </w:r>
      <w:r w:rsidRPr="003C510F">
        <w:rPr>
          <w:rFonts w:cs="Times New Roman"/>
        </w:rPr>
        <w:t xml:space="preserve"> par identificētajām problēmām, izstrādātajiem ieteikumiem (par cik samazināti speciālisti, cik bijušas pārbaudes, vai slimnīcām ir izmaiņas līmeņos).</w:t>
      </w:r>
      <w:r w:rsidR="00F63ABC" w:rsidRPr="00F63ABC" w:rsidDel="00B36ACD">
        <w:rPr>
          <w:rFonts w:cs="Times New Roman"/>
        </w:rPr>
        <w:t xml:space="preserve"> </w:t>
      </w:r>
    </w:p>
    <w:p w14:paraId="016C7F91"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34.punkts Veselības ministrijai</w:t>
      </w:r>
      <w:r w:rsidRPr="00F63ABC">
        <w:rPr>
          <w:rFonts w:cs="Times New Roman"/>
        </w:rPr>
        <w:t xml:space="preserve"> </w:t>
      </w:r>
      <w:r w:rsidRPr="00F63ABC">
        <w:rPr>
          <w:rFonts w:cs="Times New Roman"/>
          <w:i/>
        </w:rPr>
        <w:t>izstrādāt sistemātisku daudzgadu valsts investīciju programmu ar nepieciešamajiem kapitālajiem ieguldījumiem ārstniecības iestādēs. Pēc minēto darbību veikšanas Veselības ministrijai iesniegt attiecīgu informāciju Finanšu ministrijā izdevumu pārskatīšanas procesā saskaņā ar likumprojekta "Par vidēja termiņa budžeta ietvaru 2021., 2022. un 2023.gadam" un likumprojekta "Par valsts budžetu 2021.gadam" sagatavošanas grafikā noteiktajiem termiņiem.</w:t>
      </w:r>
      <w:r w:rsidRPr="00F63ABC">
        <w:rPr>
          <w:rFonts w:cs="Times New Roman"/>
        </w:rPr>
        <w:t>”</w:t>
      </w:r>
    </w:p>
    <w:p w14:paraId="3A667FB2" w14:textId="63C20B78" w:rsidR="00F63ABC" w:rsidRPr="00F63ABC" w:rsidRDefault="00AE58B2" w:rsidP="000965D4">
      <w:pPr>
        <w:spacing w:after="120"/>
        <w:ind w:firstLine="720"/>
        <w:jc w:val="both"/>
        <w:rPr>
          <w:rFonts w:cs="Times New Roman"/>
        </w:rPr>
      </w:pPr>
      <w:r>
        <w:rPr>
          <w:rFonts w:cs="Times New Roman"/>
        </w:rPr>
        <w:t>VM ir i</w:t>
      </w:r>
      <w:r w:rsidR="00F63ABC" w:rsidRPr="00F63ABC">
        <w:rPr>
          <w:rFonts w:cs="Times New Roman"/>
        </w:rPr>
        <w:t>zveidota darba grupa “Par efektīvu un drošu medicīnisko tehnoloģiju racionālas pieejamības nodrošināšanu”. Pēc ārkārtas situācijas noslēgšanās informāciju nepieciešams pārvērtēt, ietverot veiktās investīcijas Covid-19 ierobežošanas laikā un izvērtējot nepieciešamās investīcijas līdzīgu ārkārtas situāciju gadījumos.</w:t>
      </w:r>
      <w:r>
        <w:rPr>
          <w:rFonts w:cs="Times New Roman"/>
        </w:rPr>
        <w:t xml:space="preserve"> VM</w:t>
      </w:r>
      <w:r w:rsidRPr="00AE58B2">
        <w:rPr>
          <w:rFonts w:cs="Times New Roman"/>
        </w:rPr>
        <w:t xml:space="preserve"> līdz 2021.</w:t>
      </w:r>
      <w:r>
        <w:rPr>
          <w:rFonts w:cs="Times New Roman"/>
        </w:rPr>
        <w:t xml:space="preserve"> </w:t>
      </w:r>
      <w:r w:rsidRPr="00AE58B2">
        <w:rPr>
          <w:rFonts w:cs="Times New Roman"/>
        </w:rPr>
        <w:t>gada 1.</w:t>
      </w:r>
      <w:r>
        <w:rPr>
          <w:rFonts w:cs="Times New Roman"/>
        </w:rPr>
        <w:t xml:space="preserve"> </w:t>
      </w:r>
      <w:r w:rsidRPr="00AE58B2">
        <w:rPr>
          <w:rFonts w:cs="Times New Roman"/>
        </w:rPr>
        <w:t>jūlijam izstrādā</w:t>
      </w:r>
      <w:r>
        <w:rPr>
          <w:rFonts w:cs="Times New Roman"/>
        </w:rPr>
        <w:t>s</w:t>
      </w:r>
      <w:r w:rsidRPr="00AE58B2">
        <w:rPr>
          <w:rFonts w:cs="Times New Roman"/>
        </w:rPr>
        <w:t xml:space="preserve"> sistemātisku daudzgadu valsts investīciju programmu ar nepieciešamajiem kapitālajiem ieguldījumiem ārstniecības iestādēs. </w:t>
      </w:r>
    </w:p>
    <w:p w14:paraId="093D94FA" w14:textId="3A11CDA4" w:rsidR="00F63ABC" w:rsidRPr="00F63ABC" w:rsidRDefault="00F63ABC" w:rsidP="000965D4">
      <w:pPr>
        <w:spacing w:after="120"/>
        <w:jc w:val="both"/>
        <w:rPr>
          <w:rFonts w:cs="Times New Roman"/>
        </w:rPr>
      </w:pPr>
      <w:r w:rsidRPr="00F63ABC">
        <w:rPr>
          <w:rFonts w:cs="Times New Roman"/>
        </w:rPr>
        <w:t>“</w:t>
      </w:r>
      <w:r w:rsidRPr="00F63ABC">
        <w:rPr>
          <w:rFonts w:cs="Times New Roman"/>
          <w:b/>
        </w:rPr>
        <w:t>35.punkts Veselības ministrijai</w:t>
      </w:r>
      <w:r w:rsidRPr="00F63ABC">
        <w:rPr>
          <w:rFonts w:cs="Times New Roman"/>
        </w:rPr>
        <w:t xml:space="preserve"> </w:t>
      </w:r>
      <w:r w:rsidRPr="00F63ABC">
        <w:rPr>
          <w:rFonts w:cs="Times New Roman"/>
          <w:i/>
        </w:rPr>
        <w:t xml:space="preserve">izstrādāt investīciju programmu ar nepieciešamajiem kapitālajiem ieguldījumiem V līmeņa ārstniecības iestādēs 2020.gadā un likumprojektu </w:t>
      </w:r>
      <w:r w:rsidR="005C559D">
        <w:rPr>
          <w:rFonts w:cs="Times New Roman"/>
          <w:i/>
        </w:rPr>
        <w:t>“</w:t>
      </w:r>
      <w:r w:rsidRPr="00F63ABC">
        <w:rPr>
          <w:rFonts w:cs="Times New Roman"/>
          <w:i/>
        </w:rPr>
        <w:t>Par valsts budžetu 2020. gadam</w:t>
      </w:r>
      <w:r w:rsidR="005C559D">
        <w:rPr>
          <w:rFonts w:cs="Times New Roman"/>
          <w:i/>
        </w:rPr>
        <w:t>”</w:t>
      </w:r>
      <w:r w:rsidRPr="00F63ABC">
        <w:rPr>
          <w:rFonts w:cs="Times New Roman"/>
          <w:i/>
        </w:rPr>
        <w:t xml:space="preserve"> un </w:t>
      </w:r>
      <w:r w:rsidR="005C559D">
        <w:rPr>
          <w:rFonts w:cs="Times New Roman"/>
          <w:i/>
        </w:rPr>
        <w:t>“</w:t>
      </w:r>
      <w:r w:rsidRPr="00F63ABC">
        <w:rPr>
          <w:rFonts w:cs="Times New Roman"/>
          <w:i/>
        </w:rPr>
        <w:t>Par vidēja termiņa budžeta ietvaru 2020., 2021. un 2022.gadam</w:t>
      </w:r>
      <w:r w:rsidR="005C559D">
        <w:rPr>
          <w:rFonts w:cs="Times New Roman"/>
          <w:i/>
        </w:rPr>
        <w:t>”</w:t>
      </w:r>
      <w:r w:rsidRPr="00F63ABC">
        <w:rPr>
          <w:rFonts w:cs="Times New Roman"/>
          <w:i/>
        </w:rPr>
        <w:t xml:space="preserve"> sagatavošanas laikā iesniegt attiecīgu informāciju Finanšu ministrijā. Finanšu ministrijai iekļaut Veselības ministrijas maksimāli pieļaujamo valsts budžeta izdevumu kopējā apjomā (ieņēmumu daļā un attiecīgi finansēšanā "Akcijas un cita līdzdalība pašu kapitālā") finansējumu, lai palielinātu pamatkapitālu ar finanšu ieguldījumu investīciju programmas īstenošanai V līmeņa ārstniecības iestādēs 2020.gadā, ja tiek nodrošināts fiskāli neitrāls risinājums, V līmeņa ārstniecības iestādēs palielinot papildus veselības aprūpes pakalpojumu apjomu un ieņēmumus.</w:t>
      </w:r>
      <w:r w:rsidRPr="00F63ABC">
        <w:rPr>
          <w:rFonts w:cs="Times New Roman"/>
        </w:rPr>
        <w:t>”</w:t>
      </w:r>
    </w:p>
    <w:p w14:paraId="1A88FA70" w14:textId="331FC099" w:rsidR="00450DBB" w:rsidRDefault="005C559D" w:rsidP="00450DBB">
      <w:pPr>
        <w:spacing w:after="120"/>
        <w:ind w:firstLine="720"/>
        <w:jc w:val="both"/>
        <w:rPr>
          <w:rFonts w:cs="Times New Roman"/>
        </w:rPr>
      </w:pPr>
      <w:r>
        <w:rPr>
          <w:rFonts w:cs="Times New Roman"/>
        </w:rPr>
        <w:t>VM ir i</w:t>
      </w:r>
      <w:r w:rsidR="00450DBB" w:rsidRPr="00450DBB">
        <w:rPr>
          <w:rFonts w:cs="Times New Roman"/>
        </w:rPr>
        <w:t xml:space="preserve">zveidota darba grupa “Par efektīvu un drošu medicīnisko tehnoloģiju racionālas pieejamības nodrošināšanu”. </w:t>
      </w:r>
      <w:r w:rsidR="00E63584">
        <w:rPr>
          <w:rFonts w:cs="Times New Roman"/>
        </w:rPr>
        <w:t>Vienlaikus n</w:t>
      </w:r>
      <w:r w:rsidR="00450DBB" w:rsidRPr="00450DBB">
        <w:rPr>
          <w:rFonts w:cs="Times New Roman"/>
        </w:rPr>
        <w:t>epieciešams aktualizēt 2020.-2022.</w:t>
      </w:r>
      <w:r w:rsidR="00E63584">
        <w:rPr>
          <w:rFonts w:cs="Times New Roman"/>
        </w:rPr>
        <w:t xml:space="preserve"> </w:t>
      </w:r>
      <w:r w:rsidR="00450DBB" w:rsidRPr="00450DBB">
        <w:rPr>
          <w:rFonts w:cs="Times New Roman"/>
        </w:rPr>
        <w:t xml:space="preserve">gada valsts </w:t>
      </w:r>
      <w:r w:rsidR="00450DBB" w:rsidRPr="00450DBB">
        <w:rPr>
          <w:rFonts w:cs="Times New Roman"/>
        </w:rPr>
        <w:lastRenderedPageBreak/>
        <w:t>kapitālsabiedrību vidēja termiņa stratēģijas un investīciju plānus, kas pašreiz ir zaudējuši aktualitāti un nav ietverta Covid-19 ietekme, kuru arī 2020.</w:t>
      </w:r>
      <w:r w:rsidR="00E63584">
        <w:rPr>
          <w:rFonts w:cs="Times New Roman"/>
        </w:rPr>
        <w:t xml:space="preserve"> </w:t>
      </w:r>
      <w:r w:rsidR="00450DBB" w:rsidRPr="00450DBB">
        <w:rPr>
          <w:rFonts w:cs="Times New Roman"/>
        </w:rPr>
        <w:t>gada augustā nav iespējams izvērtēt pilnā apjomā. 2020.</w:t>
      </w:r>
      <w:r w:rsidR="00E63584">
        <w:rPr>
          <w:rFonts w:cs="Times New Roman"/>
        </w:rPr>
        <w:t xml:space="preserve"> </w:t>
      </w:r>
      <w:r w:rsidR="00450DBB" w:rsidRPr="00450DBB">
        <w:rPr>
          <w:rFonts w:cs="Times New Roman"/>
        </w:rPr>
        <w:t xml:space="preserve">gadā Covid-19 epidēmijas laikā tika sniegts valsts atbalsts (gan ieguldījumi pamatkapitālā, gan investīcijas) lielākajām valsts slimnīcām Covid-19 seku mazināšanai, kas sedza sar vidējā termiņa stratēģijā Investīciju plānā daļu no paredzētajiem izdevumiem. Pašreizējā ārkārtas situācija informāciju nepieciešams pārvērtēt, ietverot veiktās investīcijas Covid-19 ierobežošanas laikā un izvērtējot nepieciešamās investīcijas līdzīgu ārkārtas situāciju gadījumos. </w:t>
      </w:r>
    </w:p>
    <w:p w14:paraId="13FC5655" w14:textId="3F0C757D" w:rsidR="00F63ABC" w:rsidRPr="00F63ABC" w:rsidRDefault="00F63ABC" w:rsidP="000965D4">
      <w:pPr>
        <w:spacing w:after="120"/>
        <w:jc w:val="both"/>
        <w:rPr>
          <w:rFonts w:cs="Times New Roman"/>
        </w:rPr>
      </w:pPr>
      <w:r w:rsidRPr="00F63ABC">
        <w:rPr>
          <w:rFonts w:cs="Times New Roman"/>
        </w:rPr>
        <w:t>“</w:t>
      </w:r>
      <w:r w:rsidRPr="00F63ABC">
        <w:rPr>
          <w:rFonts w:cs="Times New Roman"/>
          <w:b/>
        </w:rPr>
        <w:t>46.punkts Izglītības un zinātnes ministrijai sadarbībā ar Tieslietu ministriju</w:t>
      </w:r>
      <w:r w:rsidRPr="00F63ABC">
        <w:rPr>
          <w:rFonts w:cs="Times New Roman"/>
        </w:rPr>
        <w:t xml:space="preserve"> </w:t>
      </w:r>
      <w:r w:rsidRPr="00F63ABC">
        <w:rPr>
          <w:rFonts w:cs="Times New Roman"/>
          <w:i/>
        </w:rPr>
        <w:t xml:space="preserve">izvērtēt sociālās korekcijas iestādes </w:t>
      </w:r>
      <w:r w:rsidR="00E63584">
        <w:rPr>
          <w:rFonts w:cs="Times New Roman"/>
          <w:i/>
        </w:rPr>
        <w:t>“</w:t>
      </w:r>
      <w:r w:rsidRPr="00F63ABC">
        <w:rPr>
          <w:rFonts w:cs="Times New Roman"/>
          <w:i/>
        </w:rPr>
        <w:t>Naukšēni</w:t>
      </w:r>
      <w:r w:rsidR="00E63584">
        <w:rPr>
          <w:rFonts w:cs="Times New Roman"/>
          <w:i/>
        </w:rPr>
        <w:t>”</w:t>
      </w:r>
      <w:r w:rsidRPr="00F63ABC">
        <w:rPr>
          <w:rFonts w:cs="Times New Roman"/>
          <w:i/>
        </w:rPr>
        <w:t xml:space="preserve"> darbības efektivitāti un sagatavot attiecīgus priekšlikumus. Pēc minēto darbību veikšanas Izglītības un zinātnes ministrijai iesniegt attiecīgu informāciju Finanšu ministrijā izdevumu pārskatīšanas procesā saskaņā ar likumprojekta </w:t>
      </w:r>
      <w:r w:rsidR="00E63584">
        <w:rPr>
          <w:rFonts w:cs="Times New Roman"/>
          <w:i/>
        </w:rPr>
        <w:t>“</w:t>
      </w:r>
      <w:r w:rsidRPr="00F63ABC">
        <w:rPr>
          <w:rFonts w:cs="Times New Roman"/>
          <w:i/>
        </w:rPr>
        <w:t>Par vidēja termiņa budžeta ietvaru 2021., 2022. un 2023.gadam</w:t>
      </w:r>
      <w:r w:rsidR="00E63584">
        <w:rPr>
          <w:rFonts w:cs="Times New Roman"/>
          <w:i/>
        </w:rPr>
        <w:t>”</w:t>
      </w:r>
      <w:r w:rsidRPr="00F63ABC">
        <w:rPr>
          <w:rFonts w:cs="Times New Roman"/>
          <w:i/>
        </w:rPr>
        <w:t xml:space="preserve"> un likumprojekta </w:t>
      </w:r>
      <w:r w:rsidR="00E63584">
        <w:rPr>
          <w:rFonts w:cs="Times New Roman"/>
          <w:i/>
        </w:rPr>
        <w:t>“</w:t>
      </w:r>
      <w:r w:rsidRPr="00F63ABC">
        <w:rPr>
          <w:rFonts w:cs="Times New Roman"/>
          <w:i/>
        </w:rPr>
        <w:t>Par valsts budžetu 2021.gadam</w:t>
      </w:r>
      <w:r w:rsidR="00E63584">
        <w:rPr>
          <w:rFonts w:cs="Times New Roman"/>
          <w:i/>
        </w:rPr>
        <w:t>”</w:t>
      </w:r>
      <w:r w:rsidRPr="00F63ABC">
        <w:rPr>
          <w:rFonts w:cs="Times New Roman"/>
          <w:i/>
        </w:rPr>
        <w:t xml:space="preserve"> sagatavošanas grafikā noteiktajiem termiņiem.</w:t>
      </w:r>
      <w:r w:rsidRPr="00F63ABC">
        <w:rPr>
          <w:rFonts w:cs="Times New Roman"/>
        </w:rPr>
        <w:t>”</w:t>
      </w:r>
    </w:p>
    <w:p w14:paraId="5288C4D5" w14:textId="5D4907C2" w:rsidR="00F63ABC" w:rsidRPr="00F63ABC" w:rsidRDefault="00F63ABC" w:rsidP="000965D4">
      <w:pPr>
        <w:spacing w:after="120"/>
        <w:ind w:firstLine="720"/>
        <w:jc w:val="both"/>
        <w:rPr>
          <w:rFonts w:cs="Times New Roman"/>
        </w:rPr>
      </w:pPr>
      <w:r w:rsidRPr="00F63ABC">
        <w:rPr>
          <w:rFonts w:cs="Times New Roman"/>
        </w:rPr>
        <w:t xml:space="preserve">Uzsākts darbs ar iesaistītajām pusēm (TM, IeM, Valsts bērnu aizsardzības inspekcija, LPS) par sociālās korekcijas izglītības sistēmas attīstību un sociālās korekcijas izglītības iestādes “Naukšēni” darbību. </w:t>
      </w:r>
      <w:r w:rsidR="00E63584">
        <w:rPr>
          <w:rFonts w:cs="Times New Roman"/>
        </w:rPr>
        <w:t>Analizējot</w:t>
      </w:r>
      <w:r w:rsidR="00E63584" w:rsidRPr="00F63ABC">
        <w:rPr>
          <w:rFonts w:cs="Times New Roman"/>
        </w:rPr>
        <w:t xml:space="preserve"> </w:t>
      </w:r>
      <w:r w:rsidRPr="00F63ABC">
        <w:rPr>
          <w:rFonts w:cs="Times New Roman"/>
        </w:rPr>
        <w:t>sociālās korekcijas izglītības iestādes “Naukšēni” pēdējo gadu statistiku, ievietoto bērnu skaits skaitliski ir mazs</w:t>
      </w:r>
      <w:r w:rsidR="00F302CC">
        <w:rPr>
          <w:rFonts w:cs="Times New Roman"/>
        </w:rPr>
        <w:t xml:space="preserve"> (bet ar tendenci pieaugt -</w:t>
      </w:r>
      <w:r w:rsidR="00F302CC" w:rsidRPr="00FF0399">
        <w:t xml:space="preserve"> </w:t>
      </w:r>
      <w:r w:rsidR="00F302CC">
        <w:t xml:space="preserve">2018.gadā 19 audzēkņi, </w:t>
      </w:r>
      <w:r w:rsidR="00F302CC" w:rsidRPr="00FF0399">
        <w:rPr>
          <w:rFonts w:cs="Times New Roman"/>
        </w:rPr>
        <w:t>2020.gada 11.augustā iestādē ir 33 audzēkņi</w:t>
      </w:r>
      <w:r w:rsidR="00F302CC">
        <w:rPr>
          <w:rFonts w:cs="Times New Roman"/>
        </w:rPr>
        <w:t>)</w:t>
      </w:r>
      <w:r w:rsidRPr="00F63ABC">
        <w:rPr>
          <w:rFonts w:cs="Times New Roman"/>
        </w:rPr>
        <w:t xml:space="preserve">, tādējādi, domājot par </w:t>
      </w:r>
      <w:r w:rsidR="00E63584">
        <w:rPr>
          <w:rFonts w:cs="Times New Roman"/>
        </w:rPr>
        <w:t xml:space="preserve">izglītības </w:t>
      </w:r>
      <w:r w:rsidRPr="00F63ABC">
        <w:rPr>
          <w:rFonts w:cs="Times New Roman"/>
        </w:rPr>
        <w:t>nozares politikas īstenošanu, tiek aktualizēts jautājums par sociālās korekcijas izglītības jomas attīstību kopumā, audzinoša rakstura piespiedu līdzekļu piemērošanu, kā arī sociālās korekcijas izglītības iestādes “Naukšēni” īstenotā pakalpojuma nepieciešamību. 2020.</w:t>
      </w:r>
      <w:r w:rsidR="00E63584">
        <w:rPr>
          <w:rFonts w:cs="Times New Roman"/>
        </w:rPr>
        <w:t xml:space="preserve"> </w:t>
      </w:r>
      <w:r w:rsidRPr="00F63ABC">
        <w:rPr>
          <w:rFonts w:cs="Times New Roman"/>
        </w:rPr>
        <w:t xml:space="preserve">gadā </w:t>
      </w:r>
      <w:r w:rsidR="00E63584">
        <w:rPr>
          <w:rFonts w:cs="Times New Roman"/>
        </w:rPr>
        <w:t xml:space="preserve">ir </w:t>
      </w:r>
      <w:r w:rsidRPr="00F63ABC">
        <w:rPr>
          <w:rFonts w:cs="Times New Roman"/>
        </w:rPr>
        <w:t xml:space="preserve">notikušas tikšanās ar sociālās korekcijas izglītības </w:t>
      </w:r>
      <w:r w:rsidR="00E63584" w:rsidRPr="00F63ABC">
        <w:rPr>
          <w:rFonts w:cs="Times New Roman"/>
        </w:rPr>
        <w:t>iestād</w:t>
      </w:r>
      <w:r w:rsidR="00E63584">
        <w:rPr>
          <w:rFonts w:cs="Times New Roman"/>
        </w:rPr>
        <w:t>es</w:t>
      </w:r>
      <w:r w:rsidR="00E63584" w:rsidRPr="00F63ABC">
        <w:rPr>
          <w:rFonts w:cs="Times New Roman"/>
        </w:rPr>
        <w:t xml:space="preserve"> </w:t>
      </w:r>
      <w:r w:rsidR="00E63584">
        <w:rPr>
          <w:rFonts w:cs="Times New Roman"/>
        </w:rPr>
        <w:t>“</w:t>
      </w:r>
      <w:r w:rsidRPr="00F63ABC">
        <w:rPr>
          <w:rFonts w:cs="Times New Roman"/>
        </w:rPr>
        <w:t>Naukšēni</w:t>
      </w:r>
      <w:r w:rsidR="00E63584">
        <w:rPr>
          <w:rFonts w:cs="Times New Roman"/>
        </w:rPr>
        <w:t>”</w:t>
      </w:r>
      <w:r w:rsidRPr="00F63ABC">
        <w:rPr>
          <w:rFonts w:cs="Times New Roman"/>
        </w:rPr>
        <w:t xml:space="preserve"> </w:t>
      </w:r>
      <w:r w:rsidR="00E63584" w:rsidRPr="00E63584">
        <w:rPr>
          <w:rFonts w:cs="Times New Roman"/>
        </w:rPr>
        <w:t xml:space="preserve">pārstāvjiem, kuru laikā tika izskatīti </w:t>
      </w:r>
      <w:r w:rsidR="00E63584" w:rsidRPr="00F63ABC">
        <w:rPr>
          <w:rFonts w:cs="Times New Roman"/>
        </w:rPr>
        <w:t>vairāk</w:t>
      </w:r>
      <w:r w:rsidR="00E63584">
        <w:rPr>
          <w:rFonts w:cs="Times New Roman"/>
        </w:rPr>
        <w:t>i</w:t>
      </w:r>
      <w:r w:rsidR="00E63584" w:rsidRPr="00F63ABC">
        <w:rPr>
          <w:rFonts w:cs="Times New Roman"/>
        </w:rPr>
        <w:t xml:space="preserve"> jautājum</w:t>
      </w:r>
      <w:r w:rsidR="00E63584">
        <w:rPr>
          <w:rFonts w:cs="Times New Roman"/>
        </w:rPr>
        <w:t>i</w:t>
      </w:r>
      <w:r w:rsidRPr="00F63ABC">
        <w:rPr>
          <w:rFonts w:cs="Times New Roman"/>
        </w:rPr>
        <w:t xml:space="preserve">, kas saistīti ar infrastruktūras un iestādes personāla optimizāciju, kā arī iestādes darbībai nepieciešamo finansējumu. Šobrīd tiek vērtēti iespējamie risinājumi sociālās korekcijas izglītības iestādes </w:t>
      </w:r>
      <w:r w:rsidR="00E63584">
        <w:rPr>
          <w:rFonts w:cs="Times New Roman"/>
        </w:rPr>
        <w:t>“</w:t>
      </w:r>
      <w:r w:rsidRPr="00F63ABC">
        <w:rPr>
          <w:rFonts w:cs="Times New Roman"/>
        </w:rPr>
        <w:t>Naukšēni</w:t>
      </w:r>
      <w:r w:rsidR="00E63584">
        <w:rPr>
          <w:rFonts w:cs="Times New Roman"/>
        </w:rPr>
        <w:t>”</w:t>
      </w:r>
      <w:r w:rsidRPr="00F63ABC">
        <w:rPr>
          <w:rFonts w:cs="Times New Roman"/>
        </w:rPr>
        <w:t xml:space="preserve"> turpmākai darbībai.</w:t>
      </w:r>
    </w:p>
    <w:p w14:paraId="63F403EE" w14:textId="77777777" w:rsidR="00F63ABC" w:rsidRPr="00450DBB" w:rsidRDefault="00F63ABC" w:rsidP="000965D4">
      <w:pPr>
        <w:spacing w:after="120"/>
        <w:jc w:val="both"/>
        <w:rPr>
          <w:rFonts w:cs="Times New Roman"/>
        </w:rPr>
      </w:pPr>
      <w:r w:rsidRPr="00450DBB">
        <w:rPr>
          <w:rFonts w:cs="Times New Roman"/>
        </w:rPr>
        <w:t>“</w:t>
      </w:r>
      <w:r w:rsidRPr="00450DBB">
        <w:rPr>
          <w:rFonts w:cs="Times New Roman"/>
          <w:b/>
        </w:rPr>
        <w:t>47.punkts Kultūras ministrijai</w:t>
      </w:r>
      <w:r w:rsidRPr="00450DBB">
        <w:rPr>
          <w:rFonts w:cs="Times New Roman"/>
        </w:rPr>
        <w:t xml:space="preserve"> </w:t>
      </w:r>
      <w:r w:rsidRPr="00450DBB">
        <w:rPr>
          <w:rFonts w:cs="Times New Roman"/>
          <w:i/>
        </w:rPr>
        <w:t>līdz 2020.gada 1.jūnijam sagatavot un kultūras ministram noteiktā kārtībā iesniegt izskatīšanai Ministru kabinetā konceptuālo ziņojumu par bibliotēku nozares politikas īstenošanas pilnveides pasākumiem, pārskatot bibliotēku pakalpojumu nodrošināšanā iesaistīto Kultūras ministrijas padotības iestāžu funkcijas un uzdevumus.</w:t>
      </w:r>
      <w:r w:rsidRPr="00450DBB">
        <w:rPr>
          <w:rFonts w:cs="Times New Roman"/>
        </w:rPr>
        <w:t>”</w:t>
      </w:r>
    </w:p>
    <w:p w14:paraId="7623DB0B" w14:textId="4E759B5F" w:rsidR="00E63584" w:rsidRPr="00E63584" w:rsidRDefault="00E63584" w:rsidP="00E63584">
      <w:pPr>
        <w:spacing w:after="120"/>
        <w:ind w:firstLine="720"/>
        <w:jc w:val="both"/>
        <w:rPr>
          <w:rFonts w:cs="Times New Roman"/>
        </w:rPr>
      </w:pPr>
      <w:r w:rsidRPr="00E63584">
        <w:rPr>
          <w:rFonts w:cs="Times New Roman"/>
        </w:rPr>
        <w:t xml:space="preserve">Attiecībā uz Latvijas Neredzīgo bibliotēkas funkcijām un uzdevumiem </w:t>
      </w:r>
      <w:r>
        <w:rPr>
          <w:rFonts w:cs="Times New Roman"/>
        </w:rPr>
        <w:t>KM</w:t>
      </w:r>
      <w:r w:rsidRPr="00E63584">
        <w:rPr>
          <w:rFonts w:cs="Times New Roman"/>
        </w:rPr>
        <w:t xml:space="preserve"> ir izstrādājusi konceptuālā ziņojuma projektu, kuru paredzēts iesniegt izskatīšanai </w:t>
      </w:r>
      <w:r>
        <w:rPr>
          <w:rFonts w:cs="Times New Roman"/>
        </w:rPr>
        <w:t>MK</w:t>
      </w:r>
      <w:r w:rsidRPr="00E63584">
        <w:rPr>
          <w:rFonts w:cs="Times New Roman"/>
        </w:rPr>
        <w:t xml:space="preserve"> 2020.</w:t>
      </w:r>
      <w:r>
        <w:rPr>
          <w:rFonts w:cs="Times New Roman"/>
        </w:rPr>
        <w:t xml:space="preserve"> </w:t>
      </w:r>
      <w:r w:rsidRPr="00E63584">
        <w:rPr>
          <w:rFonts w:cs="Times New Roman"/>
        </w:rPr>
        <w:t xml:space="preserve">gada augustā. Konceptuālajā ziņojumā paredzēts piedāvāt trīs iespējamos risinājumus Latvijas Neredzīgo bibliotēkas funkciju un uzdevumu turpmākajai īstenošanai – likvidēt Latvijas Neredzīgo bibliotēku, pievienojot to Latvijas Nacionālajai bibliotēkai; likvidēt Latvijas Neredzīgo bibliotēku, daļu tās funkciju un uzdevumu nododot Latvijas Nacionālajai bibliotēkai un daļu – pašvaldību publiskajām bibliotēkām; reorganizēt Latvijas Neredzīgo bibliotēku, pārskatot tās funkcijas un uzdevumus un daļu tās funkciju un uzdevumu nododot pašvaldību publiskajām bibliotēkām. </w:t>
      </w:r>
    </w:p>
    <w:p w14:paraId="2506ABFB" w14:textId="654D629E" w:rsidR="00E63584" w:rsidRPr="00F63ABC" w:rsidRDefault="00E63584" w:rsidP="00E63584">
      <w:pPr>
        <w:spacing w:after="120"/>
        <w:ind w:firstLine="720"/>
        <w:jc w:val="both"/>
        <w:rPr>
          <w:rFonts w:cs="Times New Roman"/>
        </w:rPr>
      </w:pPr>
      <w:r w:rsidRPr="00E63584">
        <w:rPr>
          <w:rFonts w:cs="Times New Roman"/>
        </w:rPr>
        <w:t>Attiecībā uz Kultūras informācijas sistēmu centra funkcijām un uzdevumiem, kas attiecas uz bibliotēku nozari, kultūras ministrs 2020.</w:t>
      </w:r>
      <w:r w:rsidR="00DB6B8E">
        <w:rPr>
          <w:rFonts w:cs="Times New Roman"/>
        </w:rPr>
        <w:t xml:space="preserve"> </w:t>
      </w:r>
      <w:r w:rsidRPr="00E63584">
        <w:rPr>
          <w:rFonts w:cs="Times New Roman"/>
        </w:rPr>
        <w:t>gada 17.</w:t>
      </w:r>
      <w:r w:rsidR="00DB6B8E">
        <w:rPr>
          <w:rFonts w:cs="Times New Roman"/>
        </w:rPr>
        <w:t xml:space="preserve"> </w:t>
      </w:r>
      <w:r w:rsidRPr="00E63584">
        <w:rPr>
          <w:rFonts w:cs="Times New Roman"/>
        </w:rPr>
        <w:t xml:space="preserve">jūlijā ir izdevis rīkojumu “Par informācijas un komunikācijas tehnoloģiju pārvaldību kultūras resorā”, ar kuru Kultūras informācijas sistēmu centrs noteikts par </w:t>
      </w:r>
      <w:r w:rsidR="00DB6B8E">
        <w:rPr>
          <w:rFonts w:cs="Times New Roman"/>
        </w:rPr>
        <w:t>KM</w:t>
      </w:r>
      <w:r w:rsidRPr="00E63584">
        <w:rPr>
          <w:rFonts w:cs="Times New Roman"/>
        </w:rPr>
        <w:t xml:space="preserve"> resor</w:t>
      </w:r>
      <w:r w:rsidR="00DB6B8E">
        <w:rPr>
          <w:rFonts w:cs="Times New Roman"/>
        </w:rPr>
        <w:t>a IKT organizāciju koncepcijas “</w:t>
      </w:r>
      <w:r w:rsidRPr="00E63584">
        <w:rPr>
          <w:rFonts w:cs="Times New Roman"/>
        </w:rPr>
        <w:t>Valsts informācijas un komunikācijas tehnoloģiju pārvaldības organizatoriskais modelis” izpratnē. Minētajā rīkojumā Kultūras informācijas centram uzdots līdz 2020.</w:t>
      </w:r>
      <w:r w:rsidR="00DB6B8E">
        <w:rPr>
          <w:rFonts w:cs="Times New Roman"/>
        </w:rPr>
        <w:t xml:space="preserve"> </w:t>
      </w:r>
      <w:r w:rsidRPr="00E63584">
        <w:rPr>
          <w:rFonts w:cs="Times New Roman"/>
        </w:rPr>
        <w:t>gada 30.</w:t>
      </w:r>
      <w:r w:rsidR="00DB6B8E">
        <w:rPr>
          <w:rFonts w:cs="Times New Roman"/>
        </w:rPr>
        <w:t xml:space="preserve"> </w:t>
      </w:r>
      <w:r w:rsidRPr="00E63584">
        <w:rPr>
          <w:rFonts w:cs="Times New Roman"/>
        </w:rPr>
        <w:t xml:space="preserve">augustam </w:t>
      </w:r>
      <w:r w:rsidRPr="00E63584">
        <w:rPr>
          <w:rFonts w:cs="Times New Roman"/>
        </w:rPr>
        <w:lastRenderedPageBreak/>
        <w:t xml:space="preserve">sagatavot un iesniegt </w:t>
      </w:r>
      <w:r w:rsidR="00DB6B8E">
        <w:rPr>
          <w:rFonts w:cs="Times New Roman"/>
        </w:rPr>
        <w:t>KM</w:t>
      </w:r>
      <w:r w:rsidRPr="00E63584">
        <w:rPr>
          <w:rFonts w:cs="Times New Roman"/>
        </w:rPr>
        <w:t xml:space="preserve"> priekšlikumus grozījumiem </w:t>
      </w:r>
      <w:r w:rsidR="00DB6B8E">
        <w:rPr>
          <w:rFonts w:cs="Times New Roman"/>
        </w:rPr>
        <w:t>MK</w:t>
      </w:r>
      <w:r w:rsidRPr="00E63584">
        <w:rPr>
          <w:rFonts w:cs="Times New Roman"/>
        </w:rPr>
        <w:t xml:space="preserve"> 2012.</w:t>
      </w:r>
      <w:r w:rsidR="00DB6B8E">
        <w:rPr>
          <w:rFonts w:cs="Times New Roman"/>
        </w:rPr>
        <w:t xml:space="preserve"> </w:t>
      </w:r>
      <w:r w:rsidRPr="00E63584">
        <w:rPr>
          <w:rFonts w:cs="Times New Roman"/>
        </w:rPr>
        <w:t>gada 18.</w:t>
      </w:r>
      <w:r w:rsidR="00DB6B8E">
        <w:rPr>
          <w:rFonts w:cs="Times New Roman"/>
        </w:rPr>
        <w:t xml:space="preserve"> decembra noteikumos Nr.928 “</w:t>
      </w:r>
      <w:r w:rsidRPr="00E63584">
        <w:rPr>
          <w:rFonts w:cs="Times New Roman"/>
        </w:rPr>
        <w:t>Kultūras informācijas sistēmu centra nolikums” atbilstoši res</w:t>
      </w:r>
      <w:r w:rsidR="00DB6B8E">
        <w:rPr>
          <w:rFonts w:cs="Times New Roman"/>
        </w:rPr>
        <w:t>ora IKT organizācijas uzdevumu i</w:t>
      </w:r>
      <w:r w:rsidRPr="00E63584">
        <w:rPr>
          <w:rFonts w:cs="Times New Roman"/>
        </w:rPr>
        <w:t>zpildei, kā arī līdz 2020.</w:t>
      </w:r>
      <w:r w:rsidR="00DB6B8E">
        <w:rPr>
          <w:rFonts w:cs="Times New Roman"/>
        </w:rPr>
        <w:t xml:space="preserve"> </w:t>
      </w:r>
      <w:r w:rsidRPr="00E63584">
        <w:rPr>
          <w:rFonts w:cs="Times New Roman"/>
        </w:rPr>
        <w:t>gada 30.</w:t>
      </w:r>
      <w:r w:rsidR="00DB6B8E">
        <w:rPr>
          <w:rFonts w:cs="Times New Roman"/>
        </w:rPr>
        <w:t xml:space="preserve"> </w:t>
      </w:r>
      <w:r w:rsidRPr="00E63584">
        <w:rPr>
          <w:rFonts w:cs="Times New Roman"/>
        </w:rPr>
        <w:t xml:space="preserve">augustam iesniegt </w:t>
      </w:r>
      <w:r w:rsidR="00DB6B8E">
        <w:rPr>
          <w:rFonts w:cs="Times New Roman"/>
        </w:rPr>
        <w:t>KM</w:t>
      </w:r>
      <w:r w:rsidRPr="00E63584">
        <w:rPr>
          <w:rFonts w:cs="Times New Roman"/>
        </w:rPr>
        <w:t xml:space="preserve"> priekšlikumus par centra īstenotajām funkcijām, uzdevumiem un aktivitātēm, kas nav tieši saistītas ar IKT resursu pārvaldību un IKT pakalpojumu sniegšanu un atbilst citu </w:t>
      </w:r>
      <w:r w:rsidR="00DB6B8E">
        <w:rPr>
          <w:rFonts w:cs="Times New Roman"/>
        </w:rPr>
        <w:t>KM</w:t>
      </w:r>
      <w:r w:rsidRPr="00E63584">
        <w:rPr>
          <w:rFonts w:cs="Times New Roman"/>
        </w:rPr>
        <w:t xml:space="preserve"> padotības iestāžu kompetencei, līdz ar to deleģējamas tām. Uz iesniegto priekšlikumu pamata līdz 2020.</w:t>
      </w:r>
      <w:r w:rsidR="00DB6B8E">
        <w:rPr>
          <w:rFonts w:cs="Times New Roman"/>
        </w:rPr>
        <w:t xml:space="preserve"> </w:t>
      </w:r>
      <w:r w:rsidRPr="00E63584">
        <w:rPr>
          <w:rFonts w:cs="Times New Roman"/>
        </w:rPr>
        <w:t>gada beigām plānots īstenot Kultūras informācijas sistēmu centra reorganizāciju, t</w:t>
      </w:r>
      <w:r w:rsidR="00DB6B8E">
        <w:rPr>
          <w:rFonts w:cs="Times New Roman"/>
        </w:rPr>
        <w:t>.</w:t>
      </w:r>
      <w:r w:rsidRPr="00E63584">
        <w:rPr>
          <w:rFonts w:cs="Times New Roman"/>
        </w:rPr>
        <w:t xml:space="preserve"> sk</w:t>
      </w:r>
      <w:r w:rsidR="00DB6B8E">
        <w:rPr>
          <w:rFonts w:cs="Times New Roman"/>
        </w:rPr>
        <w:t>.</w:t>
      </w:r>
      <w:r w:rsidRPr="00E63584">
        <w:rPr>
          <w:rFonts w:cs="Times New Roman"/>
        </w:rPr>
        <w:t xml:space="preserve"> pārdalot uz bibliotēku nozari attiecināmo funkciju un uzdevumu izpildi Latv</w:t>
      </w:r>
      <w:r w:rsidR="00231324">
        <w:rPr>
          <w:rFonts w:cs="Times New Roman"/>
        </w:rPr>
        <w:t>ijas Nacionālajai bibliotēkai.</w:t>
      </w:r>
    </w:p>
    <w:p w14:paraId="117EB836" w14:textId="77777777" w:rsidR="00593F5F" w:rsidRDefault="00F63ABC" w:rsidP="005D05A6">
      <w:pPr>
        <w:spacing w:before="120" w:after="0"/>
        <w:jc w:val="center"/>
        <w:rPr>
          <w:rFonts w:cs="Times New Roman"/>
          <w:b/>
        </w:rPr>
      </w:pPr>
      <w:r w:rsidRPr="00F63ABC">
        <w:rPr>
          <w:rFonts w:cs="Times New Roman"/>
          <w:b/>
        </w:rPr>
        <w:t xml:space="preserve">Izpildes statuss par MK 2019. gada 5. februāra </w:t>
      </w:r>
    </w:p>
    <w:p w14:paraId="456DA6B1" w14:textId="3842AD7E" w:rsidR="00F63ABC" w:rsidRPr="00F63ABC" w:rsidRDefault="00F63ABC" w:rsidP="005D05A6">
      <w:pPr>
        <w:spacing w:after="120"/>
        <w:jc w:val="center"/>
        <w:rPr>
          <w:rFonts w:cs="Times New Roman"/>
          <w:b/>
        </w:rPr>
      </w:pPr>
      <w:r w:rsidRPr="00F63ABC">
        <w:rPr>
          <w:rFonts w:cs="Times New Roman"/>
          <w:b/>
        </w:rPr>
        <w:t>sēdes protokola Nr. 5 33.§ uzdevumiem</w:t>
      </w:r>
    </w:p>
    <w:p w14:paraId="1AA09B30" w14:textId="77777777" w:rsidR="00F63ABC" w:rsidRPr="00F63ABC" w:rsidRDefault="00F63ABC" w:rsidP="000965D4">
      <w:pPr>
        <w:spacing w:after="120"/>
        <w:jc w:val="both"/>
        <w:rPr>
          <w:rFonts w:cs="Times New Roman"/>
          <w:b/>
          <w:u w:val="single"/>
        </w:rPr>
      </w:pPr>
      <w:r w:rsidRPr="00F63ABC">
        <w:rPr>
          <w:rFonts w:cs="Times New Roman"/>
          <w:b/>
          <w:u w:val="single"/>
        </w:rPr>
        <w:t>Izpildītie uzdevumi:</w:t>
      </w:r>
    </w:p>
    <w:p w14:paraId="6BEA906A" w14:textId="32F03C89" w:rsidR="00387C00" w:rsidRDefault="00F63ABC" w:rsidP="000965D4">
      <w:pPr>
        <w:spacing w:after="120"/>
        <w:jc w:val="both"/>
        <w:rPr>
          <w:rFonts w:cs="Times New Roman"/>
        </w:rPr>
      </w:pPr>
      <w:r w:rsidRPr="00F63ABC">
        <w:rPr>
          <w:rFonts w:cs="Times New Roman"/>
        </w:rPr>
        <w:t>“</w:t>
      </w:r>
      <w:r w:rsidRPr="00F63ABC">
        <w:rPr>
          <w:rFonts w:cs="Times New Roman"/>
          <w:b/>
        </w:rPr>
        <w:t>9.2.punkts Vides aizsardzības un reģionālās attīstības ministrijai (Valsts reģionālās attīstības aģentūrai) sadarbībā ar Aizsardzības ministriju, Iekšlietu ministriju un Tieslietu ministriju</w:t>
      </w:r>
      <w:r w:rsidRPr="00F63ABC">
        <w:rPr>
          <w:rFonts w:cs="Times New Roman"/>
        </w:rPr>
        <w:t xml:space="preserve"> </w:t>
      </w:r>
      <w:r w:rsidRPr="00F63ABC">
        <w:rPr>
          <w:rFonts w:cs="Times New Roman"/>
          <w:i/>
        </w:rPr>
        <w:t>līdz 2019.gada 1.augustam izstrādāt datoru standartu komplektācijas variantus un saskaņot tos IKT vadītāju forumā”</w:t>
      </w:r>
      <w:r w:rsidR="00387C00">
        <w:rPr>
          <w:rFonts w:cs="Times New Roman"/>
          <w:i/>
        </w:rPr>
        <w:t>.</w:t>
      </w:r>
    </w:p>
    <w:p w14:paraId="72C880B2" w14:textId="1FFC79A4" w:rsidR="00387C00" w:rsidRDefault="00F63ABC" w:rsidP="000965D4">
      <w:pPr>
        <w:spacing w:after="120"/>
        <w:jc w:val="both"/>
        <w:rPr>
          <w:rFonts w:cs="Times New Roman"/>
        </w:rPr>
      </w:pPr>
      <w:r w:rsidRPr="00F63ABC">
        <w:rPr>
          <w:rFonts w:cs="Times New Roman"/>
        </w:rPr>
        <w:t>“</w:t>
      </w:r>
      <w:r w:rsidRPr="00F63ABC">
        <w:rPr>
          <w:rFonts w:cs="Times New Roman"/>
          <w:b/>
        </w:rPr>
        <w:t>9.3.punkts Vides aizsardzības un reģionālās attīstības ministrijai</w:t>
      </w:r>
      <w:r w:rsidRPr="00F63ABC">
        <w:rPr>
          <w:rFonts w:cs="Times New Roman"/>
        </w:rPr>
        <w:t xml:space="preserve"> </w:t>
      </w:r>
      <w:r w:rsidRPr="00F63ABC">
        <w:rPr>
          <w:rFonts w:cs="Times New Roman"/>
          <w:i/>
        </w:rPr>
        <w:t>līdz 2019.gada 1.augustam sagatavot un iesniegt izskatīšanai Ministru kabinetā rīkojuma projektu, paredzot nosacījumu, ka katra ministrija vai tās noteikta institūcija resora ietvaros uzkrāj datoru pasūtījumus, līdz iepērkamo datoru skaits ir vismaz 250 vienības vienā standarta komplektācijā, un tikai tad veic iepirkumu, vienlaikus nosakot arī iegādes kārtību un stingrus izņēmuma gadījumus, kuros ir pieļaujamas atkāpes</w:t>
      </w:r>
      <w:r w:rsidRPr="00F63ABC">
        <w:rPr>
          <w:rFonts w:cs="Times New Roman"/>
        </w:rPr>
        <w:t>”</w:t>
      </w:r>
      <w:r w:rsidR="00387C00">
        <w:rPr>
          <w:rFonts w:cs="Times New Roman"/>
        </w:rPr>
        <w:t>.</w:t>
      </w:r>
      <w:r w:rsidRPr="00F63ABC">
        <w:rPr>
          <w:rFonts w:cs="Times New Roman"/>
        </w:rPr>
        <w:t xml:space="preserve"> </w:t>
      </w:r>
    </w:p>
    <w:p w14:paraId="1E6E2D79" w14:textId="4EC6FC4D" w:rsidR="00F63ABC" w:rsidRPr="00F63ABC" w:rsidRDefault="00F63ABC" w:rsidP="000965D4">
      <w:pPr>
        <w:spacing w:after="120"/>
        <w:jc w:val="both"/>
        <w:rPr>
          <w:rFonts w:cs="Times New Roman"/>
        </w:rPr>
      </w:pPr>
      <w:r w:rsidRPr="00F63ABC">
        <w:rPr>
          <w:rFonts w:cs="Times New Roman"/>
        </w:rPr>
        <w:t>“</w:t>
      </w:r>
      <w:r w:rsidRPr="00F63ABC">
        <w:rPr>
          <w:rFonts w:cs="Times New Roman"/>
          <w:b/>
        </w:rPr>
        <w:t>9.5.punkts Vides aizsardzības un reģionālās attīstības ministrijai sadarbībā ar Aizsardzības ministriju, Iekšlietu ministriju un Tieslietu ministriju</w:t>
      </w:r>
      <w:r w:rsidRPr="00F63ABC">
        <w:rPr>
          <w:rFonts w:cs="Times New Roman"/>
        </w:rPr>
        <w:t xml:space="preserve"> </w:t>
      </w:r>
      <w:r w:rsidRPr="00F63ABC">
        <w:rPr>
          <w:rFonts w:cs="Times New Roman"/>
          <w:i/>
        </w:rPr>
        <w:t xml:space="preserve">līdz 2019.gada 1.augustam sagatavot un iesniegt izskatīšanai Ministru kabinetā rīkojuma projektu par principa </w:t>
      </w:r>
      <w:r w:rsidR="00387C00">
        <w:rPr>
          <w:rFonts w:cs="Times New Roman"/>
          <w:i/>
        </w:rPr>
        <w:t>“</w:t>
      </w:r>
      <w:r w:rsidRPr="00F63ABC">
        <w:rPr>
          <w:rFonts w:cs="Times New Roman"/>
          <w:i/>
        </w:rPr>
        <w:t>viens dators vienam darbiniekam</w:t>
      </w:r>
      <w:r w:rsidR="00387C00">
        <w:rPr>
          <w:rFonts w:cs="Times New Roman"/>
          <w:i/>
        </w:rPr>
        <w:t>”</w:t>
      </w:r>
      <w:r w:rsidRPr="00F63ABC">
        <w:rPr>
          <w:rFonts w:cs="Times New Roman"/>
          <w:i/>
        </w:rPr>
        <w:t xml:space="preserve"> ieviešanu, kurā noteikt, ka datoru skaits nedrīkst pārsniegt 1,1 datoru uz vienu publiskajā pārvaldē nodarbināto, paredzot izņēmumu ar valsts ārējo un iekšējo drošību saistītos gadījumos.</w:t>
      </w:r>
      <w:r w:rsidRPr="00F63ABC">
        <w:rPr>
          <w:rFonts w:cs="Times New Roman"/>
        </w:rPr>
        <w:t>”</w:t>
      </w:r>
    </w:p>
    <w:p w14:paraId="03D334CE" w14:textId="2064E74E" w:rsidR="00F63ABC" w:rsidRPr="00F63ABC" w:rsidRDefault="00F63ABC" w:rsidP="000965D4">
      <w:pPr>
        <w:spacing w:after="120"/>
        <w:ind w:firstLine="720"/>
        <w:jc w:val="both"/>
        <w:rPr>
          <w:rFonts w:cs="Times New Roman"/>
        </w:rPr>
      </w:pPr>
      <w:r w:rsidRPr="00F63ABC">
        <w:rPr>
          <w:rFonts w:cs="Times New Roman"/>
        </w:rPr>
        <w:t>2020.</w:t>
      </w:r>
      <w:r w:rsidR="00387C00">
        <w:rPr>
          <w:rFonts w:cs="Times New Roman"/>
        </w:rPr>
        <w:t xml:space="preserve"> </w:t>
      </w:r>
      <w:r w:rsidRPr="00F63ABC">
        <w:rPr>
          <w:rFonts w:cs="Times New Roman"/>
        </w:rPr>
        <w:t>gada 7.</w:t>
      </w:r>
      <w:r w:rsidR="0007536B">
        <w:rPr>
          <w:rFonts w:cs="Times New Roman"/>
        </w:rPr>
        <w:t xml:space="preserve"> </w:t>
      </w:r>
      <w:r w:rsidRPr="00F63ABC">
        <w:rPr>
          <w:rFonts w:cs="Times New Roman"/>
        </w:rPr>
        <w:t xml:space="preserve">janvāra MK rīkojums Nr.1 </w:t>
      </w:r>
      <w:r w:rsidR="0007536B">
        <w:rPr>
          <w:rFonts w:cs="Times New Roman"/>
        </w:rPr>
        <w:t>“</w:t>
      </w:r>
      <w:r w:rsidRPr="00F63ABC">
        <w:rPr>
          <w:rFonts w:cs="Times New Roman"/>
        </w:rPr>
        <w:t>Datortehnikas iepirkumu organizēšana ministrijās un to padotības iestādēs</w:t>
      </w:r>
      <w:r w:rsidR="0007536B">
        <w:rPr>
          <w:rFonts w:cs="Times New Roman"/>
        </w:rPr>
        <w:t>”</w:t>
      </w:r>
      <w:r w:rsidRPr="00F63ABC">
        <w:rPr>
          <w:rFonts w:cs="Times New Roman"/>
        </w:rPr>
        <w:t xml:space="preserve"> paredz ministriju resoru ietvaros organizēt vienotus iepirkumus un vienā iepirkumā iepirkt ne mazāk kā 50 datorus (paredzot arī izņēmumus minētajai kārtībai). Šie nosacījumi ļauj standartizēt datorparkus, samazināt to apkalpošanas izmaksas, kā arī panākt izdevīgākus piegādātāju cenu nosacījumus, tādējādi ietaupot valsts budžeta līdzekļus. Rīkojums paredz arī vienas darbstacijas politikas ieviešanu, nosakot, ka datortehnikas skaits iestādē nevar pārsniegt 1,1 d</w:t>
      </w:r>
      <w:r w:rsidR="00231324">
        <w:rPr>
          <w:rFonts w:cs="Times New Roman"/>
        </w:rPr>
        <w:t>atoru uz vienu nodarbināto.</w:t>
      </w:r>
    </w:p>
    <w:p w14:paraId="589D7F01"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19.punkts Finanšu ministrijai</w:t>
      </w:r>
      <w:r w:rsidRPr="00F63ABC">
        <w:rPr>
          <w:rFonts w:cs="Times New Roman"/>
        </w:rPr>
        <w:t xml:space="preserve"> </w:t>
      </w:r>
      <w:r w:rsidRPr="00F63ABC">
        <w:rPr>
          <w:rFonts w:cs="Times New Roman"/>
          <w:i/>
        </w:rPr>
        <w:t>līdz 2019.gada 30.decembrim izstrādāt priekšlikumus grozījumiem normatīvajos aktos neizlietotās dotācijas no vispārējiem ieņēmumiem daļējai pārcelšanai uz nākamo saimniecisko gadu.</w:t>
      </w:r>
      <w:r w:rsidRPr="00F63ABC">
        <w:rPr>
          <w:rFonts w:cs="Times New Roman"/>
        </w:rPr>
        <w:t>”</w:t>
      </w:r>
    </w:p>
    <w:p w14:paraId="2D1E1DBC" w14:textId="77777777" w:rsidR="00F63ABC" w:rsidRPr="00F63ABC" w:rsidRDefault="00F63ABC" w:rsidP="000965D4">
      <w:pPr>
        <w:spacing w:after="120"/>
        <w:jc w:val="both"/>
        <w:rPr>
          <w:rFonts w:cs="Times New Roman"/>
        </w:rPr>
      </w:pPr>
      <w:r w:rsidRPr="00F63ABC">
        <w:rPr>
          <w:rFonts w:cs="Times New Roman"/>
        </w:rPr>
        <w:tab/>
        <w:t xml:space="preserve">FM izstrādāja priekšlikumus par iespējām neizlietoto dotāciju no vispārējiem ieņēmumiem izmantot nākamajā saimnieciskajā gadā, un iekļāva šos priekšlikumus informatīvajā ziņojumā “Par valsts budžeta izdevumu pārskatīšanas rezultātiem un priekšlikumi par šo rezultātu izmantošanu likumprojekta “Par vidēja termiņa budžeta ietvaru 2020., 2021. un 2022. gadam” un likumprojekta “Par valsts budžetu 2020. gadam” izstrādes procesā”. Šo priekšlikumu iestrādāšana normatīvajā regulējumā ir jāskata kontekstā ar nepieciešamību </w:t>
      </w:r>
      <w:r w:rsidRPr="00F63ABC">
        <w:rPr>
          <w:rFonts w:cs="Times New Roman"/>
        </w:rPr>
        <w:lastRenderedPageBreak/>
        <w:t>nākotnē turpināt ievērot fiskālās disciplīnas principus un nodrošināt vidēja termiņa budžeta izdevumu ilgtspēju, vienlaicīgi paredzot tādu elastības mehānismu, kas nodrošinātu efektīvāku budžeta līdzekļu atlikuma resursu izmantošanu.</w:t>
      </w:r>
    </w:p>
    <w:p w14:paraId="77677D00"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20.punkts Kultūras ministrijai</w:t>
      </w:r>
      <w:r w:rsidRPr="00F63ABC">
        <w:rPr>
          <w:rFonts w:cs="Times New Roman"/>
        </w:rPr>
        <w:t xml:space="preserve"> </w:t>
      </w:r>
      <w:r w:rsidRPr="00F63ABC">
        <w:rPr>
          <w:rFonts w:cs="Times New Roman"/>
          <w:i/>
        </w:rPr>
        <w:t>līdz 2019.gada 30.decembrim izvērtēt Kultūras ministrijas padotības iestādes "Rundāles pils muzejs" līdzšinējo darbību un sagatavot priekšlikumus muzeja juridiskā statusa pārveidei, lai nodrošinātu efektīvāku un ilgtspējīgāku muzeja darbību.</w:t>
      </w:r>
      <w:r w:rsidRPr="00F63ABC">
        <w:rPr>
          <w:rFonts w:cs="Times New Roman"/>
        </w:rPr>
        <w:t>”</w:t>
      </w:r>
    </w:p>
    <w:p w14:paraId="583362AF" w14:textId="78EEF010" w:rsidR="00F63ABC" w:rsidRPr="00F63ABC" w:rsidRDefault="00F63ABC" w:rsidP="000965D4">
      <w:pPr>
        <w:spacing w:after="120"/>
        <w:jc w:val="both"/>
        <w:rPr>
          <w:rFonts w:cs="Times New Roman"/>
        </w:rPr>
      </w:pPr>
      <w:r w:rsidRPr="00F63ABC">
        <w:rPr>
          <w:rFonts w:cs="Times New Roman"/>
        </w:rPr>
        <w:tab/>
        <w:t>Sagatavots un 2020.</w:t>
      </w:r>
      <w:r w:rsidR="0007536B">
        <w:rPr>
          <w:rFonts w:cs="Times New Roman"/>
        </w:rPr>
        <w:t xml:space="preserve"> </w:t>
      </w:r>
      <w:r w:rsidRPr="00F63ABC">
        <w:rPr>
          <w:rFonts w:cs="Times New Roman"/>
        </w:rPr>
        <w:t>gada 26.</w:t>
      </w:r>
      <w:r w:rsidR="0007536B">
        <w:rPr>
          <w:rFonts w:cs="Times New Roman"/>
        </w:rPr>
        <w:t xml:space="preserve"> </w:t>
      </w:r>
      <w:r w:rsidRPr="00F63ABC">
        <w:rPr>
          <w:rFonts w:cs="Times New Roman"/>
        </w:rPr>
        <w:t xml:space="preserve">februārī ePortfelī publicēts informatīvais ziņojums </w:t>
      </w:r>
      <w:r w:rsidR="0007536B">
        <w:rPr>
          <w:rFonts w:cs="Times New Roman"/>
        </w:rPr>
        <w:t>“</w:t>
      </w:r>
      <w:r w:rsidRPr="00F63ABC">
        <w:rPr>
          <w:rFonts w:cs="Times New Roman"/>
        </w:rPr>
        <w:t xml:space="preserve">Par Kultūras ministrijas padotības iestādes </w:t>
      </w:r>
      <w:r w:rsidR="0007536B">
        <w:rPr>
          <w:rFonts w:cs="Times New Roman"/>
        </w:rPr>
        <w:t>“</w:t>
      </w:r>
      <w:r w:rsidRPr="00F63ABC">
        <w:rPr>
          <w:rFonts w:cs="Times New Roman"/>
        </w:rPr>
        <w:t>Rundāles pils muzejs</w:t>
      </w:r>
      <w:r w:rsidR="0007536B">
        <w:rPr>
          <w:rFonts w:cs="Times New Roman"/>
        </w:rPr>
        <w:t>”</w:t>
      </w:r>
      <w:r w:rsidRPr="00F63ABC">
        <w:rPr>
          <w:rFonts w:cs="Times New Roman"/>
        </w:rPr>
        <w:t xml:space="preserve"> darbības efektivitāti un ilgtspēju</w:t>
      </w:r>
      <w:r w:rsidR="0007536B">
        <w:rPr>
          <w:rFonts w:cs="Times New Roman"/>
        </w:rPr>
        <w:t>”</w:t>
      </w:r>
      <w:r w:rsidRPr="00F63ABC">
        <w:rPr>
          <w:rFonts w:cs="Times New Roman"/>
        </w:rPr>
        <w:t>. Informatīvā ziņojuma kopsavilkumā minētās darbības ir veiktas un attiecīgie likumprojekti</w:t>
      </w:r>
      <w:r w:rsidR="003651A6">
        <w:rPr>
          <w:rFonts w:cs="Times New Roman"/>
        </w:rPr>
        <w:t>,</w:t>
      </w:r>
      <w:r w:rsidR="003651A6" w:rsidRPr="003651A6">
        <w:t xml:space="preserve"> </w:t>
      </w:r>
      <w:r w:rsidR="003651A6" w:rsidRPr="003651A6">
        <w:rPr>
          <w:rFonts w:cs="Times New Roman"/>
        </w:rPr>
        <w:t>pirmkārt likumprojekts “Grozījumi Muzeju likumā”, ir izskatīti Saeimas Izglītības, kultūras un zinātnes komisijā un atbalstīti izskatīšanai Saeimā pirmajā lasījumā. Grozījumi paredz valsts muzejiem jaunu iespējamo juridisko darbības formu “atvasināta publiska persona”</w:t>
      </w:r>
      <w:r w:rsidRPr="00F63ABC">
        <w:rPr>
          <w:rFonts w:cs="Times New Roman"/>
        </w:rPr>
        <w:t>.</w:t>
      </w:r>
    </w:p>
    <w:p w14:paraId="498D5568" w14:textId="33FFE9A1" w:rsidR="0007536B" w:rsidRDefault="00F63ABC" w:rsidP="000965D4">
      <w:pPr>
        <w:spacing w:after="120"/>
        <w:jc w:val="both"/>
        <w:rPr>
          <w:rFonts w:cs="Times New Roman"/>
        </w:rPr>
      </w:pPr>
      <w:r w:rsidRPr="00F63ABC">
        <w:rPr>
          <w:rFonts w:cs="Times New Roman"/>
        </w:rPr>
        <w:t>“</w:t>
      </w:r>
      <w:r w:rsidRPr="00F63ABC">
        <w:rPr>
          <w:rFonts w:cs="Times New Roman"/>
          <w:b/>
        </w:rPr>
        <w:t>31.punkts Finanšu ministrijai (valsts akciju sabiedrībai "Valsts nekustamie īpašumi")</w:t>
      </w:r>
      <w:r w:rsidRPr="00F63ABC">
        <w:rPr>
          <w:rFonts w:cs="Times New Roman"/>
        </w:rPr>
        <w:t xml:space="preserve"> </w:t>
      </w:r>
      <w:r w:rsidRPr="00F63ABC">
        <w:rPr>
          <w:rFonts w:cs="Times New Roman"/>
          <w:i/>
        </w:rPr>
        <w:t>līdz 2019.gada 1.jūlijam izstrādāt un iesniegt izskatīšanai Ministru kabinetā priekšlikumus par atsevišķu valsts iestāžu biroju telpu uzlabošanu, modernizēšanu un optimizāciju, izvērtējot esošo valsts vai valsts kapitālsabiedrību īpašumā esošo ēku pārbūves vai jaunbūves īstenošanu, atbilstoši informatīvajā ziņojumā ietvertajiem secinājumiem</w:t>
      </w:r>
      <w:r w:rsidRPr="00F63ABC">
        <w:rPr>
          <w:rFonts w:cs="Times New Roman"/>
        </w:rPr>
        <w:t>”</w:t>
      </w:r>
      <w:r w:rsidR="0007536B">
        <w:rPr>
          <w:rFonts w:cs="Times New Roman"/>
        </w:rPr>
        <w:t>.</w:t>
      </w:r>
    </w:p>
    <w:p w14:paraId="465DACD0" w14:textId="7BB29ECD" w:rsidR="00F63ABC" w:rsidRPr="00F63ABC" w:rsidRDefault="00F63ABC" w:rsidP="000965D4">
      <w:pPr>
        <w:spacing w:after="120"/>
        <w:jc w:val="both"/>
        <w:rPr>
          <w:rFonts w:cs="Times New Roman"/>
        </w:rPr>
      </w:pPr>
      <w:r w:rsidRPr="00F63ABC">
        <w:rPr>
          <w:rFonts w:cs="Times New Roman"/>
        </w:rPr>
        <w:t>“</w:t>
      </w:r>
      <w:r w:rsidRPr="00F63ABC">
        <w:rPr>
          <w:rFonts w:cs="Times New Roman"/>
          <w:b/>
        </w:rPr>
        <w:t>32.punkts Finanšu ministrijai (valsts akciju sabiedrībai "Valsts nekustamie īpašumi")</w:t>
      </w:r>
      <w:r w:rsidRPr="00F63ABC">
        <w:rPr>
          <w:rFonts w:cs="Times New Roman"/>
        </w:rPr>
        <w:t xml:space="preserve"> </w:t>
      </w:r>
      <w:r w:rsidRPr="00F63ABC">
        <w:rPr>
          <w:rFonts w:cs="Times New Roman"/>
          <w:i/>
        </w:rPr>
        <w:t>līdz 2019.gada 1.jūlijam izstrādāt un iesniegt izskatīšanai Ministru kabinetā priekšlikumus par atsevišķu valsts iestāžu, kuras šobrīd nomā biroja telpas no privātā iznomātāja, pārcelšanu uz valsts vai valsts kapitālsabiedrību īpašumā esošajiem nekustamajiem īpašumiem, piedāvājot konkurētspējīgas telpas un ilgtermiņā samazinot vidējos nomas izdevumus.</w:t>
      </w:r>
      <w:r w:rsidRPr="00F63ABC">
        <w:rPr>
          <w:rFonts w:cs="Times New Roman"/>
        </w:rPr>
        <w:t>”</w:t>
      </w:r>
    </w:p>
    <w:p w14:paraId="12BB8E38" w14:textId="62168079" w:rsidR="00F63ABC" w:rsidRPr="00F63ABC" w:rsidRDefault="00F63ABC" w:rsidP="000965D4">
      <w:pPr>
        <w:spacing w:after="120"/>
        <w:jc w:val="both"/>
        <w:rPr>
          <w:rFonts w:cs="Times New Roman"/>
        </w:rPr>
      </w:pPr>
      <w:r w:rsidRPr="00F63ABC">
        <w:rPr>
          <w:rFonts w:cs="Times New Roman"/>
        </w:rPr>
        <w:tab/>
        <w:t>FM (VNĪ) izstrādāja un iesniedza VK informatīvo ziņojumu “Par turpmāko rīcību ar valsts iestāžu izmantoto biroju infrastruktūru”. 2020.</w:t>
      </w:r>
      <w:r w:rsidR="0007536B">
        <w:rPr>
          <w:rFonts w:cs="Times New Roman"/>
        </w:rPr>
        <w:t xml:space="preserve"> </w:t>
      </w:r>
      <w:r w:rsidRPr="00F63ABC">
        <w:rPr>
          <w:rFonts w:cs="Times New Roman"/>
        </w:rPr>
        <w:t>gada 29.</w:t>
      </w:r>
      <w:r w:rsidR="0007536B">
        <w:rPr>
          <w:rFonts w:cs="Times New Roman"/>
        </w:rPr>
        <w:t xml:space="preserve"> </w:t>
      </w:r>
      <w:r w:rsidRPr="00F63ABC">
        <w:rPr>
          <w:rFonts w:cs="Times New Roman"/>
        </w:rPr>
        <w:t>janvārī ziņojums publicēts ePortfelī informatīvo ziņojumu sadaļā.</w:t>
      </w:r>
    </w:p>
    <w:p w14:paraId="404BA7FA" w14:textId="5473C4AB" w:rsidR="00F63ABC" w:rsidRPr="00F63ABC" w:rsidRDefault="00F63ABC" w:rsidP="000965D4">
      <w:pPr>
        <w:spacing w:after="120"/>
        <w:jc w:val="both"/>
        <w:rPr>
          <w:rFonts w:cs="Times New Roman"/>
        </w:rPr>
      </w:pPr>
      <w:r w:rsidRPr="00F63ABC">
        <w:rPr>
          <w:rFonts w:cs="Times New Roman"/>
        </w:rPr>
        <w:t>“</w:t>
      </w:r>
      <w:r w:rsidRPr="00F63ABC">
        <w:rPr>
          <w:rFonts w:cs="Times New Roman"/>
          <w:b/>
        </w:rPr>
        <w:t>33.punkts</w:t>
      </w:r>
      <w:r w:rsidRPr="00F63ABC">
        <w:rPr>
          <w:rFonts w:cs="Times New Roman"/>
        </w:rPr>
        <w:t xml:space="preserve"> </w:t>
      </w:r>
      <w:r w:rsidRPr="00F63ABC">
        <w:rPr>
          <w:rFonts w:cs="Times New Roman"/>
          <w:i/>
        </w:rPr>
        <w:t>Lai nodrošinātu valsts iestāžu un valsts kapitālsabiedrību administratīvo izmaksu samazinājumu</w:t>
      </w:r>
      <w:r w:rsidRPr="00F63ABC">
        <w:rPr>
          <w:rFonts w:cs="Times New Roman"/>
        </w:rPr>
        <w:t xml:space="preserve">, </w:t>
      </w:r>
      <w:r w:rsidRPr="00F63ABC">
        <w:rPr>
          <w:rFonts w:cs="Times New Roman"/>
          <w:b/>
        </w:rPr>
        <w:t xml:space="preserve">Finanšu ministrijai (valsts akciju sabiedrībai </w:t>
      </w:r>
      <w:r w:rsidR="0007536B">
        <w:rPr>
          <w:rFonts w:cs="Times New Roman"/>
          <w:b/>
        </w:rPr>
        <w:t>“</w:t>
      </w:r>
      <w:r w:rsidRPr="00F63ABC">
        <w:rPr>
          <w:rFonts w:cs="Times New Roman"/>
          <w:b/>
        </w:rPr>
        <w:t>Valsts nekustamie īpašumi</w:t>
      </w:r>
      <w:r w:rsidR="0007536B">
        <w:rPr>
          <w:rFonts w:cs="Times New Roman"/>
          <w:b/>
        </w:rPr>
        <w:t>”</w:t>
      </w:r>
      <w:r w:rsidRPr="00F63ABC">
        <w:rPr>
          <w:rFonts w:cs="Times New Roman"/>
          <w:b/>
        </w:rPr>
        <w:t>)</w:t>
      </w:r>
      <w:r w:rsidRPr="00F63ABC">
        <w:rPr>
          <w:rFonts w:cs="Times New Roman"/>
        </w:rPr>
        <w:t xml:space="preserve"> </w:t>
      </w:r>
      <w:r w:rsidRPr="00F63ABC">
        <w:rPr>
          <w:rFonts w:cs="Times New Roman"/>
          <w:i/>
        </w:rPr>
        <w:t>līdz 2019.gada 1.jūlijam izstrādāt un iesniegt izskatīšanai Ministru kabinetā centralizētu elektroenerģijas iepirkumu veikšanas darbības plānu elektroenerģijas iepirkšanai no 2021.gada 1.janvāra.</w:t>
      </w:r>
      <w:r w:rsidRPr="00F63ABC">
        <w:rPr>
          <w:rFonts w:cs="Times New Roman"/>
        </w:rPr>
        <w:t>”</w:t>
      </w:r>
    </w:p>
    <w:p w14:paraId="3177ED0D" w14:textId="3653A1B4" w:rsidR="00F63ABC" w:rsidRPr="00F63ABC" w:rsidRDefault="00F63ABC" w:rsidP="000965D4">
      <w:pPr>
        <w:spacing w:after="120"/>
        <w:jc w:val="both"/>
        <w:rPr>
          <w:rFonts w:cs="Times New Roman"/>
        </w:rPr>
      </w:pPr>
      <w:r w:rsidRPr="00F63ABC">
        <w:rPr>
          <w:rFonts w:cs="Times New Roman"/>
        </w:rPr>
        <w:tab/>
        <w:t>2020.</w:t>
      </w:r>
      <w:r w:rsidR="0007536B">
        <w:rPr>
          <w:rFonts w:cs="Times New Roman"/>
        </w:rPr>
        <w:t xml:space="preserve"> </w:t>
      </w:r>
      <w:r w:rsidRPr="00F63ABC">
        <w:rPr>
          <w:rFonts w:cs="Times New Roman"/>
        </w:rPr>
        <w:t>gada 28.</w:t>
      </w:r>
      <w:r w:rsidR="0007536B">
        <w:rPr>
          <w:rFonts w:cs="Times New Roman"/>
        </w:rPr>
        <w:t xml:space="preserve"> </w:t>
      </w:r>
      <w:r w:rsidRPr="00F63ABC">
        <w:rPr>
          <w:rFonts w:cs="Times New Roman"/>
        </w:rPr>
        <w:t xml:space="preserve">janvāra MK sēdē izskatīts FM (VNĪ) sagatavotais informatīvais ziņojums </w:t>
      </w:r>
      <w:r w:rsidR="0007536B">
        <w:rPr>
          <w:rFonts w:cs="Times New Roman"/>
        </w:rPr>
        <w:t>“</w:t>
      </w:r>
      <w:r w:rsidRPr="00F63ABC">
        <w:rPr>
          <w:rFonts w:cs="Times New Roman"/>
        </w:rPr>
        <w:t>Par centralizētā elektroenerģijas iepirkuma organizēšanu</w:t>
      </w:r>
      <w:r w:rsidR="0007536B">
        <w:rPr>
          <w:rFonts w:cs="Times New Roman"/>
        </w:rPr>
        <w:t>”</w:t>
      </w:r>
      <w:r w:rsidRPr="00F63ABC">
        <w:rPr>
          <w:rFonts w:cs="Times New Roman"/>
        </w:rPr>
        <w:t>. Tam pievienotajā protokola (prot. Nr.4; 28§) 2.</w:t>
      </w:r>
      <w:r w:rsidR="0007536B">
        <w:rPr>
          <w:rFonts w:cs="Times New Roman"/>
        </w:rPr>
        <w:t xml:space="preserve"> </w:t>
      </w:r>
      <w:r w:rsidRPr="00F63ABC">
        <w:rPr>
          <w:rFonts w:cs="Times New Roman"/>
        </w:rPr>
        <w:t>punktā noteikts, ka FM jānodrošina, ka VNĪ kā centralizētā iepirkuma institūcija sadarbībā ar VRAA līdz 2020.</w:t>
      </w:r>
      <w:r w:rsidR="0007536B">
        <w:rPr>
          <w:rFonts w:cs="Times New Roman"/>
        </w:rPr>
        <w:t xml:space="preserve"> </w:t>
      </w:r>
      <w:r w:rsidRPr="00F63ABC">
        <w:rPr>
          <w:rFonts w:cs="Times New Roman"/>
        </w:rPr>
        <w:t>gada 31.</w:t>
      </w:r>
      <w:r w:rsidR="0007536B">
        <w:rPr>
          <w:rFonts w:cs="Times New Roman"/>
        </w:rPr>
        <w:t xml:space="preserve"> </w:t>
      </w:r>
      <w:r w:rsidRPr="00F63ABC">
        <w:rPr>
          <w:rFonts w:cs="Times New Roman"/>
        </w:rPr>
        <w:t xml:space="preserve">decembrim nodrošina dinamiskās iepirkumu sistēmas darbības uzsākšanu elektronisko iepirkumu sistēmā elektroenerģijas iegādes īstenošanai. </w:t>
      </w:r>
    </w:p>
    <w:p w14:paraId="60CDCD49" w14:textId="77777777" w:rsidR="00593F5F" w:rsidRDefault="00F63ABC" w:rsidP="00F664D8">
      <w:pPr>
        <w:tabs>
          <w:tab w:val="left" w:pos="2445"/>
        </w:tabs>
        <w:spacing w:before="120" w:after="0"/>
        <w:jc w:val="center"/>
        <w:rPr>
          <w:rFonts w:cs="Times New Roman"/>
          <w:b/>
        </w:rPr>
      </w:pPr>
      <w:r w:rsidRPr="00F63ABC">
        <w:rPr>
          <w:rFonts w:cs="Times New Roman"/>
          <w:b/>
        </w:rPr>
        <w:t xml:space="preserve">Izpildes statuss par MK 2017.gada 28.augusta </w:t>
      </w:r>
    </w:p>
    <w:p w14:paraId="524940E3" w14:textId="77777777" w:rsidR="00F63ABC" w:rsidRPr="00F63ABC" w:rsidRDefault="00F63ABC" w:rsidP="00F664D8">
      <w:pPr>
        <w:tabs>
          <w:tab w:val="left" w:pos="2445"/>
        </w:tabs>
        <w:spacing w:after="120"/>
        <w:jc w:val="center"/>
        <w:rPr>
          <w:rFonts w:cs="Times New Roman"/>
          <w:b/>
        </w:rPr>
      </w:pPr>
      <w:r w:rsidRPr="00F63ABC">
        <w:rPr>
          <w:rFonts w:cs="Times New Roman"/>
          <w:b/>
        </w:rPr>
        <w:t>sēdes protokola Nr. 41 1.§ uzdevumiem</w:t>
      </w:r>
    </w:p>
    <w:p w14:paraId="5F4B165C" w14:textId="77777777" w:rsidR="00F63ABC" w:rsidRPr="00F63ABC" w:rsidRDefault="00F63ABC" w:rsidP="000965D4">
      <w:pPr>
        <w:spacing w:after="120"/>
        <w:jc w:val="both"/>
        <w:rPr>
          <w:rFonts w:cs="Times New Roman"/>
          <w:b/>
          <w:u w:val="single"/>
        </w:rPr>
      </w:pPr>
      <w:r w:rsidRPr="00F63ABC">
        <w:rPr>
          <w:rFonts w:cs="Times New Roman"/>
          <w:b/>
          <w:u w:val="single"/>
        </w:rPr>
        <w:t>Izpildītie uzdevumi:</w:t>
      </w:r>
    </w:p>
    <w:p w14:paraId="5EA5B5B7"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9.punkts Ekonomikas ministrijai</w:t>
      </w:r>
      <w:r w:rsidRPr="00F63ABC">
        <w:rPr>
          <w:rFonts w:cs="Times New Roman"/>
        </w:rPr>
        <w:t xml:space="preserve">, </w:t>
      </w:r>
      <w:r w:rsidRPr="00F63ABC">
        <w:rPr>
          <w:rFonts w:cs="Times New Roman"/>
          <w:i/>
        </w:rPr>
        <w:t xml:space="preserve">lai nodrošinātu valsts budžeta racionālu izmantošanu un administratīvā sloga mazināšanu un, lai sekmētu konkurences veicināšanu visās </w:t>
      </w:r>
      <w:r w:rsidRPr="00F63ABC">
        <w:rPr>
          <w:rFonts w:cs="Times New Roman"/>
          <w:i/>
        </w:rPr>
        <w:lastRenderedPageBreak/>
        <w:t>tautsaimniecības nozarēs un tādējādi turpmāku ekonomisko izaugsmi, līdz 2018.gada 2.aprīlim sagatavot priekšlikumus par vienotas konkurences un regulācijas iestādes izveides iespējām un iesniegt izskatīšanai Ministru kabinetā.</w:t>
      </w:r>
      <w:r w:rsidRPr="00F63ABC">
        <w:rPr>
          <w:rFonts w:cs="Times New Roman"/>
        </w:rPr>
        <w:t>”</w:t>
      </w:r>
    </w:p>
    <w:p w14:paraId="163915B5" w14:textId="1A5F19F4" w:rsidR="00F63ABC" w:rsidRPr="00F63ABC" w:rsidRDefault="00F63ABC" w:rsidP="000965D4">
      <w:pPr>
        <w:spacing w:after="120"/>
        <w:jc w:val="both"/>
        <w:rPr>
          <w:rFonts w:cs="Times New Roman"/>
        </w:rPr>
      </w:pPr>
      <w:r w:rsidRPr="00F63ABC">
        <w:rPr>
          <w:rFonts w:cs="Times New Roman"/>
        </w:rPr>
        <w:tab/>
        <w:t>2019.</w:t>
      </w:r>
      <w:r w:rsidR="0007536B">
        <w:rPr>
          <w:rFonts w:cs="Times New Roman"/>
        </w:rPr>
        <w:t xml:space="preserve"> </w:t>
      </w:r>
      <w:r w:rsidRPr="00F63ABC">
        <w:rPr>
          <w:rFonts w:cs="Times New Roman"/>
        </w:rPr>
        <w:t>gada 24.</w:t>
      </w:r>
      <w:r w:rsidR="0007536B">
        <w:rPr>
          <w:rFonts w:cs="Times New Roman"/>
        </w:rPr>
        <w:t xml:space="preserve"> </w:t>
      </w:r>
      <w:r w:rsidRPr="00F63ABC">
        <w:rPr>
          <w:rFonts w:cs="Times New Roman"/>
        </w:rPr>
        <w:t xml:space="preserve">septembrī MK izskatīts EM sagatavotais informatīvais ziņojums </w:t>
      </w:r>
      <w:r w:rsidR="0007536B">
        <w:rPr>
          <w:rFonts w:cs="Times New Roman"/>
        </w:rPr>
        <w:t>“</w:t>
      </w:r>
      <w:r w:rsidRPr="00F63ABC">
        <w:rPr>
          <w:rFonts w:cs="Times New Roman"/>
        </w:rPr>
        <w:t>Par vienotas konkurences un regulācijas iestādes izveides iespējām</w:t>
      </w:r>
      <w:r w:rsidR="0007536B">
        <w:rPr>
          <w:rFonts w:cs="Times New Roman"/>
        </w:rPr>
        <w:t>”</w:t>
      </w:r>
      <w:r w:rsidRPr="00F63ABC">
        <w:rPr>
          <w:rFonts w:cs="Times New Roman"/>
        </w:rPr>
        <w:t xml:space="preserve"> (prot. Nr.43, 29.§). Ņemot vērā informatīvajā ziņojumā minētos apsvērumus, </w:t>
      </w:r>
      <w:r w:rsidR="0007536B">
        <w:rPr>
          <w:rFonts w:cs="Times New Roman"/>
        </w:rPr>
        <w:t>secināts</w:t>
      </w:r>
      <w:r w:rsidRPr="00F63ABC">
        <w:rPr>
          <w:rFonts w:cs="Times New Roman"/>
        </w:rPr>
        <w:t xml:space="preserve">, ka būtu saglabājams pašreizējais Konkurences padomes un SPRK institucionālais statuss, vienlaikus </w:t>
      </w:r>
      <w:r w:rsidR="0007536B" w:rsidRPr="00F63ABC">
        <w:rPr>
          <w:rFonts w:cs="Times New Roman"/>
        </w:rPr>
        <w:t>stiprin</w:t>
      </w:r>
      <w:r w:rsidR="0007536B">
        <w:rPr>
          <w:rFonts w:cs="Times New Roman"/>
        </w:rPr>
        <w:t>o</w:t>
      </w:r>
      <w:r w:rsidR="0007536B" w:rsidRPr="00F63ABC">
        <w:rPr>
          <w:rFonts w:cs="Times New Roman"/>
        </w:rPr>
        <w:t xml:space="preserve">t </w:t>
      </w:r>
      <w:r w:rsidRPr="00F63ABC">
        <w:rPr>
          <w:rFonts w:cs="Times New Roman"/>
        </w:rPr>
        <w:t>Konkurences padomes finansiālo neatkarību.</w:t>
      </w:r>
    </w:p>
    <w:p w14:paraId="27028DA2"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15.punkts Finanšu ministrijai</w:t>
      </w:r>
      <w:r w:rsidRPr="00F63ABC">
        <w:rPr>
          <w:rFonts w:cs="Times New Roman"/>
        </w:rPr>
        <w:t xml:space="preserve"> </w:t>
      </w:r>
      <w:r w:rsidRPr="00F63ABC">
        <w:rPr>
          <w:rFonts w:cs="Times New Roman"/>
          <w:i/>
        </w:rPr>
        <w:t>izvērtēt nepieciešamās izmaiņas bāzes izdevumu aprēķināšanas metodikā un iesniegt izskatīšanai Ministru kabineta 2018.gada 8.janvāra sēdē grozījumus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w:t>
      </w:r>
      <w:r w:rsidRPr="00F63ABC">
        <w:rPr>
          <w:rFonts w:cs="Times New Roman"/>
        </w:rPr>
        <w:t>”</w:t>
      </w:r>
    </w:p>
    <w:p w14:paraId="28004144" w14:textId="3313FC4C" w:rsidR="00F63ABC" w:rsidRDefault="00F63ABC" w:rsidP="000965D4">
      <w:pPr>
        <w:spacing w:after="120"/>
        <w:jc w:val="both"/>
        <w:rPr>
          <w:rFonts w:cs="Times New Roman"/>
        </w:rPr>
      </w:pPr>
      <w:r w:rsidRPr="00F63ABC">
        <w:rPr>
          <w:rFonts w:cs="Times New Roman"/>
        </w:rPr>
        <w:tab/>
        <w:t>FM izstrā</w:t>
      </w:r>
      <w:r w:rsidR="00231324">
        <w:rPr>
          <w:rFonts w:cs="Times New Roman"/>
        </w:rPr>
        <w:t xml:space="preserve">dāja MK 2019. gada 22. oktobra </w:t>
      </w:r>
      <w:r w:rsidRPr="00F63ABC">
        <w:rPr>
          <w:rFonts w:cs="Times New Roman"/>
        </w:rPr>
        <w:t xml:space="preserve">noteikumus Nr.487 </w:t>
      </w:r>
      <w:r w:rsidR="0007536B">
        <w:rPr>
          <w:rFonts w:cs="Times New Roman"/>
        </w:rPr>
        <w:t>“</w:t>
      </w:r>
      <w:r w:rsidRPr="00F63ABC">
        <w:rPr>
          <w:rFonts w:cs="Times New Roman"/>
        </w:rPr>
        <w:t xml:space="preserve">Grozījumi Ministru kabineta 2012. gada 11. decembra noteikumos Nr. 867 </w:t>
      </w:r>
      <w:r w:rsidR="0007536B">
        <w:rPr>
          <w:rFonts w:cs="Times New Roman"/>
        </w:rPr>
        <w:t>“</w:t>
      </w:r>
      <w:r w:rsidRPr="00F63ABC">
        <w:rPr>
          <w:rFonts w:cs="Times New Roman"/>
        </w:rPr>
        <w:t>Kārtība, kādā nosakāms maksimāli pieļaujamais valsts budžeta izdevumu kopapjoms un maksimāli pieļaujamais valsts budžeta izdevumu kopējais apjoms katrai ministrijai un citām centrālajām valsts iestādēm vidējam termiņam</w:t>
      </w:r>
      <w:r w:rsidR="0007536B">
        <w:rPr>
          <w:rFonts w:cs="Times New Roman"/>
        </w:rPr>
        <w:t>””</w:t>
      </w:r>
      <w:r w:rsidRPr="00F63ABC">
        <w:rPr>
          <w:rFonts w:cs="Times New Roman"/>
        </w:rPr>
        <w:t xml:space="preserve">, </w:t>
      </w:r>
      <w:r w:rsidRPr="00F63ABC">
        <w:rPr>
          <w:rFonts w:eastAsia="Times New Roman" w:cs="Times New Roman"/>
          <w:lang w:eastAsia="lv-LV"/>
        </w:rPr>
        <w:t xml:space="preserve">pilnveidojot valsts budžeta bāzes aprēķināšanas procesu, kas precizē bāzes veidošanas termiņus, skaidrāk definē pienākumu/tiesību robežas un samazina nevienveidīgas interpretācijas iespējas. </w:t>
      </w:r>
    </w:p>
    <w:p w14:paraId="2CD49722"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24.punkts Tieslietu ministrijai sadarbībā ar Iekšlietu ministriju, Veselības ministriju un Finanšu ministriju</w:t>
      </w:r>
      <w:r w:rsidRPr="00F63ABC">
        <w:rPr>
          <w:rFonts w:cs="Times New Roman"/>
        </w:rPr>
        <w:t xml:space="preserve"> </w:t>
      </w:r>
      <w:r w:rsidRPr="00F63ABC">
        <w:rPr>
          <w:rFonts w:cs="Times New Roman"/>
          <w:i/>
        </w:rPr>
        <w:t>izveidot darba grupu rīcības plāna izstrādei tiesu ekspertīžu institūta reformas ieviešanai. Tieslietu ministrijai līdz 2018.gada 31.jūlijam iesniegt Ministru kabinetā darba grupas izstrādāto rīcības plānu.</w:t>
      </w:r>
      <w:r w:rsidRPr="00F63ABC">
        <w:rPr>
          <w:rFonts w:cs="Times New Roman"/>
        </w:rPr>
        <w:t>”</w:t>
      </w:r>
    </w:p>
    <w:p w14:paraId="72B6CD7D" w14:textId="2866306F" w:rsidR="00F63ABC" w:rsidRDefault="00F63ABC" w:rsidP="000965D4">
      <w:pPr>
        <w:spacing w:after="120"/>
        <w:jc w:val="both"/>
        <w:rPr>
          <w:rFonts w:eastAsia="Calibri" w:cs="Times New Roman"/>
          <w:color w:val="000000" w:themeColor="text1"/>
        </w:rPr>
      </w:pPr>
      <w:r w:rsidRPr="00F63ABC">
        <w:rPr>
          <w:rFonts w:cs="Times New Roman"/>
        </w:rPr>
        <w:tab/>
        <w:t>2020.</w:t>
      </w:r>
      <w:r w:rsidR="003F7ED5">
        <w:rPr>
          <w:rFonts w:cs="Times New Roman"/>
        </w:rPr>
        <w:t xml:space="preserve"> </w:t>
      </w:r>
      <w:r w:rsidRPr="00F63ABC">
        <w:rPr>
          <w:rFonts w:cs="Times New Roman"/>
        </w:rPr>
        <w:t>gada 14.</w:t>
      </w:r>
      <w:r w:rsidR="003F7ED5">
        <w:rPr>
          <w:rFonts w:cs="Times New Roman"/>
        </w:rPr>
        <w:t xml:space="preserve"> </w:t>
      </w:r>
      <w:r w:rsidRPr="00F63ABC">
        <w:rPr>
          <w:rFonts w:cs="Times New Roman"/>
        </w:rPr>
        <w:t xml:space="preserve">jūlijā MK izskatīts TM sagatavotais informatīvais ziņojums </w:t>
      </w:r>
      <w:r w:rsidR="003F7ED5">
        <w:rPr>
          <w:rFonts w:cs="Times New Roman"/>
        </w:rPr>
        <w:t>“</w:t>
      </w:r>
      <w:hyperlink r:id="rId14" w:history="1">
        <w:r w:rsidRPr="00F17C94">
          <w:rPr>
            <w:rFonts w:cs="Times New Roman"/>
            <w:szCs w:val="23"/>
            <w:shd w:val="clear" w:color="auto" w:fill="FFFFFF"/>
          </w:rPr>
          <w:t>Par tiesu ekspertīžu institūta reformas ieviešanas iespēju izvērtējumu</w:t>
        </w:r>
        <w:r w:rsidR="003F7ED5">
          <w:rPr>
            <w:rFonts w:cs="Times New Roman"/>
            <w:szCs w:val="23"/>
            <w:shd w:val="clear" w:color="auto" w:fill="FFFFFF"/>
          </w:rPr>
          <w:t>”</w:t>
        </w:r>
        <w:r w:rsidRPr="00F63ABC">
          <w:rPr>
            <w:rFonts w:cs="Times New Roman"/>
            <w:sz w:val="23"/>
            <w:szCs w:val="23"/>
            <w:shd w:val="clear" w:color="auto" w:fill="FFFFFF"/>
          </w:rPr>
          <w:t>. </w:t>
        </w:r>
      </w:hyperlink>
      <w:r w:rsidR="003F7ED5">
        <w:rPr>
          <w:rFonts w:cs="Times New Roman"/>
        </w:rPr>
        <w:t>Informatīvajā ziņojumā</w:t>
      </w:r>
      <w:r w:rsidR="003F7ED5" w:rsidRPr="00F63ABC">
        <w:rPr>
          <w:rFonts w:cs="Times New Roman"/>
        </w:rPr>
        <w:t xml:space="preserve"> </w:t>
      </w:r>
      <w:r w:rsidRPr="00F63ABC">
        <w:rPr>
          <w:rFonts w:cs="Times New Roman"/>
        </w:rPr>
        <w:t xml:space="preserve">secināts, ka </w:t>
      </w:r>
      <w:r w:rsidRPr="00F63ABC" w:rsidDel="00AE3566">
        <w:rPr>
          <w:rFonts w:eastAsia="Calibri" w:cs="Times New Roman"/>
          <w:bCs/>
          <w:color w:val="000000" w:themeColor="text1"/>
        </w:rPr>
        <w:t xml:space="preserve">tiesu ekspertīžu institūta reforma esošajā situācijā </w:t>
      </w:r>
      <w:r w:rsidRPr="00F63ABC">
        <w:rPr>
          <w:rFonts w:cs="Times New Roman"/>
        </w:rPr>
        <w:t xml:space="preserve">uzsākama pakāpeniski un </w:t>
      </w:r>
      <w:r w:rsidRPr="00F63ABC">
        <w:rPr>
          <w:rFonts w:eastAsia="Calibri" w:cs="Times New Roman"/>
          <w:color w:val="000000" w:themeColor="text1"/>
        </w:rPr>
        <w:t>apvienotā valsts tiesu ekspertīžu iestāde veidojama TM padotībā, ne vēlāk kā līdz 2025.</w:t>
      </w:r>
      <w:r w:rsidR="003F7ED5">
        <w:rPr>
          <w:rFonts w:eastAsia="Calibri" w:cs="Times New Roman"/>
          <w:color w:val="000000" w:themeColor="text1"/>
        </w:rPr>
        <w:t xml:space="preserve"> </w:t>
      </w:r>
      <w:r w:rsidRPr="00F63ABC">
        <w:rPr>
          <w:rFonts w:eastAsia="Calibri" w:cs="Times New Roman"/>
          <w:color w:val="000000" w:themeColor="text1"/>
        </w:rPr>
        <w:t>gada 31.</w:t>
      </w:r>
      <w:r w:rsidR="003F7ED5">
        <w:rPr>
          <w:rFonts w:eastAsia="Calibri" w:cs="Times New Roman"/>
          <w:color w:val="000000" w:themeColor="text1"/>
        </w:rPr>
        <w:t xml:space="preserve"> </w:t>
      </w:r>
      <w:r w:rsidRPr="00F63ABC">
        <w:rPr>
          <w:rFonts w:eastAsia="Calibri" w:cs="Times New Roman"/>
          <w:color w:val="000000" w:themeColor="text1"/>
        </w:rPr>
        <w:t>decembrim</w:t>
      </w:r>
      <w:r w:rsidR="003F7ED5">
        <w:rPr>
          <w:rFonts w:eastAsia="Calibri" w:cs="Times New Roman"/>
          <w:color w:val="000000" w:themeColor="text1"/>
        </w:rPr>
        <w:t xml:space="preserve"> (prot. Nr.44, 56.</w:t>
      </w:r>
      <w:r w:rsidR="003F7ED5" w:rsidRPr="00F63ABC">
        <w:rPr>
          <w:rFonts w:cs="Times New Roman"/>
        </w:rPr>
        <w:t>§</w:t>
      </w:r>
      <w:r w:rsidR="003F7ED5">
        <w:rPr>
          <w:rFonts w:cs="Times New Roman"/>
        </w:rPr>
        <w:t>)</w:t>
      </w:r>
      <w:r w:rsidRPr="00F63ABC">
        <w:rPr>
          <w:rFonts w:eastAsia="Calibri" w:cs="Times New Roman"/>
          <w:color w:val="000000" w:themeColor="text1"/>
        </w:rPr>
        <w:t>.</w:t>
      </w:r>
    </w:p>
    <w:p w14:paraId="05B8AE28" w14:textId="77777777" w:rsidR="006C6102" w:rsidRPr="006C6102" w:rsidRDefault="006C6102" w:rsidP="006C6102">
      <w:pPr>
        <w:spacing w:after="120"/>
        <w:ind w:firstLine="720"/>
        <w:jc w:val="both"/>
        <w:rPr>
          <w:rFonts w:cs="Times New Roman"/>
        </w:rPr>
      </w:pPr>
      <w:r w:rsidRPr="006C6102">
        <w:rPr>
          <w:rFonts w:cs="Times New Roman"/>
        </w:rPr>
        <w:t xml:space="preserve">Saskaņā ar informatīvā ziņojuma tiesu ekspertīžu institūta reformas īstenošanai veicamo darbību laika grafiku IeM un VP (VPKP) līdz 2020. gada 31. decembrim jāveic vakanto tiesu ekspertu amatu pārveidošana par amata vietām bez speciālajām dienesta pakāpēm, kā arī jāpārtrauc jaunu tiesu ekspertu kandidātu VPKP Ekspertīžu birojā ar speciālo dienesta pakāpi apmācības tiesu ekspertu specialitātē. Minēto pasākumu īstenošana rezultātā veidosies finanšu līdzekļu ietaupījums. </w:t>
      </w:r>
    </w:p>
    <w:p w14:paraId="18FDDE45" w14:textId="7DAFC3DA" w:rsidR="006C6102" w:rsidRPr="006C6102" w:rsidRDefault="006C6102" w:rsidP="006C6102">
      <w:pPr>
        <w:spacing w:after="120"/>
        <w:ind w:firstLine="720"/>
        <w:jc w:val="both"/>
        <w:rPr>
          <w:rFonts w:cs="Times New Roman"/>
        </w:rPr>
      </w:pPr>
      <w:r w:rsidRPr="006C6102">
        <w:rPr>
          <w:rFonts w:cs="Times New Roman"/>
        </w:rPr>
        <w:t>Lai sekmētu tiesu ekspertu korpusa iespējami mazākas izmaiņas, informatīvajā ziņojumā paredzēti vairāki pasākumi. Līdz 2021.gada 1.aprīlim IeM kopā ar TM izstrādājami kritēriji un tiesiskais regulējums amatpersonu ar speciālajām dienesta pakāpēm atbilstošam pārejas periodam, ņemot vērā personas</w:t>
      </w:r>
      <w:r>
        <w:rPr>
          <w:rFonts w:cs="Times New Roman"/>
        </w:rPr>
        <w:t xml:space="preserve"> tiesiskās paļāvības principu. Savukārt, </w:t>
      </w:r>
      <w:r w:rsidRPr="006C6102">
        <w:rPr>
          <w:rFonts w:cs="Times New Roman"/>
        </w:rPr>
        <w:t xml:space="preserve">līdz 2023.gada 1.jūnijam izstrādājami normatīvie akti tiesu ekspertu atlīdzības izlīdzināšanai un statusa vienādošanai. Lai mazinātu risku, ka tiesu eksperti ar speciālajām dienesta pakāpēm, lai nezaudētu speciālās dienesta pakāpes, izvēlētos turpināt dienestu policijā citā amatā, atalgojumam reformas rezultātā ir jābūt pietuvinātam vidējam tiesu eksperta mēneša </w:t>
      </w:r>
      <w:r w:rsidRPr="006C6102">
        <w:rPr>
          <w:rFonts w:cs="Times New Roman"/>
        </w:rPr>
        <w:lastRenderedPageBreak/>
        <w:t xml:space="preserve">atalgojumam un piemaksas par speciālo dienesta pakāpi kopsummai. Jo atalgojums pietuvinātāks minētajai kopsummai, jo mazāks risks, ka tiesu eksperts izlems pārkvalificēties. Vienlaikus tiktu samazināts risks, ka atsevišķās tiesu ekspertu specialitātēs var tikt zaudēti tiesu eksperti. Savukārt personas, kam ir tiesības uz izdienas pensiju, reformas rezultātā var izlemt turpināt pildīt tiesu eksperta amata pienākumus, ja atalgojums būs tam motivējošs.  </w:t>
      </w:r>
    </w:p>
    <w:p w14:paraId="735CEC16" w14:textId="5E44B736" w:rsidR="006C6102" w:rsidRPr="00F63ABC" w:rsidRDefault="006C6102" w:rsidP="006C6102">
      <w:pPr>
        <w:spacing w:after="120"/>
        <w:ind w:firstLine="720"/>
        <w:jc w:val="both"/>
        <w:rPr>
          <w:rFonts w:cs="Times New Roman"/>
        </w:rPr>
      </w:pPr>
      <w:r w:rsidRPr="006C6102">
        <w:rPr>
          <w:rFonts w:cs="Times New Roman"/>
        </w:rPr>
        <w:t>Tāpat līdz 2024.gada 1.jūnijam veicama VPKP Ekspertīžu biroja tiesu ekspertu ar speciālo dienesta pakāpi amatu pārveidošana par darbinieku amatiem. Veicot tiesu ekspertu statusa VPKP Ekspertīžu birojā vienādošanu, vienlaikus ir jānodrošina vienlīdzīgs atalgojums visiem tiesu ekspertiem reformā iekļautajās iestādēs.</w:t>
      </w:r>
    </w:p>
    <w:p w14:paraId="69F621F4" w14:textId="77777777" w:rsidR="00F63ABC" w:rsidRPr="00F63ABC" w:rsidRDefault="00F63ABC" w:rsidP="000965D4">
      <w:pPr>
        <w:spacing w:after="120"/>
        <w:jc w:val="both"/>
        <w:rPr>
          <w:rFonts w:cs="Times New Roman"/>
        </w:rPr>
      </w:pPr>
      <w:r w:rsidRPr="00F63ABC">
        <w:rPr>
          <w:rFonts w:cs="Times New Roman"/>
        </w:rPr>
        <w:t xml:space="preserve"> “</w:t>
      </w:r>
      <w:r w:rsidRPr="00F63ABC">
        <w:rPr>
          <w:rFonts w:cs="Times New Roman"/>
          <w:b/>
        </w:rPr>
        <w:t>37.punkts Veselības ministrijai</w:t>
      </w:r>
      <w:r w:rsidRPr="00F63ABC">
        <w:rPr>
          <w:rFonts w:cs="Times New Roman"/>
        </w:rPr>
        <w:t xml:space="preserve">, </w:t>
      </w:r>
      <w:r w:rsidRPr="00F63ABC">
        <w:rPr>
          <w:rFonts w:cs="Times New Roman"/>
          <w:i/>
        </w:rPr>
        <w:t>ņemot vērā nulles budžeta projekta secinājumus, iesniegt priekšlikumus Finanšu ministrijā izdevumu pārskatīšanas procesā saskaņā ar likumprojekta "Par vidēja termiņa budžeta ietvaru 2019., 2020. un 2021. gadam" un likumprojekta "Par valsts budžetu 2019.gadam" sagatavošanas grafikā noteiktajiem termiņiem, lai apakšprogrammā 33.03.00 "Kompensējamo medikamentu un materiālu apmaksāšana" piešķirto valsts budžeta līdzekļu ietvaros, pārskatot visas diagnožu grupas, tiktu paaugstināta zāļu iegādes izdevumu kompensācijas sistēmas efektivitāte, sasniedzot augstākus rezultatīvos rādītājus.</w:t>
      </w:r>
      <w:r w:rsidRPr="00F63ABC">
        <w:rPr>
          <w:rFonts w:cs="Times New Roman"/>
        </w:rPr>
        <w:t>”</w:t>
      </w:r>
    </w:p>
    <w:p w14:paraId="22817D10" w14:textId="7DBC1E11" w:rsidR="00F63ABC" w:rsidRPr="00F63ABC" w:rsidRDefault="00F63ABC" w:rsidP="000965D4">
      <w:pPr>
        <w:spacing w:after="120"/>
        <w:jc w:val="both"/>
        <w:rPr>
          <w:rFonts w:cs="Times New Roman"/>
        </w:rPr>
      </w:pPr>
      <w:r w:rsidRPr="00F63ABC">
        <w:rPr>
          <w:rFonts w:cs="Times New Roman"/>
        </w:rPr>
        <w:tab/>
        <w:t xml:space="preserve">VM ir īstenojusi papildu pasākumu, tādējādi efektivizējot kompensējamo zāļu sistēmu un palīdzot </w:t>
      </w:r>
      <w:r w:rsidR="00231324">
        <w:rPr>
          <w:rFonts w:cs="Times New Roman"/>
        </w:rPr>
        <w:t xml:space="preserve">pacientiem ietaupīt līdzekļus. </w:t>
      </w:r>
      <w:r w:rsidRPr="00F63ABC">
        <w:rPr>
          <w:rFonts w:cs="Times New Roman"/>
        </w:rPr>
        <w:t>Ar grozījumiem MK 2006.</w:t>
      </w:r>
      <w:r w:rsidR="003F7ED5">
        <w:rPr>
          <w:rFonts w:cs="Times New Roman"/>
        </w:rPr>
        <w:t xml:space="preserve"> </w:t>
      </w:r>
      <w:r w:rsidRPr="00F63ABC">
        <w:rPr>
          <w:rFonts w:cs="Times New Roman"/>
        </w:rPr>
        <w:t>gada 31.</w:t>
      </w:r>
      <w:r w:rsidR="003F7ED5">
        <w:rPr>
          <w:rFonts w:cs="Times New Roman"/>
        </w:rPr>
        <w:t xml:space="preserve"> </w:t>
      </w:r>
      <w:r w:rsidRPr="00F63ABC">
        <w:rPr>
          <w:rFonts w:cs="Times New Roman"/>
        </w:rPr>
        <w:t xml:space="preserve">oktobra noteikumos Nr.899 </w:t>
      </w:r>
      <w:r w:rsidR="003F7ED5">
        <w:rPr>
          <w:rFonts w:cs="Times New Roman"/>
        </w:rPr>
        <w:t>“</w:t>
      </w:r>
      <w:r w:rsidRPr="00F63ABC">
        <w:rPr>
          <w:rFonts w:cs="Times New Roman"/>
        </w:rPr>
        <w:t>Ambulatorajai ārstēšanai paredzēto zāļu un medicīnisko ierīču iegādes izdevumu kompensācijas kārtība</w:t>
      </w:r>
      <w:r w:rsidR="003F7ED5">
        <w:rPr>
          <w:rFonts w:cs="Times New Roman"/>
        </w:rPr>
        <w:t>”</w:t>
      </w:r>
      <w:r w:rsidRPr="00F63ABC">
        <w:rPr>
          <w:rFonts w:cs="Times New Roman"/>
        </w:rPr>
        <w:t xml:space="preserve"> (MK 2019.</w:t>
      </w:r>
      <w:r w:rsidR="003F7ED5">
        <w:rPr>
          <w:rFonts w:cs="Times New Roman"/>
        </w:rPr>
        <w:t xml:space="preserve"> </w:t>
      </w:r>
      <w:r w:rsidRPr="00F63ABC">
        <w:rPr>
          <w:rFonts w:cs="Times New Roman"/>
        </w:rPr>
        <w:t>gada 16.</w:t>
      </w:r>
      <w:r w:rsidR="003F7ED5">
        <w:rPr>
          <w:rFonts w:cs="Times New Roman"/>
        </w:rPr>
        <w:t xml:space="preserve"> </w:t>
      </w:r>
      <w:r w:rsidR="00231324">
        <w:rPr>
          <w:rFonts w:cs="Times New Roman"/>
        </w:rPr>
        <w:t>jūlija noteikumi Nr.347)</w:t>
      </w:r>
      <w:r w:rsidRPr="00F63ABC">
        <w:rPr>
          <w:rFonts w:cs="Times New Roman"/>
        </w:rPr>
        <w:t xml:space="preserve"> no 2020. gada 1.</w:t>
      </w:r>
      <w:r w:rsidR="003F7ED5">
        <w:rPr>
          <w:rFonts w:cs="Times New Roman"/>
        </w:rPr>
        <w:t xml:space="preserve"> </w:t>
      </w:r>
      <w:r w:rsidRPr="00F63ABC">
        <w:rPr>
          <w:rFonts w:cs="Times New Roman"/>
        </w:rPr>
        <w:t xml:space="preserve">aprīļa tiek samazināts kompensējamo zāļu cenas pacienta līdzmaksājums par zāļu iegādi, </w:t>
      </w:r>
      <w:r w:rsidR="003F7ED5" w:rsidRPr="00F63ABC">
        <w:rPr>
          <w:rFonts w:cs="Times New Roman"/>
        </w:rPr>
        <w:t>t</w:t>
      </w:r>
      <w:r w:rsidR="003F7ED5">
        <w:rPr>
          <w:rFonts w:cs="Times New Roman"/>
        </w:rPr>
        <w:t>.</w:t>
      </w:r>
      <w:r w:rsidR="003F7ED5" w:rsidRPr="00F63ABC">
        <w:rPr>
          <w:rFonts w:cs="Times New Roman"/>
        </w:rPr>
        <w:t xml:space="preserve"> sk</w:t>
      </w:r>
      <w:r w:rsidR="003F7ED5">
        <w:rPr>
          <w:rFonts w:cs="Times New Roman"/>
        </w:rPr>
        <w:t>.</w:t>
      </w:r>
      <w:r w:rsidR="003F7ED5" w:rsidRPr="00F63ABC">
        <w:rPr>
          <w:rFonts w:cs="Times New Roman"/>
        </w:rPr>
        <w:t xml:space="preserve"> </w:t>
      </w:r>
      <w:r w:rsidRPr="00F63ABC">
        <w:rPr>
          <w:rFonts w:cs="Times New Roman"/>
        </w:rPr>
        <w:t>nosakot, ka, izrakstot kompensējamās zāles, lietojams zāļu vai vispārīgais nosaukums. Ārsts, izrakstot recepti, var lietot firmas nosaukumu tikai gadījumos, kad ir medicīniska rakstura nosacījumi, piemēram, zināma blakusparādību rašanās, lietojot kompensējamo zāļu sarakstā esošās lētākās līdzvērtīgas terapeitiskās efektivitātes zāles vai, piemēram, šaura terapeitiskā indeksa zāļu i</w:t>
      </w:r>
      <w:r w:rsidR="00231324">
        <w:rPr>
          <w:rFonts w:cs="Times New Roman"/>
        </w:rPr>
        <w:t>zrakstīšanas gadījumā. Tādējādi</w:t>
      </w:r>
      <w:r w:rsidRPr="00F63ABC">
        <w:rPr>
          <w:rFonts w:cs="Times New Roman"/>
        </w:rPr>
        <w:t xml:space="preserve"> ārsti kompensējamo zāļu receptē norādīs zāļu aktīvo vielu, nevis zāļu nosaukumu. Savukārt aptiekā no vienādas iedarbības zālēm pacientam izsniegs tās zāles, kurām ir zemākā maksa.</w:t>
      </w:r>
    </w:p>
    <w:p w14:paraId="5CA7861C" w14:textId="77777777" w:rsidR="00CB7F17" w:rsidRDefault="00CB7F17" w:rsidP="00CB7F17">
      <w:pPr>
        <w:spacing w:after="120"/>
        <w:jc w:val="both"/>
        <w:rPr>
          <w:rFonts w:cs="Times New Roman"/>
        </w:rPr>
      </w:pPr>
      <w:r w:rsidRPr="00CB7F17">
        <w:rPr>
          <w:rFonts w:cs="Times New Roman"/>
        </w:rPr>
        <w:t>“</w:t>
      </w:r>
      <w:r w:rsidRPr="00CB7F17">
        <w:rPr>
          <w:rFonts w:cs="Times New Roman"/>
          <w:b/>
        </w:rPr>
        <w:t>39.punkts Ministrijām</w:t>
      </w:r>
      <w:r w:rsidRPr="00CB7F17">
        <w:rPr>
          <w:rFonts w:cs="Times New Roman"/>
        </w:rPr>
        <w:t xml:space="preserve"> </w:t>
      </w:r>
      <w:r w:rsidRPr="00CB7F17">
        <w:rPr>
          <w:rFonts w:cs="Times New Roman"/>
          <w:i/>
        </w:rPr>
        <w:t>atbilstoši informatīvajā ziņojumā norādītajam par maksas pakalpojumu cenrāžu aktualizāciju veikt izvērtējumu un nepieciešamības gadījumā sagatavot nepieciešamos grozījumus normatīvajos aktos.</w:t>
      </w:r>
      <w:r w:rsidR="000F4160">
        <w:rPr>
          <w:rFonts w:cs="Times New Roman"/>
        </w:rPr>
        <w:t>”</w:t>
      </w:r>
      <w:r w:rsidRPr="00F63ABC">
        <w:rPr>
          <w:rFonts w:cs="Times New Roman"/>
        </w:rPr>
        <w:t xml:space="preserve"> </w:t>
      </w:r>
    </w:p>
    <w:p w14:paraId="21D0BBF6" w14:textId="33B6E718" w:rsidR="00CB7F17" w:rsidRDefault="00CB7F17" w:rsidP="00CB7F17">
      <w:pPr>
        <w:spacing w:after="120"/>
        <w:ind w:firstLine="720"/>
        <w:jc w:val="both"/>
        <w:rPr>
          <w:rFonts w:cs="Times New Roman"/>
        </w:rPr>
      </w:pPr>
      <w:r w:rsidRPr="00CB7F17">
        <w:rPr>
          <w:rFonts w:cs="Times New Roman"/>
        </w:rPr>
        <w:t>Ministrijas turpina</w:t>
      </w:r>
      <w:r>
        <w:rPr>
          <w:rFonts w:cs="Times New Roman"/>
        </w:rPr>
        <w:t xml:space="preserve"> patstāvīgi</w:t>
      </w:r>
      <w:r w:rsidRPr="00CB7F17">
        <w:rPr>
          <w:rFonts w:cs="Times New Roman"/>
        </w:rPr>
        <w:t xml:space="preserve"> </w:t>
      </w:r>
      <w:r>
        <w:rPr>
          <w:rFonts w:cs="Times New Roman"/>
        </w:rPr>
        <w:t xml:space="preserve">aktualizēt </w:t>
      </w:r>
      <w:r w:rsidR="003F7ED5">
        <w:rPr>
          <w:rFonts w:cs="Times New Roman"/>
        </w:rPr>
        <w:t xml:space="preserve">maksas pakalpojumu </w:t>
      </w:r>
      <w:r>
        <w:rPr>
          <w:rFonts w:cs="Times New Roman"/>
        </w:rPr>
        <w:t>cenrāžus.</w:t>
      </w:r>
    </w:p>
    <w:p w14:paraId="5FC79366" w14:textId="77777777" w:rsidR="00F63ABC" w:rsidRPr="00F63ABC" w:rsidRDefault="00F63ABC" w:rsidP="000965D4">
      <w:pPr>
        <w:spacing w:after="120"/>
        <w:jc w:val="both"/>
        <w:rPr>
          <w:rFonts w:cs="Times New Roman"/>
          <w:b/>
          <w:u w:val="single"/>
        </w:rPr>
      </w:pPr>
      <w:r w:rsidRPr="00E45AF3">
        <w:rPr>
          <w:rFonts w:cs="Times New Roman"/>
          <w:b/>
          <w:u w:val="single"/>
        </w:rPr>
        <w:t>Uzsāktie uzdevumi:</w:t>
      </w:r>
    </w:p>
    <w:p w14:paraId="066E9164" w14:textId="77777777" w:rsidR="00F63ABC" w:rsidRPr="00F63ABC" w:rsidRDefault="00F63ABC" w:rsidP="000965D4">
      <w:pPr>
        <w:spacing w:after="120"/>
        <w:jc w:val="both"/>
        <w:rPr>
          <w:rFonts w:cs="Times New Roman"/>
        </w:rPr>
      </w:pPr>
      <w:r w:rsidRPr="00F63ABC" w:rsidDel="00F6100B">
        <w:rPr>
          <w:rFonts w:cs="Times New Roman"/>
        </w:rPr>
        <w:t xml:space="preserve"> </w:t>
      </w:r>
      <w:r w:rsidRPr="00F63ABC">
        <w:rPr>
          <w:rFonts w:cs="Times New Roman"/>
        </w:rPr>
        <w:t>“</w:t>
      </w:r>
      <w:r w:rsidRPr="00F63ABC">
        <w:rPr>
          <w:rFonts w:cs="Times New Roman"/>
          <w:b/>
        </w:rPr>
        <w:t>25.punkts Tieslietu ministrijai sadarbībā ar Iekšlietu ministriju</w:t>
      </w:r>
      <w:r w:rsidRPr="00F63ABC">
        <w:rPr>
          <w:rFonts w:cs="Times New Roman"/>
        </w:rPr>
        <w:t xml:space="preserve"> </w:t>
      </w:r>
      <w:r w:rsidRPr="00F63ABC">
        <w:rPr>
          <w:rFonts w:cs="Times New Roman"/>
          <w:i/>
        </w:rPr>
        <w:t>līdz 2018.gada 1.jūnijam izvērtēt ieslodzīto konvojēšanas funkcijas nodrošinājumu Valsts policijā un Ieslodzījuma vietu pārvaldē, izstrādājot efektīvāko risinājumu ar esošajām valsts budžeta finansiālajām iespējām, un pēc saskaņošanas ar Finanšu ministriju iesniegt priekšlikumus ieslodzīto konvojēšanas funkcijas pārskatīšanai izskatīšanai Ministru kabinetā.</w:t>
      </w:r>
      <w:r w:rsidRPr="00F63ABC">
        <w:rPr>
          <w:rFonts w:cs="Times New Roman"/>
        </w:rPr>
        <w:t>”</w:t>
      </w:r>
    </w:p>
    <w:p w14:paraId="3612757A" w14:textId="4646C536" w:rsidR="00282D02" w:rsidRDefault="00282D02" w:rsidP="00282D02">
      <w:pPr>
        <w:spacing w:after="120"/>
        <w:ind w:firstLine="720"/>
        <w:jc w:val="both"/>
        <w:rPr>
          <w:rFonts w:cs="Times New Roman"/>
        </w:rPr>
      </w:pPr>
      <w:r>
        <w:rPr>
          <w:rFonts w:cs="Times New Roman"/>
        </w:rPr>
        <w:t>VRP</w:t>
      </w:r>
      <w:r w:rsidRPr="00282D02">
        <w:rPr>
          <w:rFonts w:cs="Times New Roman"/>
        </w:rPr>
        <w:t xml:space="preserve"> Deklarācijas par Artura Krišjāņa Kariņa vadītā </w:t>
      </w:r>
      <w:r>
        <w:rPr>
          <w:rFonts w:cs="Times New Roman"/>
        </w:rPr>
        <w:t>MK</w:t>
      </w:r>
      <w:r w:rsidRPr="00282D02">
        <w:rPr>
          <w:rFonts w:cs="Times New Roman"/>
        </w:rPr>
        <w:t xml:space="preserve"> iecerēto darbību īstenošanai, </w:t>
      </w:r>
      <w:r>
        <w:rPr>
          <w:rFonts w:cs="Times New Roman"/>
        </w:rPr>
        <w:t>177.7. apakšpunktā noteikts p</w:t>
      </w:r>
      <w:r w:rsidRPr="00282D02">
        <w:rPr>
          <w:rFonts w:cs="Times New Roman"/>
        </w:rPr>
        <w:t xml:space="preserve">abeigt risinājuma izstrādi par efektīvāko ieslodzīto konvojēšanas funkcijas nodrošināšanu </w:t>
      </w:r>
      <w:r>
        <w:rPr>
          <w:rFonts w:cs="Times New Roman"/>
        </w:rPr>
        <w:t>VP</w:t>
      </w:r>
      <w:r w:rsidRPr="00282D02">
        <w:rPr>
          <w:rFonts w:cs="Times New Roman"/>
        </w:rPr>
        <w:t xml:space="preserve"> un </w:t>
      </w:r>
      <w:r>
        <w:rPr>
          <w:rFonts w:cs="Times New Roman"/>
        </w:rPr>
        <w:t>IeVP</w:t>
      </w:r>
      <w:r w:rsidRPr="00282D02">
        <w:rPr>
          <w:rFonts w:cs="Times New Roman"/>
        </w:rPr>
        <w:t xml:space="preserve"> un nodrošināt tā īstenošanu. Darbības rezultāts - 1) MK iesniegts informatīvais ziņojums par ieslodzīto konvojēšanas funkcijas nodrošinājumu </w:t>
      </w:r>
      <w:r>
        <w:rPr>
          <w:rFonts w:cs="Times New Roman"/>
        </w:rPr>
        <w:t>VP</w:t>
      </w:r>
      <w:r w:rsidRPr="00282D02">
        <w:rPr>
          <w:rFonts w:cs="Times New Roman"/>
        </w:rPr>
        <w:t xml:space="preserve"> un </w:t>
      </w:r>
      <w:r>
        <w:rPr>
          <w:rFonts w:cs="Times New Roman"/>
        </w:rPr>
        <w:t>IeVP</w:t>
      </w:r>
      <w:r w:rsidRPr="00282D02">
        <w:rPr>
          <w:rFonts w:cs="Times New Roman"/>
        </w:rPr>
        <w:t xml:space="preserve"> un priekšlikumiem ieslodzīto konvojēšanas funkcijas pārskatīšanai un uzsākta ziņojumā iekļauto risinājumu īstenošana.</w:t>
      </w:r>
      <w:r w:rsidR="000F7182">
        <w:rPr>
          <w:rFonts w:cs="Times New Roman"/>
        </w:rPr>
        <w:t xml:space="preserve"> 2) </w:t>
      </w:r>
      <w:r w:rsidR="000F7182" w:rsidRPr="000921A2">
        <w:rPr>
          <w:bCs/>
        </w:rPr>
        <w:t xml:space="preserve">Izstrādāti grozījumi nepieciešamajos tiesību aktos, samazinot </w:t>
      </w:r>
      <w:r w:rsidR="000F7182" w:rsidRPr="000921A2">
        <w:rPr>
          <w:bCs/>
        </w:rPr>
        <w:lastRenderedPageBreak/>
        <w:t>ieslodzīto konvojēšanas apjomu.</w:t>
      </w:r>
      <w:r w:rsidR="000F7182">
        <w:rPr>
          <w:bCs/>
        </w:rPr>
        <w:t xml:space="preserve"> Noteiktie izpildes termiņi - </w:t>
      </w:r>
      <w:r w:rsidR="000F7182" w:rsidRPr="000921A2">
        <w:rPr>
          <w:bCs/>
        </w:rPr>
        <w:t>1)2019.</w:t>
      </w:r>
      <w:r w:rsidR="000F7182">
        <w:rPr>
          <w:bCs/>
        </w:rPr>
        <w:t xml:space="preserve"> gada 31.maijs </w:t>
      </w:r>
      <w:r w:rsidR="000F7182" w:rsidRPr="000921A2">
        <w:rPr>
          <w:bCs/>
        </w:rPr>
        <w:t>2) 2019.</w:t>
      </w:r>
      <w:r w:rsidR="000F7182">
        <w:rPr>
          <w:bCs/>
        </w:rPr>
        <w:t xml:space="preserve"> gada 31.oktobris.</w:t>
      </w:r>
    </w:p>
    <w:p w14:paraId="5ACC5AEE" w14:textId="22EB4067" w:rsidR="00F63ABC" w:rsidRPr="00F63ABC" w:rsidRDefault="00F63ABC" w:rsidP="000965D4">
      <w:pPr>
        <w:spacing w:after="120"/>
        <w:ind w:firstLine="720"/>
        <w:jc w:val="both"/>
        <w:rPr>
          <w:rFonts w:cs="Times New Roman"/>
        </w:rPr>
      </w:pPr>
      <w:r w:rsidRPr="00F63ABC">
        <w:rPr>
          <w:rFonts w:cs="Times New Roman"/>
        </w:rPr>
        <w:t xml:space="preserve">TM ir sagatavojusi informatīvo ziņojumu par ieslodzīto konvojēšanas funkcijas nodrošinājumu </w:t>
      </w:r>
      <w:r w:rsidR="00755E6E">
        <w:rPr>
          <w:rFonts w:cs="Times New Roman"/>
        </w:rPr>
        <w:t>VP</w:t>
      </w:r>
      <w:r w:rsidRPr="00F63ABC">
        <w:rPr>
          <w:rFonts w:cs="Times New Roman"/>
        </w:rPr>
        <w:t xml:space="preserve"> un Ie</w:t>
      </w:r>
      <w:r w:rsidR="00755E6E">
        <w:rPr>
          <w:rFonts w:cs="Times New Roman"/>
        </w:rPr>
        <w:t>VP</w:t>
      </w:r>
      <w:r w:rsidRPr="00F63ABC">
        <w:rPr>
          <w:rFonts w:cs="Times New Roman"/>
        </w:rPr>
        <w:t xml:space="preserve"> un priekšlikumus ieslodzīto konvojēšanas funkcijas pārskatīšanai (izsludināts VSS 2018.</w:t>
      </w:r>
      <w:r w:rsidR="003F7ED5">
        <w:rPr>
          <w:rFonts w:cs="Times New Roman"/>
        </w:rPr>
        <w:t xml:space="preserve"> </w:t>
      </w:r>
      <w:r w:rsidRPr="00F63ABC">
        <w:rPr>
          <w:rFonts w:cs="Times New Roman"/>
        </w:rPr>
        <w:t>gada 26.</w:t>
      </w:r>
      <w:r w:rsidR="003F7ED5">
        <w:rPr>
          <w:rFonts w:cs="Times New Roman"/>
        </w:rPr>
        <w:t xml:space="preserve"> </w:t>
      </w:r>
      <w:r w:rsidRPr="00F63ABC">
        <w:rPr>
          <w:rFonts w:cs="Times New Roman"/>
        </w:rPr>
        <w:t>jūlijā, prot. Nr.29, 21§, VSS-759). Informatīvais ziņojums paredz, ka Ie</w:t>
      </w:r>
      <w:r w:rsidR="00894B6C">
        <w:rPr>
          <w:rFonts w:cs="Times New Roman"/>
        </w:rPr>
        <w:t>VP</w:t>
      </w:r>
      <w:r w:rsidRPr="00F63ABC">
        <w:rPr>
          <w:rFonts w:cs="Times New Roman"/>
        </w:rPr>
        <w:t xml:space="preserve"> no 2024.</w:t>
      </w:r>
      <w:r w:rsidR="009062B0">
        <w:rPr>
          <w:rFonts w:cs="Times New Roman"/>
        </w:rPr>
        <w:t xml:space="preserve"> </w:t>
      </w:r>
      <w:r w:rsidRPr="00F63ABC">
        <w:rPr>
          <w:rFonts w:cs="Times New Roman"/>
        </w:rPr>
        <w:t>gada 1. decembra nodrošina apcietināto un notiesāto personu konvojēšanu starp ieslodzījuma vietām saistībā ar ieslodzījuma (brīvības atņemšanas soda vai drošības līdzekļa – apcietinājums) izpildi. Par TM ziņojumu ir iebildusi gan FM, gan IeM. FM izteica iebildumus par amata vietu palielināšanu, kā arī par to, ka pārdalot finansējumu no IeM, ir jāpārdala arī amata vietas un par ievērojamo papildu finansējumu TM. IeM ir iebildusi pret to, ka ziņojumā tika paredzēta vēlāka konvoja kompetences pārņemšana.</w:t>
      </w:r>
    </w:p>
    <w:p w14:paraId="6CC93FBD"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34.punkts</w:t>
      </w:r>
      <w:r w:rsidRPr="00F63ABC">
        <w:rPr>
          <w:rFonts w:cs="Times New Roman"/>
        </w:rPr>
        <w:t xml:space="preserve"> </w:t>
      </w:r>
      <w:r w:rsidRPr="00F63ABC">
        <w:rPr>
          <w:rFonts w:cs="Times New Roman"/>
          <w:i/>
        </w:rPr>
        <w:t>Lai ministrijas atbrīvotu no tām neraksturīgas funkcijas – muzeju darbības un attīstības nodrošināšanas un novērstu valsts budžeta finansēto iestāžu funkciju dublēšanos,</w:t>
      </w:r>
      <w:r w:rsidRPr="00F63ABC">
        <w:rPr>
          <w:rFonts w:cs="Times New Roman"/>
        </w:rPr>
        <w:t xml:space="preserve"> </w:t>
      </w:r>
      <w:r w:rsidRPr="00F63ABC">
        <w:rPr>
          <w:rFonts w:cs="Times New Roman"/>
          <w:b/>
        </w:rPr>
        <w:t>Kultūras ministrijai sadarbībā ar ministrijām</w:t>
      </w:r>
      <w:r w:rsidRPr="00F63ABC">
        <w:rPr>
          <w:rFonts w:cs="Times New Roman"/>
        </w:rPr>
        <w:t xml:space="preserve"> </w:t>
      </w:r>
      <w:r w:rsidRPr="00F63ABC">
        <w:rPr>
          <w:rFonts w:cs="Times New Roman"/>
          <w:i/>
        </w:rPr>
        <w:t>izvērtēt iespējas ministriju padotībā esošos muzejus nodot Kultūras ministrijai, vai arī muzejus vai to atsevišķas filiāles nodot pašvaldību pārziņā, un iesniegt priekšlikumus Finanšu ministrijā.</w:t>
      </w:r>
      <w:r w:rsidRPr="00F63ABC">
        <w:rPr>
          <w:rFonts w:cs="Times New Roman"/>
        </w:rPr>
        <w:t>”</w:t>
      </w:r>
    </w:p>
    <w:p w14:paraId="7F9F2959" w14:textId="0739E774" w:rsidR="00F63ABC" w:rsidRPr="00F63ABC" w:rsidRDefault="00F63ABC" w:rsidP="000965D4">
      <w:pPr>
        <w:spacing w:after="120"/>
        <w:jc w:val="both"/>
        <w:rPr>
          <w:rFonts w:cs="Times New Roman"/>
        </w:rPr>
      </w:pPr>
      <w:r w:rsidRPr="00F63ABC">
        <w:rPr>
          <w:rFonts w:cs="Times New Roman"/>
        </w:rPr>
        <w:tab/>
        <w:t xml:space="preserve">KM ir izstrādājusi </w:t>
      </w:r>
      <w:r w:rsidR="002745F4">
        <w:rPr>
          <w:rFonts w:cs="Times New Roman"/>
        </w:rPr>
        <w:t>likumprojektu “G</w:t>
      </w:r>
      <w:r w:rsidRPr="00F63ABC">
        <w:rPr>
          <w:rFonts w:cs="Times New Roman"/>
        </w:rPr>
        <w:t>rozījumiem Muzeju likumā</w:t>
      </w:r>
      <w:r w:rsidR="002745F4">
        <w:rPr>
          <w:rFonts w:cs="Times New Roman"/>
        </w:rPr>
        <w:t>”</w:t>
      </w:r>
      <w:r w:rsidRPr="00F63ABC">
        <w:rPr>
          <w:rFonts w:cs="Times New Roman"/>
        </w:rPr>
        <w:t xml:space="preserve">, </w:t>
      </w:r>
      <w:r w:rsidR="002745F4">
        <w:rPr>
          <w:rFonts w:cs="Times New Roman"/>
        </w:rPr>
        <w:t>kuru</w:t>
      </w:r>
      <w:r w:rsidR="002745F4" w:rsidRPr="00F63ABC">
        <w:rPr>
          <w:rFonts w:cs="Times New Roman"/>
        </w:rPr>
        <w:t xml:space="preserve"> </w:t>
      </w:r>
      <w:r w:rsidR="002745F4" w:rsidRPr="002745F4">
        <w:rPr>
          <w:rFonts w:eastAsia="Times New Roman" w:cs="Times New Roman"/>
        </w:rPr>
        <w:t xml:space="preserve">Saeimas Izglītības, kultūras un zinātnes komisija ir atbalstījusi virzīšanai Saeimā uz pirmo lasījumu. Grozījumi </w:t>
      </w:r>
      <w:r w:rsidRPr="00F63ABC">
        <w:rPr>
          <w:rFonts w:cs="Times New Roman"/>
        </w:rPr>
        <w:t xml:space="preserve">paredz valsts muzejiem jaunu iespējamo juridisko darbības formu </w:t>
      </w:r>
      <w:r w:rsidR="009062B0">
        <w:rPr>
          <w:rFonts w:cs="Times New Roman"/>
        </w:rPr>
        <w:t>“</w:t>
      </w:r>
      <w:r w:rsidRPr="00F63ABC">
        <w:rPr>
          <w:rFonts w:cs="Times New Roman"/>
        </w:rPr>
        <w:t>atvasināta publiska persona”, kuras piemērošana citu ministriju pakļautībā esošajiem muzejiem atbrīvotu ministrijas no tām neraksturīgām funkcijām, ministrijai slēdzot līgumu ar muzeju par funkciju izpildi.</w:t>
      </w:r>
    </w:p>
    <w:p w14:paraId="1802268F"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35.punkts Kultūras ministrijai</w:t>
      </w:r>
      <w:r w:rsidRPr="00F63ABC">
        <w:rPr>
          <w:rFonts w:cs="Times New Roman"/>
        </w:rPr>
        <w:t xml:space="preserve"> </w:t>
      </w:r>
      <w:r w:rsidRPr="00F63ABC">
        <w:rPr>
          <w:rFonts w:cs="Times New Roman"/>
          <w:i/>
        </w:rPr>
        <w:t>turpināt nulles budžeta sagatavošanu, izstrādājot to pilnībā bibliotēku politikas nozarei un aptverot visas konkrētās iestādes funkcijas un sniegtos pakalpojumus, atvēlot šim darba uzdevumam ilgāku laiku, un iesniegt priekšlikumus Finanšu ministrijā izdevumu pārskatīšanas procesā saskaņā ar likumprojekta "Par vidēja termiņa budžeta ietvaru 2019., 2020. un 2021. gadam" un likumprojekta "Par valsts budžetu 2019.gadam" sagatavošanas grafikā noteiktajiem termiņiem.</w:t>
      </w:r>
      <w:r w:rsidRPr="00F63ABC">
        <w:rPr>
          <w:rFonts w:cs="Times New Roman"/>
        </w:rPr>
        <w:t>”</w:t>
      </w:r>
    </w:p>
    <w:p w14:paraId="258DECBB" w14:textId="27FE367A" w:rsidR="000F4160" w:rsidRDefault="00F63ABC" w:rsidP="000965D4">
      <w:pPr>
        <w:spacing w:after="120"/>
        <w:jc w:val="both"/>
        <w:rPr>
          <w:rFonts w:cs="Times New Roman"/>
        </w:rPr>
      </w:pPr>
      <w:r w:rsidRPr="00F63ABC">
        <w:rPr>
          <w:rFonts w:cs="Times New Roman"/>
        </w:rPr>
        <w:tab/>
        <w:t xml:space="preserve">2019. gada 20. augusta MK sēdes protokola Nr. 35 26. § 47. punkts paredz “Kultūras ministrijai līdz 2020. gada 1. jūnijam sagatavot un kultūras ministram iesniegt noteiktā kārtībā </w:t>
      </w:r>
      <w:r w:rsidR="007D1F03">
        <w:rPr>
          <w:rFonts w:cs="Times New Roman"/>
        </w:rPr>
        <w:t>MK</w:t>
      </w:r>
      <w:r w:rsidRPr="00F63ABC">
        <w:rPr>
          <w:rFonts w:cs="Times New Roman"/>
        </w:rPr>
        <w:t xml:space="preserve"> konceptuālo ziņojumu par bibliotēku nozares politikas īstenošanas pilnveides pasākumiem, pārskatot bibliotēku pakalpojumu nodrošināšanā iesaistīto Kultūras ministrijas padotības i</w:t>
      </w:r>
      <w:r w:rsidR="00775A63">
        <w:rPr>
          <w:rFonts w:cs="Times New Roman"/>
        </w:rPr>
        <w:t>estāžu funkcijas un uzdevumus”.</w:t>
      </w:r>
    </w:p>
    <w:p w14:paraId="359845B1" w14:textId="77777777" w:rsidR="002745F4" w:rsidRPr="00E63584" w:rsidRDefault="002745F4" w:rsidP="002745F4">
      <w:pPr>
        <w:spacing w:after="120"/>
        <w:ind w:firstLine="720"/>
        <w:jc w:val="both"/>
        <w:rPr>
          <w:rFonts w:cs="Times New Roman"/>
        </w:rPr>
      </w:pPr>
      <w:r w:rsidRPr="00E63584">
        <w:rPr>
          <w:rFonts w:cs="Times New Roman"/>
        </w:rPr>
        <w:t xml:space="preserve">Attiecībā uz Latvijas Neredzīgo bibliotēkas funkcijām un uzdevumiem </w:t>
      </w:r>
      <w:r>
        <w:rPr>
          <w:rFonts w:cs="Times New Roman"/>
        </w:rPr>
        <w:t>KM</w:t>
      </w:r>
      <w:r w:rsidRPr="00E63584">
        <w:rPr>
          <w:rFonts w:cs="Times New Roman"/>
        </w:rPr>
        <w:t xml:space="preserve"> ir izstrādājusi konceptuālā ziņojuma projektu, kuru paredzēts iesniegt izskatīšanai </w:t>
      </w:r>
      <w:r>
        <w:rPr>
          <w:rFonts w:cs="Times New Roman"/>
        </w:rPr>
        <w:t>MK</w:t>
      </w:r>
      <w:r w:rsidRPr="00E63584">
        <w:rPr>
          <w:rFonts w:cs="Times New Roman"/>
        </w:rPr>
        <w:t xml:space="preserve"> 2020.</w:t>
      </w:r>
      <w:r>
        <w:rPr>
          <w:rFonts w:cs="Times New Roman"/>
        </w:rPr>
        <w:t xml:space="preserve"> </w:t>
      </w:r>
      <w:r w:rsidRPr="00E63584">
        <w:rPr>
          <w:rFonts w:cs="Times New Roman"/>
        </w:rPr>
        <w:t xml:space="preserve">gada augustā. Konceptuālajā ziņojumā paredzēts piedāvāt trīs iespējamos risinājumus Latvijas Neredzīgo bibliotēkas funkciju un uzdevumu turpmākajai īstenošanai – likvidēt Latvijas Neredzīgo bibliotēku, pievienojot to Latvijas Nacionālajai bibliotēkai; likvidēt Latvijas Neredzīgo bibliotēku, daļu tās funkciju un uzdevumu nododot Latvijas Nacionālajai bibliotēkai un daļu – pašvaldību publiskajām bibliotēkām; reorganizēt Latvijas Neredzīgo bibliotēku, pārskatot tās funkcijas un uzdevumus un daļu tās funkciju un uzdevumu nododot pašvaldību publiskajām bibliotēkām. </w:t>
      </w:r>
    </w:p>
    <w:p w14:paraId="5E7CAF60" w14:textId="7473E3A2" w:rsidR="002745F4" w:rsidRDefault="002745F4" w:rsidP="002745F4">
      <w:pPr>
        <w:spacing w:after="120"/>
        <w:ind w:firstLine="720"/>
        <w:jc w:val="both"/>
        <w:rPr>
          <w:rFonts w:cs="Times New Roman"/>
        </w:rPr>
      </w:pPr>
      <w:r w:rsidRPr="00E63584">
        <w:rPr>
          <w:rFonts w:cs="Times New Roman"/>
        </w:rPr>
        <w:t>Attiecībā uz Kultūras informācijas sistēmu centra funkcijām un uzdevumiem, kas attiecas uz bibliotēku nozari, kultūras ministrs 2020.</w:t>
      </w:r>
      <w:r>
        <w:rPr>
          <w:rFonts w:cs="Times New Roman"/>
        </w:rPr>
        <w:t xml:space="preserve"> </w:t>
      </w:r>
      <w:r w:rsidRPr="00E63584">
        <w:rPr>
          <w:rFonts w:cs="Times New Roman"/>
        </w:rPr>
        <w:t>gada 17.</w:t>
      </w:r>
      <w:r>
        <w:rPr>
          <w:rFonts w:cs="Times New Roman"/>
        </w:rPr>
        <w:t xml:space="preserve"> </w:t>
      </w:r>
      <w:r w:rsidRPr="00E63584">
        <w:rPr>
          <w:rFonts w:cs="Times New Roman"/>
        </w:rPr>
        <w:t xml:space="preserve">jūlijā ir izdevis rīkojumu “Par </w:t>
      </w:r>
      <w:r w:rsidRPr="00E63584">
        <w:rPr>
          <w:rFonts w:cs="Times New Roman"/>
        </w:rPr>
        <w:lastRenderedPageBreak/>
        <w:t xml:space="preserve">informācijas un komunikācijas tehnoloģiju pārvaldību kultūras resorā”, ar kuru Kultūras informācijas sistēmu centrs noteikts par </w:t>
      </w:r>
      <w:r>
        <w:rPr>
          <w:rFonts w:cs="Times New Roman"/>
        </w:rPr>
        <w:t>KM</w:t>
      </w:r>
      <w:r w:rsidRPr="00E63584">
        <w:rPr>
          <w:rFonts w:cs="Times New Roman"/>
        </w:rPr>
        <w:t xml:space="preserve"> resor</w:t>
      </w:r>
      <w:r>
        <w:rPr>
          <w:rFonts w:cs="Times New Roman"/>
        </w:rPr>
        <w:t>a IKT organizāciju koncepcijas “</w:t>
      </w:r>
      <w:r w:rsidRPr="00E63584">
        <w:rPr>
          <w:rFonts w:cs="Times New Roman"/>
        </w:rPr>
        <w:t>Valsts informācijas un komunikācijas tehnoloģiju pārvaldības organizatoriskais modelis” izpratnē. Minētajā rīkojumā Kultūras informācijas centram uzdots līdz 2020.</w:t>
      </w:r>
      <w:r>
        <w:rPr>
          <w:rFonts w:cs="Times New Roman"/>
        </w:rPr>
        <w:t xml:space="preserve"> </w:t>
      </w:r>
      <w:r w:rsidRPr="00E63584">
        <w:rPr>
          <w:rFonts w:cs="Times New Roman"/>
        </w:rPr>
        <w:t>gada 30.</w:t>
      </w:r>
      <w:r>
        <w:rPr>
          <w:rFonts w:cs="Times New Roman"/>
        </w:rPr>
        <w:t xml:space="preserve"> </w:t>
      </w:r>
      <w:r w:rsidRPr="00E63584">
        <w:rPr>
          <w:rFonts w:cs="Times New Roman"/>
        </w:rPr>
        <w:t xml:space="preserve">augustam sagatavot un iesniegt </w:t>
      </w:r>
      <w:r>
        <w:rPr>
          <w:rFonts w:cs="Times New Roman"/>
        </w:rPr>
        <w:t>KM</w:t>
      </w:r>
      <w:r w:rsidRPr="00E63584">
        <w:rPr>
          <w:rFonts w:cs="Times New Roman"/>
        </w:rPr>
        <w:t xml:space="preserve"> priekšlikumus grozījumiem </w:t>
      </w:r>
      <w:r>
        <w:rPr>
          <w:rFonts w:cs="Times New Roman"/>
        </w:rPr>
        <w:t>MK</w:t>
      </w:r>
      <w:r w:rsidRPr="00E63584">
        <w:rPr>
          <w:rFonts w:cs="Times New Roman"/>
        </w:rPr>
        <w:t xml:space="preserve"> 2012.</w:t>
      </w:r>
      <w:r>
        <w:rPr>
          <w:rFonts w:cs="Times New Roman"/>
        </w:rPr>
        <w:t xml:space="preserve"> </w:t>
      </w:r>
      <w:r w:rsidRPr="00E63584">
        <w:rPr>
          <w:rFonts w:cs="Times New Roman"/>
        </w:rPr>
        <w:t>gada 18.</w:t>
      </w:r>
      <w:r>
        <w:rPr>
          <w:rFonts w:cs="Times New Roman"/>
        </w:rPr>
        <w:t xml:space="preserve"> decembra noteikumos Nr.928 “</w:t>
      </w:r>
      <w:r w:rsidRPr="00E63584">
        <w:rPr>
          <w:rFonts w:cs="Times New Roman"/>
        </w:rPr>
        <w:t>Kultūras informācijas sistēmu centra nolikums” atbilstoši res</w:t>
      </w:r>
      <w:r>
        <w:rPr>
          <w:rFonts w:cs="Times New Roman"/>
        </w:rPr>
        <w:t>ora IKT organizācijas uzdevumu i</w:t>
      </w:r>
      <w:r w:rsidRPr="00E63584">
        <w:rPr>
          <w:rFonts w:cs="Times New Roman"/>
        </w:rPr>
        <w:t>zpildei, kā arī līdz 2020.</w:t>
      </w:r>
      <w:r>
        <w:rPr>
          <w:rFonts w:cs="Times New Roman"/>
        </w:rPr>
        <w:t xml:space="preserve"> </w:t>
      </w:r>
      <w:r w:rsidRPr="00E63584">
        <w:rPr>
          <w:rFonts w:cs="Times New Roman"/>
        </w:rPr>
        <w:t>gada 30.</w:t>
      </w:r>
      <w:r>
        <w:rPr>
          <w:rFonts w:cs="Times New Roman"/>
        </w:rPr>
        <w:t xml:space="preserve"> </w:t>
      </w:r>
      <w:r w:rsidRPr="00E63584">
        <w:rPr>
          <w:rFonts w:cs="Times New Roman"/>
        </w:rPr>
        <w:t xml:space="preserve">augustam iesniegt </w:t>
      </w:r>
      <w:r>
        <w:rPr>
          <w:rFonts w:cs="Times New Roman"/>
        </w:rPr>
        <w:t>KM</w:t>
      </w:r>
      <w:r w:rsidRPr="00E63584">
        <w:rPr>
          <w:rFonts w:cs="Times New Roman"/>
        </w:rPr>
        <w:t xml:space="preserve"> priekšlikumus par centra īstenotajām funkcijām, uzdevumiem un aktivitātēm, kas nav tieši saistītas ar IKT resursu pārvaldību un IKT pakalpojumu sniegšanu un atbilst citu </w:t>
      </w:r>
      <w:r>
        <w:rPr>
          <w:rFonts w:cs="Times New Roman"/>
        </w:rPr>
        <w:t>KM</w:t>
      </w:r>
      <w:r w:rsidRPr="00E63584">
        <w:rPr>
          <w:rFonts w:cs="Times New Roman"/>
        </w:rPr>
        <w:t xml:space="preserve"> padotības iestāžu kompetencei, līdz ar to deleģējamas tām. Uz iesniegto priekšlikumu pamata līdz 2020.</w:t>
      </w:r>
      <w:r>
        <w:rPr>
          <w:rFonts w:cs="Times New Roman"/>
        </w:rPr>
        <w:t xml:space="preserve"> </w:t>
      </w:r>
      <w:r w:rsidRPr="00E63584">
        <w:rPr>
          <w:rFonts w:cs="Times New Roman"/>
        </w:rPr>
        <w:t>gada beigām plānots īstenot Kultūras informācijas sistēmu centra reorganizāciju, t</w:t>
      </w:r>
      <w:r>
        <w:rPr>
          <w:rFonts w:cs="Times New Roman"/>
        </w:rPr>
        <w:t>.</w:t>
      </w:r>
      <w:r w:rsidRPr="00E63584">
        <w:rPr>
          <w:rFonts w:cs="Times New Roman"/>
        </w:rPr>
        <w:t xml:space="preserve"> sk</w:t>
      </w:r>
      <w:r>
        <w:rPr>
          <w:rFonts w:cs="Times New Roman"/>
        </w:rPr>
        <w:t>.</w:t>
      </w:r>
      <w:r w:rsidRPr="00E63584">
        <w:rPr>
          <w:rFonts w:cs="Times New Roman"/>
        </w:rPr>
        <w:t xml:space="preserve"> pārdalot uz bibliotēku nozari attiecināmo funkciju un uzdevumu izpildi Latvijas Nacionālajai bibliotēkai.  </w:t>
      </w:r>
    </w:p>
    <w:p w14:paraId="711BC96D" w14:textId="77777777" w:rsidR="00F63ABC" w:rsidRPr="00F63ABC" w:rsidRDefault="00F63ABC" w:rsidP="000965D4">
      <w:pPr>
        <w:spacing w:after="120"/>
        <w:jc w:val="both"/>
        <w:rPr>
          <w:rFonts w:cs="Times New Roman"/>
          <w:b/>
          <w:u w:val="single"/>
        </w:rPr>
      </w:pPr>
      <w:r w:rsidRPr="00F63ABC">
        <w:rPr>
          <w:rFonts w:cs="Times New Roman"/>
          <w:b/>
          <w:u w:val="single"/>
        </w:rPr>
        <w:t>Citi uzdevumi:</w:t>
      </w:r>
    </w:p>
    <w:p w14:paraId="520B5867"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7.punkts Ekonomikas ministrijai</w:t>
      </w:r>
      <w:r w:rsidRPr="00F63ABC">
        <w:rPr>
          <w:rFonts w:cs="Times New Roman"/>
        </w:rPr>
        <w:t xml:space="preserve"> </w:t>
      </w:r>
      <w:r w:rsidRPr="00F63ABC">
        <w:rPr>
          <w:rFonts w:cs="Times New Roman"/>
          <w:i/>
        </w:rPr>
        <w:t>ar 2018. gadu un turpmāk ik gadu līdz kārtējā gada 1. jūlijam veikt pētījumu par prognozētām izmaiņām darba spēka un būvmateriālu izmaksās būvniecības nozarē un publicēt tā rezultātus sava tīmekļa vietnē.</w:t>
      </w:r>
      <w:r w:rsidRPr="00F63ABC">
        <w:rPr>
          <w:rFonts w:cs="Times New Roman"/>
        </w:rPr>
        <w:t>”</w:t>
      </w:r>
    </w:p>
    <w:p w14:paraId="184B405C" w14:textId="56B5D563" w:rsidR="00F63ABC" w:rsidRPr="00F63ABC" w:rsidRDefault="00F63ABC" w:rsidP="000965D4">
      <w:pPr>
        <w:spacing w:after="120"/>
        <w:jc w:val="both"/>
        <w:rPr>
          <w:rFonts w:cs="Times New Roman"/>
        </w:rPr>
      </w:pPr>
      <w:r w:rsidRPr="00F63ABC">
        <w:rPr>
          <w:rFonts w:cs="Times New Roman"/>
        </w:rPr>
        <w:tab/>
        <w:t>Uzdevums ir atcelts un atzīts par aktualitāti zaudējušu (2019.</w:t>
      </w:r>
      <w:r w:rsidR="009062B0">
        <w:rPr>
          <w:rFonts w:cs="Times New Roman"/>
        </w:rPr>
        <w:t xml:space="preserve"> </w:t>
      </w:r>
      <w:r w:rsidRPr="00F63ABC">
        <w:rPr>
          <w:rFonts w:cs="Times New Roman"/>
        </w:rPr>
        <w:t>gada 23.</w:t>
      </w:r>
      <w:r w:rsidR="009062B0">
        <w:rPr>
          <w:rFonts w:cs="Times New Roman"/>
        </w:rPr>
        <w:t xml:space="preserve"> </w:t>
      </w:r>
      <w:r w:rsidRPr="00F63ABC">
        <w:rPr>
          <w:rFonts w:cs="Times New Roman"/>
        </w:rPr>
        <w:t>aprīļa MK sēdes prot. Nr.21 23.§ 4.punkts).</w:t>
      </w:r>
    </w:p>
    <w:p w14:paraId="19F0D434" w14:textId="38471774" w:rsidR="00593F5F" w:rsidRDefault="00F63ABC" w:rsidP="00F664D8">
      <w:pPr>
        <w:spacing w:before="120" w:after="0"/>
        <w:jc w:val="center"/>
        <w:rPr>
          <w:rFonts w:cs="Times New Roman"/>
          <w:b/>
        </w:rPr>
      </w:pPr>
      <w:r w:rsidRPr="00F63ABC">
        <w:rPr>
          <w:rFonts w:cs="Times New Roman"/>
          <w:b/>
        </w:rPr>
        <w:t>Izpildes statuss par MK 2016.</w:t>
      </w:r>
      <w:r w:rsidR="005E1561">
        <w:rPr>
          <w:rFonts w:cs="Times New Roman"/>
          <w:b/>
        </w:rPr>
        <w:t xml:space="preserve"> </w:t>
      </w:r>
      <w:r w:rsidRPr="00F63ABC">
        <w:rPr>
          <w:rFonts w:cs="Times New Roman"/>
          <w:b/>
        </w:rPr>
        <w:t>gada 31.</w:t>
      </w:r>
      <w:r w:rsidR="005E1561">
        <w:rPr>
          <w:rFonts w:cs="Times New Roman"/>
          <w:b/>
        </w:rPr>
        <w:t xml:space="preserve"> </w:t>
      </w:r>
      <w:r w:rsidRPr="00F63ABC">
        <w:rPr>
          <w:rFonts w:cs="Times New Roman"/>
          <w:b/>
        </w:rPr>
        <w:t xml:space="preserve">maija </w:t>
      </w:r>
    </w:p>
    <w:p w14:paraId="47098D02" w14:textId="77777777" w:rsidR="00F63ABC" w:rsidRPr="00F63ABC" w:rsidRDefault="00F63ABC" w:rsidP="00F664D8">
      <w:pPr>
        <w:spacing w:after="120"/>
        <w:jc w:val="center"/>
        <w:rPr>
          <w:rFonts w:cs="Times New Roman"/>
          <w:b/>
        </w:rPr>
      </w:pPr>
      <w:r w:rsidRPr="00F63ABC">
        <w:rPr>
          <w:rFonts w:cs="Times New Roman"/>
          <w:b/>
        </w:rPr>
        <w:t>sēdes protokola Nr. 26 39.§ uzdevumiem</w:t>
      </w:r>
    </w:p>
    <w:p w14:paraId="54734F75" w14:textId="77777777" w:rsidR="00F63ABC" w:rsidRPr="00F63ABC" w:rsidRDefault="00F63ABC" w:rsidP="000965D4">
      <w:pPr>
        <w:spacing w:after="120"/>
        <w:jc w:val="both"/>
        <w:rPr>
          <w:rFonts w:cs="Times New Roman"/>
          <w:b/>
          <w:u w:val="single"/>
        </w:rPr>
      </w:pPr>
      <w:r w:rsidRPr="00F63ABC">
        <w:rPr>
          <w:rFonts w:cs="Times New Roman"/>
          <w:b/>
          <w:u w:val="single"/>
        </w:rPr>
        <w:t>Izpildītie uzdevumi:</w:t>
      </w:r>
    </w:p>
    <w:p w14:paraId="66BC0B27" w14:textId="77777777" w:rsidR="00F63ABC" w:rsidRPr="00F63ABC" w:rsidRDefault="00F63ABC" w:rsidP="000965D4">
      <w:pPr>
        <w:spacing w:after="120"/>
        <w:jc w:val="both"/>
        <w:rPr>
          <w:rFonts w:cs="Times New Roman"/>
        </w:rPr>
      </w:pPr>
      <w:r w:rsidRPr="00F63ABC">
        <w:rPr>
          <w:rFonts w:cs="Times New Roman"/>
        </w:rPr>
        <w:t>“</w:t>
      </w:r>
      <w:r w:rsidRPr="00F63ABC">
        <w:rPr>
          <w:rFonts w:cs="Times New Roman"/>
          <w:b/>
        </w:rPr>
        <w:t>6.12.punkts</w:t>
      </w:r>
      <w:r w:rsidRPr="00F63ABC">
        <w:rPr>
          <w:rFonts w:cs="Times New Roman"/>
        </w:rPr>
        <w:t xml:space="preserve"> </w:t>
      </w:r>
      <w:r w:rsidRPr="00F63ABC">
        <w:rPr>
          <w:rFonts w:cs="Times New Roman"/>
          <w:i/>
        </w:rPr>
        <w:t>Noteikt, ka valsts akciju sabiedrībai “Latvijas Pasts” nav jāmaksā dividendes no tīrās peļņas par 2015.gadu. Satiksmes ministrijai kā valsts akciju sabiedrības “Latvijas Pasts” kapitāla daļu turētājai nodrošināt, ka 2015.gadā 90% no tīrās peļņas tiek novirzīta zaudējumu segšanai par abonētas preses piegādi par 2016.gadu.</w:t>
      </w:r>
      <w:r w:rsidRPr="00F63ABC">
        <w:rPr>
          <w:rFonts w:cs="Times New Roman"/>
        </w:rPr>
        <w:t xml:space="preserve"> </w:t>
      </w:r>
      <w:r w:rsidRPr="00F63ABC">
        <w:rPr>
          <w:rFonts w:cs="Times New Roman"/>
          <w:b/>
        </w:rPr>
        <w:t>Satiksmes ministrijai</w:t>
      </w:r>
      <w:r w:rsidRPr="00F63ABC">
        <w:rPr>
          <w:rFonts w:cs="Times New Roman"/>
        </w:rPr>
        <w:t xml:space="preserve"> </w:t>
      </w:r>
      <w:r w:rsidRPr="00F63ABC">
        <w:rPr>
          <w:rFonts w:cs="Times New Roman"/>
          <w:i/>
        </w:rPr>
        <w:t>sagatavot un atbilstoši vidēja termiņa budžeta ietvara likuma projekta un gadskārtējā valsts budžeta likuma projekta izstrādes un iesniegšanas grafikam iesniegt izskatīšanai Ministru kabinetā likumprojektu par grozījumiem Pasta likumā, paredzot valsts budžeta kompensācijas Latvijas Pastam par zaudējumiem par abonētās preses izdevumu piegādes pakalpojumiem par 2016. gadu samazinājumu atbilstoši valstij dividendēs izmaksājamās valsts akciju sabiedrības "Latvijas Pasts" peļņas daļai par 2015.gadu, kas novirzīta šim mērķim. Šajā apakšpunktā noteiktā uzdevuma izpildei nepieciešamo likumprojektu iekļaut valsts budžeta 2017.gadam likumprojektu paketē. Vienlaikus Satiksmes ministrijai līdz 2017.gada 30. jūnijam sagatavot un iesniegt izskatīšanai Ministru kabinetā priekšlikumu par alternatīvu risinājumu, finansējuma samazinājumu vai avota maiņu attiecībā uz Pasta likumā noteikto pienākumu no valsts budžeta Latvijas Pastam segt zaudējumus par abonētās preses izdevumu piegādes pakalpojumiem, sākot ar periodu par abonētas preses piegādi par 2017.gadu.</w:t>
      </w:r>
      <w:r w:rsidRPr="00F63ABC">
        <w:rPr>
          <w:rFonts w:cs="Times New Roman"/>
        </w:rPr>
        <w:t>”</w:t>
      </w:r>
    </w:p>
    <w:p w14:paraId="5704B43A" w14:textId="35EDD444" w:rsidR="00F63ABC" w:rsidRDefault="00F63ABC" w:rsidP="000965D4">
      <w:pPr>
        <w:spacing w:after="120"/>
        <w:jc w:val="both"/>
        <w:rPr>
          <w:rFonts w:cs="Times New Roman"/>
        </w:rPr>
      </w:pPr>
      <w:r w:rsidRPr="00F63ABC">
        <w:rPr>
          <w:rFonts w:cs="Times New Roman"/>
        </w:rPr>
        <w:tab/>
        <w:t>2019.</w:t>
      </w:r>
      <w:r w:rsidR="009062B0">
        <w:rPr>
          <w:rFonts w:cs="Times New Roman"/>
        </w:rPr>
        <w:t xml:space="preserve"> </w:t>
      </w:r>
      <w:r w:rsidRPr="00F63ABC">
        <w:rPr>
          <w:rFonts w:cs="Times New Roman"/>
        </w:rPr>
        <w:t>gadā tika veikti grozījumi “Pasta likumā” (stājas spēkā 2019.</w:t>
      </w:r>
      <w:r w:rsidR="009062B0">
        <w:rPr>
          <w:rFonts w:cs="Times New Roman"/>
        </w:rPr>
        <w:t xml:space="preserve"> </w:t>
      </w:r>
      <w:r w:rsidRPr="00F63ABC">
        <w:rPr>
          <w:rFonts w:cs="Times New Roman"/>
        </w:rPr>
        <w:t>gada 21.</w:t>
      </w:r>
      <w:r w:rsidR="009062B0">
        <w:rPr>
          <w:rFonts w:cs="Times New Roman"/>
        </w:rPr>
        <w:t xml:space="preserve"> </w:t>
      </w:r>
      <w:r w:rsidRPr="00F63ABC">
        <w:rPr>
          <w:rFonts w:cs="Times New Roman"/>
        </w:rPr>
        <w:t>septembrī), kuri paredz pagarināt esošo abonēto preses izdevumu piegādes regulējumu līdz 2020.</w:t>
      </w:r>
      <w:r w:rsidR="009062B0">
        <w:rPr>
          <w:rFonts w:cs="Times New Roman"/>
        </w:rPr>
        <w:t xml:space="preserve"> </w:t>
      </w:r>
      <w:r w:rsidRPr="00F63ABC">
        <w:rPr>
          <w:rFonts w:cs="Times New Roman"/>
        </w:rPr>
        <w:t>gada 31.</w:t>
      </w:r>
      <w:r w:rsidR="009062B0">
        <w:rPr>
          <w:rFonts w:cs="Times New Roman"/>
        </w:rPr>
        <w:t xml:space="preserve"> </w:t>
      </w:r>
      <w:r w:rsidRPr="00F63ABC">
        <w:rPr>
          <w:rFonts w:cs="Times New Roman"/>
        </w:rPr>
        <w:t>decembrim. Likumā “Par valsts budžetu 2020.gadam” šim pasākumam finansējums 2020.</w:t>
      </w:r>
      <w:r w:rsidR="009062B0">
        <w:rPr>
          <w:rFonts w:cs="Times New Roman"/>
        </w:rPr>
        <w:t xml:space="preserve"> </w:t>
      </w:r>
      <w:r w:rsidRPr="00F63ABC">
        <w:rPr>
          <w:rFonts w:cs="Times New Roman"/>
        </w:rPr>
        <w:t xml:space="preserve">gadā paredzēts 5 762 761 </w:t>
      </w:r>
      <w:r w:rsidRPr="00F63ABC">
        <w:rPr>
          <w:rFonts w:cs="Times New Roman"/>
          <w:i/>
        </w:rPr>
        <w:t>euro</w:t>
      </w:r>
      <w:r w:rsidRPr="00F63ABC">
        <w:rPr>
          <w:rFonts w:cs="Times New Roman"/>
        </w:rPr>
        <w:t xml:space="preserve"> (zaudējumu segšanai par 2019.</w:t>
      </w:r>
      <w:r w:rsidR="009062B0">
        <w:rPr>
          <w:rFonts w:cs="Times New Roman"/>
        </w:rPr>
        <w:t xml:space="preserve"> </w:t>
      </w:r>
      <w:r w:rsidRPr="00F63ABC">
        <w:rPr>
          <w:rFonts w:cs="Times New Roman"/>
        </w:rPr>
        <w:t>gada II pusgadu un 2020.</w:t>
      </w:r>
      <w:r w:rsidR="009062B0">
        <w:rPr>
          <w:rFonts w:cs="Times New Roman"/>
        </w:rPr>
        <w:t xml:space="preserve"> </w:t>
      </w:r>
      <w:r w:rsidRPr="00F63ABC">
        <w:rPr>
          <w:rFonts w:cs="Times New Roman"/>
        </w:rPr>
        <w:t>gada I pusgadu), savukārt finansējums zaudējumu segšanai par 2020.</w:t>
      </w:r>
      <w:r w:rsidR="009062B0">
        <w:rPr>
          <w:rFonts w:cs="Times New Roman"/>
        </w:rPr>
        <w:t xml:space="preserve"> </w:t>
      </w:r>
      <w:r w:rsidRPr="00F63ABC">
        <w:rPr>
          <w:rFonts w:cs="Times New Roman"/>
        </w:rPr>
        <w:t>gada II pusgadu nav piešķirts un saskaņā ar MK 2019.</w:t>
      </w:r>
      <w:r w:rsidR="009062B0">
        <w:rPr>
          <w:rFonts w:cs="Times New Roman"/>
        </w:rPr>
        <w:t xml:space="preserve"> </w:t>
      </w:r>
      <w:r w:rsidRPr="00F63ABC">
        <w:rPr>
          <w:rFonts w:cs="Times New Roman"/>
        </w:rPr>
        <w:t>gada 17.</w:t>
      </w:r>
      <w:r w:rsidR="009062B0">
        <w:rPr>
          <w:rFonts w:cs="Times New Roman"/>
        </w:rPr>
        <w:t xml:space="preserve"> </w:t>
      </w:r>
      <w:r w:rsidRPr="00F63ABC">
        <w:rPr>
          <w:rFonts w:cs="Times New Roman"/>
        </w:rPr>
        <w:t>septembra prot. Nr.42 34.§ 17.4.</w:t>
      </w:r>
      <w:r w:rsidR="009062B0">
        <w:rPr>
          <w:rFonts w:cs="Times New Roman"/>
        </w:rPr>
        <w:t xml:space="preserve"> </w:t>
      </w:r>
      <w:r w:rsidRPr="00F63ABC">
        <w:rPr>
          <w:rFonts w:cs="Times New Roman"/>
        </w:rPr>
        <w:t xml:space="preserve">apakšpunktu ir risināms </w:t>
      </w:r>
      <w:r w:rsidRPr="00F63ABC">
        <w:rPr>
          <w:rFonts w:cs="Times New Roman"/>
        </w:rPr>
        <w:lastRenderedPageBreak/>
        <w:t xml:space="preserve">likumprojekta </w:t>
      </w:r>
      <w:r w:rsidR="009062B0">
        <w:rPr>
          <w:rFonts w:cs="Times New Roman"/>
        </w:rPr>
        <w:t>“</w:t>
      </w:r>
      <w:r w:rsidRPr="00F63ABC">
        <w:rPr>
          <w:rFonts w:cs="Times New Roman"/>
        </w:rPr>
        <w:t>Par valsts budžetu 2021.gadam</w:t>
      </w:r>
      <w:r w:rsidR="009062B0">
        <w:rPr>
          <w:rFonts w:cs="Times New Roman"/>
        </w:rPr>
        <w:t>”</w:t>
      </w:r>
      <w:r w:rsidRPr="00F63ABC">
        <w:rPr>
          <w:rFonts w:cs="Times New Roman"/>
        </w:rPr>
        <w:t xml:space="preserve"> un likumprojekta </w:t>
      </w:r>
      <w:r w:rsidR="009062B0">
        <w:rPr>
          <w:rFonts w:cs="Times New Roman"/>
        </w:rPr>
        <w:t>“</w:t>
      </w:r>
      <w:r w:rsidRPr="00F63ABC">
        <w:rPr>
          <w:rFonts w:cs="Times New Roman"/>
        </w:rPr>
        <w:t>Par vidēja termiņa budžeta ietvaru 2021., 2022. un 2023.gadam</w:t>
      </w:r>
      <w:r w:rsidR="009062B0">
        <w:rPr>
          <w:rFonts w:cs="Times New Roman"/>
        </w:rPr>
        <w:t>”</w:t>
      </w:r>
      <w:r w:rsidRPr="00F63ABC">
        <w:rPr>
          <w:rFonts w:cs="Times New Roman"/>
        </w:rPr>
        <w:t xml:space="preserve"> sagatavošanas procesā.</w:t>
      </w:r>
    </w:p>
    <w:p w14:paraId="6A8305D6" w14:textId="3A106A91" w:rsidR="0021791C" w:rsidRPr="0021791C" w:rsidRDefault="0021791C" w:rsidP="0021791C">
      <w:pPr>
        <w:ind w:firstLine="720"/>
        <w:jc w:val="both"/>
      </w:pPr>
      <w:r w:rsidRPr="007B34CF">
        <w:t xml:space="preserve">2020. gada 30. jūnija MK sēdē </w:t>
      </w:r>
      <w:r>
        <w:t xml:space="preserve">tika </w:t>
      </w:r>
      <w:r w:rsidRPr="007B34CF">
        <w:t xml:space="preserve">izskatīts KM konceptuālais ziņojums </w:t>
      </w:r>
      <w:r w:rsidR="009062B0">
        <w:t>“</w:t>
      </w:r>
      <w:r w:rsidRPr="007B34CF">
        <w:t>Abonētās preses izdevumu piegādes nodrošināšana un drukāto mediju atbalsta pilnveides iespējas</w:t>
      </w:r>
      <w:r w:rsidR="009062B0">
        <w:t>”</w:t>
      </w:r>
      <w:r w:rsidRPr="007B34CF">
        <w:t>,</w:t>
      </w:r>
      <w:r w:rsidR="009062B0">
        <w:t xml:space="preserve"> kurā paredzētā jauna kārtība saistībā ar abonētās preses izdevumu piegādes nodrošināšanu.</w:t>
      </w:r>
    </w:p>
    <w:p w14:paraId="3F83CABE" w14:textId="77777777" w:rsidR="00F63ABC" w:rsidRPr="00F63ABC" w:rsidRDefault="0014017A" w:rsidP="000965D4">
      <w:pPr>
        <w:spacing w:after="120"/>
        <w:jc w:val="both"/>
        <w:rPr>
          <w:rFonts w:cs="Times New Roman"/>
        </w:rPr>
      </w:pPr>
      <w:r w:rsidRPr="00F63ABC">
        <w:rPr>
          <w:rFonts w:cs="Times New Roman"/>
        </w:rPr>
        <w:t xml:space="preserve"> </w:t>
      </w:r>
      <w:r w:rsidR="00F63ABC" w:rsidRPr="00F63ABC">
        <w:rPr>
          <w:rFonts w:cs="Times New Roman"/>
        </w:rPr>
        <w:t>“</w:t>
      </w:r>
      <w:r w:rsidR="00F63ABC" w:rsidRPr="00F63ABC">
        <w:rPr>
          <w:rFonts w:cs="Times New Roman"/>
          <w:b/>
        </w:rPr>
        <w:t>6.10.2.punkts Izglītības un zinātnes ministrijai sadarbībā ar Labklājības ministriju</w:t>
      </w:r>
      <w:r w:rsidR="00F63ABC" w:rsidRPr="00F63ABC">
        <w:rPr>
          <w:rFonts w:cs="Times New Roman"/>
        </w:rPr>
        <w:t xml:space="preserve"> </w:t>
      </w:r>
      <w:r w:rsidR="00F63ABC" w:rsidRPr="00F63ABC">
        <w:rPr>
          <w:rFonts w:cs="Times New Roman"/>
          <w:i/>
        </w:rPr>
        <w:t>līdz 2018.gada 1.jūlijam - par finansējumu asistenta pakalpojuma nodrošināšanai personai ar invaliditāti pārvietošanas atbalstam un pašaprūpes veikšanai.</w:t>
      </w:r>
      <w:r w:rsidR="00F63ABC" w:rsidRPr="00F63ABC">
        <w:rPr>
          <w:rFonts w:cs="Times New Roman"/>
        </w:rPr>
        <w:t>”</w:t>
      </w:r>
    </w:p>
    <w:p w14:paraId="3E05B95C" w14:textId="161512C6" w:rsidR="00117054" w:rsidRDefault="00F63ABC" w:rsidP="000965D4">
      <w:pPr>
        <w:spacing w:after="120"/>
        <w:ind w:firstLine="720"/>
        <w:jc w:val="both"/>
        <w:rPr>
          <w:rFonts w:cs="Times New Roman"/>
        </w:rPr>
      </w:pPr>
      <w:r w:rsidRPr="00F63ABC">
        <w:rPr>
          <w:rFonts w:cs="Times New Roman"/>
        </w:rPr>
        <w:t>2019.</w:t>
      </w:r>
      <w:r w:rsidR="009062B0">
        <w:rPr>
          <w:rFonts w:cs="Times New Roman"/>
        </w:rPr>
        <w:t xml:space="preserve"> </w:t>
      </w:r>
      <w:r w:rsidRPr="00F63ABC">
        <w:rPr>
          <w:rFonts w:cs="Times New Roman"/>
        </w:rPr>
        <w:t>gada 3.</w:t>
      </w:r>
      <w:r w:rsidR="009062B0">
        <w:rPr>
          <w:rFonts w:cs="Times New Roman"/>
        </w:rPr>
        <w:t xml:space="preserve"> </w:t>
      </w:r>
      <w:r w:rsidRPr="00F63ABC">
        <w:rPr>
          <w:rFonts w:cs="Times New Roman"/>
        </w:rPr>
        <w:t xml:space="preserve">septembrī MK (prot.Nr.37 25.§) ir pieņemts zināšanai PKC sagatavotais konceptuālais ziņojums “Starpnozaru sadarbības un atbalsta sistēmas pilnveide bērnu attīstības, uzvedības un psihisko traucējumu veidošanās risku mazināšanai”, kurš paredz izveidot Pedagoģiski psiholoģisko atbalsta dienestu, kurš </w:t>
      </w:r>
      <w:r w:rsidR="00085FCF">
        <w:rPr>
          <w:rFonts w:cs="Times New Roman"/>
        </w:rPr>
        <w:t xml:space="preserve">nodrošinātu </w:t>
      </w:r>
      <w:r w:rsidR="00085FCF" w:rsidRPr="00085FCF">
        <w:rPr>
          <w:rFonts w:cs="Times New Roman"/>
        </w:rPr>
        <w:t>asistenta izglītībā (atbalsta speciālistu) pakalpojuma nepieciešamību izglītojamajam ieviešanu un nostiprināšanu izglītības iestādē</w:t>
      </w:r>
      <w:r w:rsidR="00085FCF">
        <w:rPr>
          <w:rFonts w:cs="Times New Roman"/>
        </w:rPr>
        <w:t>.</w:t>
      </w:r>
      <w:r w:rsidR="00085FCF" w:rsidRPr="00085FCF">
        <w:rPr>
          <w:rFonts w:cs="Times New Roman"/>
        </w:rPr>
        <w:t xml:space="preserve"> </w:t>
      </w:r>
    </w:p>
    <w:p w14:paraId="7CA4CC32" w14:textId="1CFFE466" w:rsidR="00F63ABC" w:rsidRDefault="00117054" w:rsidP="00FF75DC">
      <w:pPr>
        <w:spacing w:after="120"/>
        <w:ind w:firstLine="720"/>
        <w:jc w:val="both"/>
        <w:rPr>
          <w:rFonts w:cs="Times New Roman"/>
        </w:rPr>
      </w:pPr>
      <w:r w:rsidRPr="00117054">
        <w:rPr>
          <w:rFonts w:cs="Times New Roman"/>
        </w:rPr>
        <w:t>Veicot funkciju analīzi 2020.</w:t>
      </w:r>
      <w:r w:rsidR="009062B0">
        <w:rPr>
          <w:rFonts w:cs="Times New Roman"/>
        </w:rPr>
        <w:t xml:space="preserve"> </w:t>
      </w:r>
      <w:r w:rsidRPr="00117054">
        <w:rPr>
          <w:rFonts w:cs="Times New Roman"/>
        </w:rPr>
        <w:t>gada izdevumu pārskatīšanas ie</w:t>
      </w:r>
      <w:r w:rsidR="005E6A81">
        <w:rPr>
          <w:rFonts w:cs="Times New Roman"/>
        </w:rPr>
        <w:t>t</w:t>
      </w:r>
      <w:r w:rsidRPr="00117054">
        <w:rPr>
          <w:rFonts w:cs="Times New Roman"/>
        </w:rPr>
        <w:t xml:space="preserve">varos, tika konstatēta joprojām funkcijas </w:t>
      </w:r>
      <w:r>
        <w:rPr>
          <w:rFonts w:cs="Times New Roman"/>
        </w:rPr>
        <w:t>“</w:t>
      </w:r>
      <w:r w:rsidRPr="00117054">
        <w:rPr>
          <w:rFonts w:cs="Times New Roman"/>
        </w:rPr>
        <w:t>asistenta pakalpojuma nodrošināšana personai ar invaliditāti pārvietošanas atbalstam un pašaprūpes veikšanai</w:t>
      </w:r>
      <w:r>
        <w:rPr>
          <w:rFonts w:cs="Times New Roman"/>
        </w:rPr>
        <w:t>”</w:t>
      </w:r>
      <w:r w:rsidRPr="00117054">
        <w:rPr>
          <w:rFonts w:cs="Times New Roman"/>
        </w:rPr>
        <w:t xml:space="preserve"> </w:t>
      </w:r>
      <w:r>
        <w:rPr>
          <w:rFonts w:cs="Times New Roman"/>
        </w:rPr>
        <w:t xml:space="preserve">izpildes pārklāšanās, attiecīgi tiks noteikts </w:t>
      </w:r>
      <w:r w:rsidRPr="00117054">
        <w:rPr>
          <w:rFonts w:cs="Times New Roman"/>
        </w:rPr>
        <w:t>iesaistītajām pusēm</w:t>
      </w:r>
      <w:r>
        <w:rPr>
          <w:rFonts w:cs="Times New Roman"/>
        </w:rPr>
        <w:t xml:space="preserve"> rast risinājumu funkcijas efektīvai nodrošināšanai</w:t>
      </w:r>
      <w:r w:rsidR="00F63ABC" w:rsidRPr="00117054">
        <w:rPr>
          <w:rFonts w:cs="Times New Roman"/>
        </w:rPr>
        <w:t>.</w:t>
      </w:r>
    </w:p>
    <w:p w14:paraId="593A88D5" w14:textId="77777777" w:rsidR="00895E21" w:rsidRDefault="00895E21" w:rsidP="00FF75DC">
      <w:pPr>
        <w:spacing w:after="120"/>
        <w:ind w:firstLine="720"/>
        <w:jc w:val="both"/>
        <w:rPr>
          <w:rFonts w:cs="Times New Roman"/>
        </w:rPr>
      </w:pPr>
    </w:p>
    <w:p w14:paraId="4D9B4B0A" w14:textId="70F72A02" w:rsidR="00483024" w:rsidRDefault="00483024" w:rsidP="00F302CC">
      <w:pPr>
        <w:tabs>
          <w:tab w:val="left" w:pos="3147"/>
        </w:tabs>
        <w:spacing w:after="120"/>
        <w:jc w:val="both"/>
        <w:rPr>
          <w:rFonts w:cs="Times New Roman"/>
        </w:rPr>
      </w:pPr>
    </w:p>
    <w:p w14:paraId="1B26C8F6" w14:textId="67D327D2" w:rsidR="00F302CC" w:rsidRDefault="00F302CC" w:rsidP="00F302CC">
      <w:pPr>
        <w:tabs>
          <w:tab w:val="left" w:pos="3147"/>
        </w:tabs>
        <w:spacing w:after="120"/>
        <w:jc w:val="both"/>
        <w:rPr>
          <w:rFonts w:cs="Times New Roman"/>
        </w:rPr>
      </w:pPr>
    </w:p>
    <w:p w14:paraId="2AAB98B4" w14:textId="73219DCF" w:rsidR="00FC5E68" w:rsidRDefault="00FC5E68" w:rsidP="00F302CC">
      <w:pPr>
        <w:tabs>
          <w:tab w:val="left" w:pos="3147"/>
        </w:tabs>
        <w:spacing w:after="120"/>
        <w:jc w:val="both"/>
        <w:rPr>
          <w:rFonts w:cs="Times New Roman"/>
        </w:rPr>
      </w:pPr>
    </w:p>
    <w:p w14:paraId="6BB00781" w14:textId="5F59709B" w:rsidR="00FC5E68" w:rsidRDefault="00FC5E68" w:rsidP="00F302CC">
      <w:pPr>
        <w:tabs>
          <w:tab w:val="left" w:pos="3147"/>
        </w:tabs>
        <w:spacing w:after="120"/>
        <w:jc w:val="both"/>
        <w:rPr>
          <w:rFonts w:cs="Times New Roman"/>
        </w:rPr>
      </w:pPr>
    </w:p>
    <w:p w14:paraId="0541E306" w14:textId="4D2B72CC" w:rsidR="00FC5E68" w:rsidRDefault="00FC5E68" w:rsidP="00F302CC">
      <w:pPr>
        <w:tabs>
          <w:tab w:val="left" w:pos="3147"/>
        </w:tabs>
        <w:spacing w:after="120"/>
        <w:jc w:val="both"/>
        <w:rPr>
          <w:rFonts w:cs="Times New Roman"/>
        </w:rPr>
      </w:pPr>
    </w:p>
    <w:p w14:paraId="16DFEB88" w14:textId="2F756D73" w:rsidR="00FC5E68" w:rsidRDefault="00FC5E68" w:rsidP="00F302CC">
      <w:pPr>
        <w:tabs>
          <w:tab w:val="left" w:pos="3147"/>
        </w:tabs>
        <w:spacing w:after="120"/>
        <w:jc w:val="both"/>
        <w:rPr>
          <w:rFonts w:cs="Times New Roman"/>
        </w:rPr>
      </w:pPr>
    </w:p>
    <w:p w14:paraId="46F4B356" w14:textId="643B618F" w:rsidR="00FC5E68" w:rsidRDefault="00FC5E68" w:rsidP="00F302CC">
      <w:pPr>
        <w:tabs>
          <w:tab w:val="left" w:pos="3147"/>
        </w:tabs>
        <w:spacing w:after="120"/>
        <w:jc w:val="both"/>
        <w:rPr>
          <w:rFonts w:cs="Times New Roman"/>
        </w:rPr>
      </w:pPr>
    </w:p>
    <w:p w14:paraId="551A9FC3" w14:textId="40A419F0" w:rsidR="00FC5E68" w:rsidRDefault="00FC5E68" w:rsidP="00F302CC">
      <w:pPr>
        <w:tabs>
          <w:tab w:val="left" w:pos="3147"/>
        </w:tabs>
        <w:spacing w:after="120"/>
        <w:jc w:val="both"/>
        <w:rPr>
          <w:rFonts w:cs="Times New Roman"/>
        </w:rPr>
      </w:pPr>
    </w:p>
    <w:p w14:paraId="7283EDD1" w14:textId="10E98D89" w:rsidR="00FC5E68" w:rsidRDefault="00FC5E68" w:rsidP="00F302CC">
      <w:pPr>
        <w:tabs>
          <w:tab w:val="left" w:pos="3147"/>
        </w:tabs>
        <w:spacing w:after="120"/>
        <w:jc w:val="both"/>
        <w:rPr>
          <w:rFonts w:cs="Times New Roman"/>
        </w:rPr>
      </w:pPr>
    </w:p>
    <w:p w14:paraId="6AE775D1" w14:textId="167563AC" w:rsidR="00FC5E68" w:rsidRDefault="00FC5E68" w:rsidP="00F302CC">
      <w:pPr>
        <w:tabs>
          <w:tab w:val="left" w:pos="3147"/>
        </w:tabs>
        <w:spacing w:after="120"/>
        <w:jc w:val="both"/>
        <w:rPr>
          <w:rFonts w:cs="Times New Roman"/>
        </w:rPr>
      </w:pPr>
    </w:p>
    <w:p w14:paraId="307D772E" w14:textId="55EDC6BD" w:rsidR="00FC5E68" w:rsidRDefault="00FC5E68" w:rsidP="00F302CC">
      <w:pPr>
        <w:tabs>
          <w:tab w:val="left" w:pos="3147"/>
        </w:tabs>
        <w:spacing w:after="120"/>
        <w:jc w:val="both"/>
        <w:rPr>
          <w:rFonts w:cs="Times New Roman"/>
        </w:rPr>
      </w:pPr>
    </w:p>
    <w:p w14:paraId="62248125" w14:textId="1E12A3D2" w:rsidR="00FC5E68" w:rsidRDefault="00FC5E68" w:rsidP="00F302CC">
      <w:pPr>
        <w:tabs>
          <w:tab w:val="left" w:pos="3147"/>
        </w:tabs>
        <w:spacing w:after="120"/>
        <w:jc w:val="both"/>
        <w:rPr>
          <w:rFonts w:cs="Times New Roman"/>
        </w:rPr>
      </w:pPr>
    </w:p>
    <w:p w14:paraId="4C236E61" w14:textId="77777777" w:rsidR="00FC5E68" w:rsidRPr="00FF75DC" w:rsidRDefault="00FC5E68" w:rsidP="00F302CC">
      <w:pPr>
        <w:tabs>
          <w:tab w:val="left" w:pos="3147"/>
        </w:tabs>
        <w:spacing w:after="120"/>
        <w:jc w:val="both"/>
        <w:rPr>
          <w:rFonts w:cs="Times New Roman"/>
        </w:rPr>
      </w:pPr>
    </w:p>
    <w:p w14:paraId="599A9A92" w14:textId="77777777" w:rsidR="000B1E7B" w:rsidRPr="00A679DD" w:rsidRDefault="000B1E7B" w:rsidP="000B1E7B">
      <w:pPr>
        <w:pStyle w:val="Heading1"/>
      </w:pPr>
      <w:bookmarkStart w:id="9" w:name="_Toc48200643"/>
      <w:r>
        <w:lastRenderedPageBreak/>
        <w:t>VA</w:t>
      </w:r>
      <w:r w:rsidR="00A4003C">
        <w:t xml:space="preserve">LSTS BUDŽETA FINANSĒTO FUNKCIJU </w:t>
      </w:r>
      <w:r>
        <w:t>ANALĪZE</w:t>
      </w:r>
      <w:bookmarkEnd w:id="9"/>
    </w:p>
    <w:p w14:paraId="1B28A803" w14:textId="7135A9B1" w:rsidR="00D44FE6" w:rsidRDefault="000B1E7B" w:rsidP="00F17C94">
      <w:pPr>
        <w:pStyle w:val="Heading2"/>
        <w:numPr>
          <w:ilvl w:val="1"/>
          <w:numId w:val="2"/>
        </w:numPr>
        <w:spacing w:line="254" w:lineRule="auto"/>
        <w:ind w:left="1077"/>
      </w:pPr>
      <w:bookmarkStart w:id="10" w:name="_Toc48200644"/>
      <w:r w:rsidRPr="000B1E7B">
        <w:t>Valsts budžeta programmu</w:t>
      </w:r>
      <w:r w:rsidR="00F95D0D">
        <w:t>/</w:t>
      </w:r>
      <w:r w:rsidRPr="000B1E7B">
        <w:t>apakšprogrammu stratēģiskās pārskatīšanas matrica</w:t>
      </w:r>
      <w:r w:rsidR="00D44FE6">
        <w:t xml:space="preserve"> </w:t>
      </w:r>
      <w:r w:rsidR="008753F3">
        <w:t xml:space="preserve">detalizācijas līmenis funkcijas un </w:t>
      </w:r>
      <w:r w:rsidR="00D44FE6" w:rsidRPr="00D44FE6">
        <w:t>aktivitātes</w:t>
      </w:r>
      <w:bookmarkEnd w:id="10"/>
    </w:p>
    <w:p w14:paraId="01C22DD2" w14:textId="0700CDD2" w:rsidR="00B26C87" w:rsidRPr="00055CF0" w:rsidRDefault="00B26C87" w:rsidP="007663E9">
      <w:pPr>
        <w:spacing w:after="120"/>
        <w:ind w:firstLine="709"/>
        <w:jc w:val="both"/>
      </w:pPr>
      <w:bookmarkStart w:id="11" w:name="_Ref45797362"/>
      <w:r w:rsidRPr="00C34F5D">
        <w:t>Balstoties uz 2019. gada valsts budžeta izdevumu pārskatīšanas ietvaros izstrādāto “Valsts budžeta programmu/apakšprogrammu stratēģiskās pārskatīšanas matricu” un ņemot vērā ministriju ieteikumus padziļinātākai valsts budžeta programmu</w:t>
      </w:r>
      <w:r>
        <w:t xml:space="preserve"> un </w:t>
      </w:r>
      <w:r w:rsidRPr="00C34F5D">
        <w:t>apakšprogrammu</w:t>
      </w:r>
      <w:r>
        <w:t xml:space="preserve"> (turpmāk – programmu)</w:t>
      </w:r>
      <w:r w:rsidRPr="00C34F5D">
        <w:t xml:space="preserve"> pārskatīšanai, tika izstrādāta valsts budžeta programmu</w:t>
      </w:r>
      <w:r>
        <w:t xml:space="preserve"> </w:t>
      </w:r>
      <w:r w:rsidRPr="00C34F5D">
        <w:t>funkciju</w:t>
      </w:r>
      <w:r>
        <w:t xml:space="preserve"> un </w:t>
      </w:r>
      <w:r w:rsidRPr="00C34F5D">
        <w:t>aktivitāšu</w:t>
      </w:r>
      <w:r>
        <w:t xml:space="preserve"> (turpmāk – funkciju) </w:t>
      </w:r>
      <w:r w:rsidRPr="00C34F5D">
        <w:t>pārskatīš</w:t>
      </w:r>
      <w:r>
        <w:t xml:space="preserve">anas matrica (turpmāk – matrica). </w:t>
      </w:r>
      <w:r w:rsidRPr="00C34F5D">
        <w:t xml:space="preserve">Matrica tika izveidota, lai veicot valsts budžeta izdevumu analīzi pēc vienota parauga un vienādiem vērtēšanas kritērijiem, varētu novērtēt un iegūt informāciju par valsts pamatbudžeta pamatfunkciju programmu </w:t>
      </w:r>
      <w:r w:rsidR="00B86D70">
        <w:t xml:space="preserve">funkciju un </w:t>
      </w:r>
      <w:r w:rsidRPr="00C34F5D">
        <w:t>aktivitāšu aktualitāti un efektivitāti, kā arī iespējamu funkciju pārklāšanos.</w:t>
      </w:r>
    </w:p>
    <w:p w14:paraId="116483A5" w14:textId="5A4A9B22" w:rsidR="00B26C87" w:rsidRPr="00C34F5D" w:rsidRDefault="00B26C87" w:rsidP="007663E9">
      <w:pPr>
        <w:spacing w:after="120"/>
        <w:ind w:firstLine="709"/>
        <w:jc w:val="both"/>
      </w:pPr>
      <w:r w:rsidRPr="00C34F5D">
        <w:t>Par 2020. gada matricas aizpildī</w:t>
      </w:r>
      <w:r w:rsidR="00231324">
        <w:t xml:space="preserve">šanas objektu tika noteiktas – ministriju </w:t>
      </w:r>
      <w:r w:rsidRPr="00C34F5D">
        <w:t>un citu centrālo valsts iestāžu (izņemot neatkarīgās institūcijas) valsts budžeta pamatfunkciju programmu (zemākais līmenis) funkcijas, kā izņēmumus nosakot:</w:t>
      </w:r>
    </w:p>
    <w:p w14:paraId="581B06D1" w14:textId="38AE2B06" w:rsidR="00B26C87" w:rsidRPr="00C34F5D" w:rsidRDefault="00B26C87" w:rsidP="007663E9">
      <w:pPr>
        <w:numPr>
          <w:ilvl w:val="0"/>
          <w:numId w:val="11"/>
        </w:numPr>
        <w:spacing w:after="120"/>
        <w:ind w:left="993"/>
        <w:jc w:val="both"/>
      </w:pPr>
      <w:r w:rsidRPr="00C34F5D">
        <w:t>LM sociālās apdrošināšanas speciālā budžeta programmas/apakšprogrammas, kā arī pamatbudžeta programmas - 04.00.00 “Valsts atbalsts sociālajai apdrošināšanai” un 20.00.00 “Valsts sociālie pabalsti un izdienas pensijas”. Šo programmu/apakšprogrammu izdevumi funkciju nodrošināšanai (pensiju, pabalstu un atlīdzības izmaksas, kā arī savstarpējie transfertu maksājumi) ir noteikti saskaņā ar likumdošanu</w:t>
      </w:r>
      <w:r>
        <w:t>, kas</w:t>
      </w:r>
      <w:r w:rsidRPr="00C34F5D">
        <w:t xml:space="preserve"> paredz attiecīgo sociālo maksājumu veikšanu;</w:t>
      </w:r>
    </w:p>
    <w:p w14:paraId="1FE16169" w14:textId="0CB54ADE" w:rsidR="00B26C87" w:rsidRPr="00C34F5D" w:rsidRDefault="00B26C87" w:rsidP="007663E9">
      <w:pPr>
        <w:numPr>
          <w:ilvl w:val="0"/>
          <w:numId w:val="11"/>
        </w:numPr>
        <w:spacing w:after="120"/>
        <w:ind w:left="993"/>
        <w:jc w:val="both"/>
      </w:pPr>
      <w:r w:rsidRPr="00C34F5D">
        <w:t>FM apakšprogrammas - 31.02.00 “Valsts parāda vadība”, 41.01.00 “Iemaksas Eiropas Savienības budžetā”</w:t>
      </w:r>
      <w:r>
        <w:t xml:space="preserve"> un</w:t>
      </w:r>
      <w:r w:rsidRPr="00C34F5D">
        <w:t xml:space="preserve"> </w:t>
      </w:r>
      <w:r w:rsidR="00F66A39" w:rsidRPr="00C34F5D">
        <w:t>programm</w:t>
      </w:r>
      <w:r w:rsidR="00F66A39">
        <w:t>u</w:t>
      </w:r>
      <w:r w:rsidR="00F66A39" w:rsidRPr="00C34F5D">
        <w:t xml:space="preserve"> </w:t>
      </w:r>
      <w:r w:rsidRPr="00C34F5D">
        <w:t>- 42.00.00 “Valsts budžeta aizdevumi un atmaksāšana”;</w:t>
      </w:r>
    </w:p>
    <w:p w14:paraId="2462B8B0" w14:textId="2205D747" w:rsidR="00B26C87" w:rsidRPr="00C34F5D" w:rsidRDefault="00B26C87" w:rsidP="007663E9">
      <w:pPr>
        <w:numPr>
          <w:ilvl w:val="0"/>
          <w:numId w:val="11"/>
        </w:numPr>
        <w:spacing w:after="120"/>
        <w:ind w:left="993"/>
        <w:jc w:val="both"/>
      </w:pPr>
      <w:r w:rsidRPr="00C34F5D">
        <w:t xml:space="preserve">IeM </w:t>
      </w:r>
      <w:r w:rsidR="00F66A39" w:rsidRPr="00C34F5D">
        <w:t>programm</w:t>
      </w:r>
      <w:r w:rsidR="00F66A39">
        <w:t>u</w:t>
      </w:r>
      <w:r w:rsidR="00F66A39" w:rsidRPr="00C34F5D">
        <w:t xml:space="preserve"> </w:t>
      </w:r>
      <w:r w:rsidRPr="00C34F5D">
        <w:t>09.00.00 “Valsts drošības dienesta darbība”;</w:t>
      </w:r>
    </w:p>
    <w:p w14:paraId="7A53EC9C" w14:textId="0FEF4F5D" w:rsidR="00B26C87" w:rsidRPr="00C34F5D" w:rsidRDefault="00B26C87" w:rsidP="007663E9">
      <w:pPr>
        <w:numPr>
          <w:ilvl w:val="0"/>
          <w:numId w:val="11"/>
        </w:numPr>
        <w:spacing w:after="120"/>
        <w:ind w:left="993"/>
        <w:jc w:val="both"/>
        <w:rPr>
          <w:position w:val="4"/>
        </w:rPr>
      </w:pPr>
      <w:r w:rsidRPr="00C34F5D">
        <w:rPr>
          <w:position w:val="4"/>
        </w:rPr>
        <w:t xml:space="preserve">TM budžeta apakšprogrammas 03.02.00 “Apgabaltiesas un rajonu (pilsētu) tiesas” un 09.02.00 “Fizisko personu datu aizsardzība”, jo LBFV tiesas un </w:t>
      </w:r>
      <w:r w:rsidR="005462B3">
        <w:rPr>
          <w:position w:val="4"/>
        </w:rPr>
        <w:t>Datu valsts inspekcija</w:t>
      </w:r>
      <w:r w:rsidRPr="00C34F5D">
        <w:rPr>
          <w:position w:val="4"/>
        </w:rPr>
        <w:t xml:space="preserve"> ir noteiktas kā neatkarīgas institūcijas sava budžeta veidošanā; budžeta programma 10.00.00 “Noziedzīgi iegūtu līdzekļu konfiskācijas fonds”, jo Noziedzīgi iegūtas mantas ko</w:t>
      </w:r>
      <w:r w:rsidR="00F66A39">
        <w:rPr>
          <w:position w:val="4"/>
        </w:rPr>
        <w:t>nfiskācijas izpildes likuma 45.</w:t>
      </w:r>
      <w:r w:rsidRPr="00C34F5D">
        <w:rPr>
          <w:position w:val="4"/>
        </w:rPr>
        <w:t xml:space="preserve">pants noteic, ka pusi no valsts budžetā ieskaitītajiem konfiscētajiem noziedzīgi iegūtajiem līdzekļiem, bet ne vairāk kā divus miljonus </w:t>
      </w:r>
      <w:r w:rsidRPr="00C34F5D">
        <w:rPr>
          <w:i/>
          <w:position w:val="4"/>
        </w:rPr>
        <w:t>euro</w:t>
      </w:r>
      <w:r w:rsidRPr="00C34F5D">
        <w:rPr>
          <w:position w:val="4"/>
        </w:rPr>
        <w:t xml:space="preserve"> saimnieciskajā gadā novirza TM atsevišķā budžeta programmā, lai nodrošinātu līdzekļu piešķiršanu pasākumiem finanšu un ekonomisko noziegumu apkarošanai un noziedzīgos nodarījumos cietušo atbalsta sniegšanai un par šo līdzekļu sadali lemj Noziedzības novēršanas padome; budžeta programma 43.00.00 “Satversmes aizsardzība</w:t>
      </w:r>
      <w:r>
        <w:rPr>
          <w:position w:val="4"/>
        </w:rPr>
        <w:t>”</w:t>
      </w:r>
      <w:r w:rsidRPr="00C34F5D">
        <w:rPr>
          <w:position w:val="4"/>
        </w:rPr>
        <w:t>, kuras izpildītājs ir S</w:t>
      </w:r>
      <w:r w:rsidR="000E4BCB">
        <w:rPr>
          <w:position w:val="4"/>
        </w:rPr>
        <w:t>atversmes aizsardzības birojs</w:t>
      </w:r>
      <w:r w:rsidRPr="00C34F5D">
        <w:rPr>
          <w:position w:val="4"/>
        </w:rPr>
        <w:t>, kas par sava budžeta izlietošanu un mērķu sasniegšanu atskaitās Nacionālās drošības padomei; budžeta programma 48.00.00 “Tiesiskās un starpvalstu sadarbības pasākumu īstenošana</w:t>
      </w:r>
      <w:r>
        <w:rPr>
          <w:position w:val="4"/>
        </w:rPr>
        <w:t>”</w:t>
      </w:r>
      <w:r w:rsidRPr="00C34F5D">
        <w:rPr>
          <w:position w:val="4"/>
        </w:rPr>
        <w:t>, kuras ietvaros finansējums ir paredzēts Twinning projektu īstenošanai;</w:t>
      </w:r>
    </w:p>
    <w:p w14:paraId="00A9111D" w14:textId="55209436" w:rsidR="00B26C87" w:rsidRPr="00C34F5D" w:rsidRDefault="00B26C87" w:rsidP="007663E9">
      <w:pPr>
        <w:numPr>
          <w:ilvl w:val="0"/>
          <w:numId w:val="11"/>
        </w:numPr>
        <w:spacing w:after="120"/>
        <w:ind w:left="993"/>
        <w:jc w:val="both"/>
        <w:rPr>
          <w:position w:val="4"/>
        </w:rPr>
      </w:pPr>
      <w:r w:rsidRPr="00C34F5D">
        <w:rPr>
          <w:position w:val="4"/>
        </w:rPr>
        <w:lastRenderedPageBreak/>
        <w:t xml:space="preserve">VM </w:t>
      </w:r>
      <w:r w:rsidR="00222955" w:rsidRPr="00C34F5D">
        <w:rPr>
          <w:position w:val="4"/>
        </w:rPr>
        <w:t>apakšprogramm</w:t>
      </w:r>
      <w:r w:rsidR="00222955">
        <w:rPr>
          <w:position w:val="4"/>
        </w:rPr>
        <w:t>u</w:t>
      </w:r>
      <w:r w:rsidR="00222955" w:rsidRPr="00C34F5D">
        <w:rPr>
          <w:position w:val="4"/>
        </w:rPr>
        <w:t xml:space="preserve"> </w:t>
      </w:r>
      <w:r w:rsidRPr="00C34F5D">
        <w:rPr>
          <w:position w:val="4"/>
        </w:rPr>
        <w:t xml:space="preserve">33.07.00 “Valsts galvoto aizdevumu atmaksa”, ņemot vērā, ka matricas mērķis ir veikt valsts budžeta izdevumu analīzi; </w:t>
      </w:r>
    </w:p>
    <w:p w14:paraId="71024380" w14:textId="06EAE252" w:rsidR="00B26C87" w:rsidRPr="00C34F5D" w:rsidRDefault="00B26C87" w:rsidP="007663E9">
      <w:pPr>
        <w:numPr>
          <w:ilvl w:val="0"/>
          <w:numId w:val="11"/>
        </w:numPr>
        <w:spacing w:after="120"/>
        <w:ind w:left="993"/>
        <w:jc w:val="both"/>
        <w:rPr>
          <w:position w:val="4"/>
        </w:rPr>
      </w:pPr>
      <w:r w:rsidRPr="00C34F5D">
        <w:rPr>
          <w:position w:val="4"/>
        </w:rPr>
        <w:t xml:space="preserve">IZM </w:t>
      </w:r>
      <w:r w:rsidR="00222955" w:rsidRPr="00C34F5D">
        <w:rPr>
          <w:position w:val="4"/>
        </w:rPr>
        <w:t>apakšprogramm</w:t>
      </w:r>
      <w:r w:rsidR="00222955">
        <w:rPr>
          <w:position w:val="4"/>
        </w:rPr>
        <w:t>u</w:t>
      </w:r>
      <w:r w:rsidR="00222955" w:rsidRPr="00C34F5D">
        <w:rPr>
          <w:position w:val="4"/>
        </w:rPr>
        <w:t xml:space="preserve"> </w:t>
      </w:r>
      <w:r w:rsidRPr="00C34F5D">
        <w:rPr>
          <w:position w:val="4"/>
        </w:rPr>
        <w:t>05.15.00 “Latvijas Zinātnes padomes darbības nodrošināšan</w:t>
      </w:r>
      <w:r w:rsidR="00231324">
        <w:rPr>
          <w:position w:val="4"/>
        </w:rPr>
        <w:t xml:space="preserve">a”, jo ar 2020. gada 1. jūliju </w:t>
      </w:r>
      <w:r w:rsidRPr="00C34F5D">
        <w:rPr>
          <w:position w:val="4"/>
        </w:rPr>
        <w:t xml:space="preserve">IZM padotībā esošā iestāde - LZP tiks reorganizēta, </w:t>
      </w:r>
      <w:r w:rsidR="00222955" w:rsidRPr="00C34F5D">
        <w:rPr>
          <w:position w:val="4"/>
        </w:rPr>
        <w:t>apakšprogramm</w:t>
      </w:r>
      <w:r w:rsidR="00222955">
        <w:rPr>
          <w:position w:val="4"/>
        </w:rPr>
        <w:t>u</w:t>
      </w:r>
      <w:r w:rsidR="00222955" w:rsidRPr="00C34F5D">
        <w:rPr>
          <w:position w:val="4"/>
        </w:rPr>
        <w:t xml:space="preserve"> </w:t>
      </w:r>
      <w:r w:rsidRPr="00C34F5D">
        <w:rPr>
          <w:position w:val="4"/>
        </w:rPr>
        <w:t>42.08.00 “Studiju un zinātnes administrācijas</w:t>
      </w:r>
      <w:r w:rsidR="00231324">
        <w:rPr>
          <w:position w:val="4"/>
        </w:rPr>
        <w:t xml:space="preserve"> darbības nodrošināšana”, jo ar</w:t>
      </w:r>
      <w:r w:rsidRPr="00C34F5D">
        <w:rPr>
          <w:position w:val="4"/>
        </w:rPr>
        <w:t xml:space="preserve"> 2020. gada 1. jūliju tiks likvidēta IZM padotībā esošā iestāde - </w:t>
      </w:r>
      <w:r w:rsidR="00C73A5F">
        <w:rPr>
          <w:position w:val="4"/>
        </w:rPr>
        <w:t>SZA</w:t>
      </w:r>
      <w:r w:rsidRPr="00C34F5D">
        <w:rPr>
          <w:position w:val="4"/>
        </w:rPr>
        <w:t xml:space="preserve">, </w:t>
      </w:r>
      <w:r w:rsidR="00222955" w:rsidRPr="00C34F5D">
        <w:rPr>
          <w:position w:val="4"/>
        </w:rPr>
        <w:t>apakšprogramm</w:t>
      </w:r>
      <w:r w:rsidR="00222955">
        <w:rPr>
          <w:position w:val="4"/>
        </w:rPr>
        <w:t>u</w:t>
      </w:r>
      <w:r w:rsidR="00222955" w:rsidRPr="00C34F5D">
        <w:rPr>
          <w:position w:val="4"/>
        </w:rPr>
        <w:t xml:space="preserve"> </w:t>
      </w:r>
      <w:r w:rsidRPr="00C34F5D">
        <w:rPr>
          <w:position w:val="4"/>
        </w:rPr>
        <w:t>42.09.00 “Latvijas Zinātnes padome”, jo ar 2020. gada 1. jūliju tiks reorganizēta IZM padotībā esošā iestāde - Latvijas Zinātnes padome;</w:t>
      </w:r>
    </w:p>
    <w:p w14:paraId="7EE467A7" w14:textId="4D2ACF80" w:rsidR="00B26C87" w:rsidRPr="00C34F5D" w:rsidRDefault="00B26C87" w:rsidP="007663E9">
      <w:pPr>
        <w:numPr>
          <w:ilvl w:val="0"/>
          <w:numId w:val="11"/>
        </w:numPr>
        <w:spacing w:after="120"/>
        <w:ind w:left="993"/>
        <w:jc w:val="both"/>
        <w:rPr>
          <w:position w:val="4"/>
        </w:rPr>
      </w:pPr>
      <w:r w:rsidRPr="00C34F5D">
        <w:rPr>
          <w:rFonts w:eastAsia="Times New Roman"/>
          <w:color w:val="000000"/>
          <w:lang w:eastAsia="lv-LV"/>
        </w:rPr>
        <w:t xml:space="preserve">ZM </w:t>
      </w:r>
      <w:r w:rsidR="00222955" w:rsidRPr="00C34F5D">
        <w:rPr>
          <w:rFonts w:eastAsia="Times New Roman"/>
          <w:color w:val="000000"/>
          <w:lang w:eastAsia="lv-LV"/>
        </w:rPr>
        <w:t>apakšprogramm</w:t>
      </w:r>
      <w:r w:rsidR="00222955">
        <w:rPr>
          <w:rFonts w:eastAsia="Times New Roman"/>
          <w:color w:val="000000"/>
          <w:lang w:eastAsia="lv-LV"/>
        </w:rPr>
        <w:t>u</w:t>
      </w:r>
      <w:r w:rsidR="00222955" w:rsidRPr="00C34F5D">
        <w:rPr>
          <w:rFonts w:eastAsia="Times New Roman"/>
          <w:color w:val="000000"/>
          <w:lang w:eastAsia="lv-LV"/>
        </w:rPr>
        <w:t xml:space="preserve"> </w:t>
      </w:r>
      <w:r w:rsidRPr="00C34F5D">
        <w:rPr>
          <w:rFonts w:eastAsia="Times New Roman"/>
          <w:color w:val="000000"/>
          <w:lang w:eastAsia="lv-LV"/>
        </w:rPr>
        <w:t>22.06.00 “Emisijas kvotu izsolīšanas instrumenta finansēto projektu īstenošana</w:t>
      </w:r>
      <w:r w:rsidRPr="00C34F5D">
        <w:rPr>
          <w:position w:val="4"/>
        </w:rPr>
        <w:t>”</w:t>
      </w:r>
      <w:r w:rsidRPr="00C34F5D">
        <w:t>,</w:t>
      </w:r>
      <w:r w:rsidRPr="00C34F5D">
        <w:rPr>
          <w:position w:val="4"/>
        </w:rPr>
        <w:t xml:space="preserve"> </w:t>
      </w:r>
      <w:r w:rsidRPr="00C34F5D">
        <w:t xml:space="preserve">jo no </w:t>
      </w:r>
      <w:r w:rsidRPr="00C34F5D">
        <w:rPr>
          <w:rFonts w:eastAsia="Times New Roman"/>
          <w:color w:val="000000"/>
          <w:lang w:eastAsia="lv-LV"/>
        </w:rPr>
        <w:t>2021.</w:t>
      </w:r>
      <w:r>
        <w:rPr>
          <w:rFonts w:eastAsia="Times New Roman"/>
          <w:color w:val="000000"/>
          <w:lang w:eastAsia="lv-LV"/>
        </w:rPr>
        <w:t xml:space="preserve"> </w:t>
      </w:r>
      <w:r w:rsidRPr="00C34F5D">
        <w:rPr>
          <w:rFonts w:eastAsia="Times New Roman"/>
          <w:color w:val="000000"/>
          <w:lang w:eastAsia="lv-LV"/>
        </w:rPr>
        <w:t>g</w:t>
      </w:r>
      <w:r>
        <w:rPr>
          <w:rFonts w:eastAsia="Times New Roman"/>
          <w:color w:val="000000"/>
          <w:lang w:eastAsia="lv-LV"/>
        </w:rPr>
        <w:t>ada</w:t>
      </w:r>
      <w:r w:rsidRPr="00C34F5D">
        <w:rPr>
          <w:rFonts w:eastAsia="Times New Roman"/>
          <w:color w:val="000000"/>
          <w:lang w:eastAsia="lv-LV"/>
        </w:rPr>
        <w:t xml:space="preserve"> programmai </w:t>
      </w:r>
      <w:r>
        <w:rPr>
          <w:rFonts w:eastAsia="Times New Roman"/>
          <w:color w:val="000000"/>
          <w:lang w:eastAsia="lv-LV"/>
        </w:rPr>
        <w:t>netiek paredzēts</w:t>
      </w:r>
      <w:r w:rsidRPr="00C34F5D">
        <w:rPr>
          <w:rFonts w:eastAsia="Times New Roman"/>
          <w:color w:val="000000"/>
          <w:lang w:eastAsia="lv-LV"/>
        </w:rPr>
        <w:t xml:space="preserve"> finansējum</w:t>
      </w:r>
      <w:r>
        <w:rPr>
          <w:rFonts w:eastAsia="Times New Roman"/>
          <w:color w:val="000000"/>
          <w:lang w:eastAsia="lv-LV"/>
        </w:rPr>
        <w:t>s</w:t>
      </w:r>
      <w:r w:rsidRPr="00C34F5D">
        <w:rPr>
          <w:rFonts w:eastAsia="Times New Roman"/>
          <w:color w:val="000000"/>
          <w:lang w:eastAsia="lv-LV"/>
        </w:rPr>
        <w:t>.</w:t>
      </w:r>
    </w:p>
    <w:p w14:paraId="1B697B77" w14:textId="0410482A" w:rsidR="00B26C87" w:rsidRPr="00C34F5D" w:rsidRDefault="00B26C87" w:rsidP="007663E9">
      <w:pPr>
        <w:spacing w:after="120"/>
        <w:ind w:firstLine="709"/>
        <w:jc w:val="both"/>
      </w:pPr>
      <w:r w:rsidRPr="00C34F5D">
        <w:t>Katrai ministrijai bija jānosaka valsts budžeta pamatfunkciju programmu funkcijas pēc vienotas funkciju nosaukumu sintakses (</w:t>
      </w:r>
      <w:r>
        <w:rPr>
          <w:highlight w:val="yellow"/>
        </w:rPr>
        <w:fldChar w:fldCharType="begin"/>
      </w:r>
      <w:r>
        <w:instrText xml:space="preserve"> REF _Ref46915234 \h </w:instrText>
      </w:r>
      <w:r>
        <w:rPr>
          <w:highlight w:val="yellow"/>
        </w:rPr>
      </w:r>
      <w:r>
        <w:rPr>
          <w:highlight w:val="yellow"/>
        </w:rPr>
        <w:fldChar w:fldCharType="separate"/>
      </w:r>
      <w:r w:rsidR="00D96F20">
        <w:t xml:space="preserve">Attēls Nr. </w:t>
      </w:r>
      <w:r w:rsidR="00D96F20">
        <w:rPr>
          <w:noProof/>
        </w:rPr>
        <w:t>4</w:t>
      </w:r>
      <w:r>
        <w:rPr>
          <w:highlight w:val="yellow"/>
        </w:rPr>
        <w:fldChar w:fldCharType="end"/>
      </w:r>
      <w:r w:rsidRPr="00C34F5D">
        <w:t xml:space="preserve">) un </w:t>
      </w:r>
      <w:r w:rsidRPr="00C34F5D">
        <w:rPr>
          <w:szCs w:val="22"/>
        </w:rPr>
        <w:t xml:space="preserve">balstoties uz ministriju normatīvajiem aktiem, t.sk. ministriju darbību reglamentējošajiem dokumentiem, stratēģijām u.tml. </w:t>
      </w:r>
    </w:p>
    <w:p w14:paraId="38B23935" w14:textId="333EE5F8" w:rsidR="000C11A6" w:rsidRDefault="000C11A6" w:rsidP="000965D4">
      <w:pPr>
        <w:pStyle w:val="Caption"/>
        <w:spacing w:before="0" w:line="259" w:lineRule="auto"/>
        <w:rPr>
          <w:rFonts w:cs="Times New Roman"/>
        </w:rPr>
      </w:pPr>
      <w:bookmarkStart w:id="12" w:name="_Ref46915234"/>
      <w:r>
        <w:t xml:space="preserve">Attēls Nr. </w:t>
      </w:r>
      <w:fldSimple w:instr=" SEQ Attēls_Nr. \* ARABIC ">
        <w:r w:rsidR="00D96F20">
          <w:rPr>
            <w:noProof/>
          </w:rPr>
          <w:t>4</w:t>
        </w:r>
      </w:fldSimple>
      <w:bookmarkEnd w:id="11"/>
      <w:bookmarkEnd w:id="12"/>
    </w:p>
    <w:p w14:paraId="284969D7" w14:textId="77777777" w:rsidR="000C11A6" w:rsidRPr="002D1CE0" w:rsidRDefault="000C11A6" w:rsidP="000965D4">
      <w:pPr>
        <w:spacing w:after="120"/>
        <w:ind w:firstLine="709"/>
        <w:jc w:val="center"/>
        <w:rPr>
          <w:rFonts w:cs="Times New Roman"/>
          <w:b/>
        </w:rPr>
      </w:pPr>
      <w:r w:rsidRPr="002D1CE0">
        <w:rPr>
          <w:rFonts w:cs="Times New Roman"/>
          <w:b/>
        </w:rPr>
        <w:t>Funkciju/aktivitāšu nosaukumu sintakse</w:t>
      </w:r>
    </w:p>
    <w:p w14:paraId="236E30CD" w14:textId="77777777" w:rsidR="000C11A6" w:rsidRPr="000C11A6" w:rsidRDefault="000C11A6" w:rsidP="000965D4">
      <w:pPr>
        <w:spacing w:after="120"/>
        <w:ind w:firstLine="709"/>
        <w:jc w:val="center"/>
      </w:pPr>
      <w:r w:rsidRPr="000C11A6">
        <w:rPr>
          <w:rFonts w:asciiTheme="minorHAnsi" w:hAnsiTheme="minorHAnsi"/>
          <w:noProof/>
          <w:sz w:val="22"/>
          <w:szCs w:val="22"/>
          <w:lang w:eastAsia="lv-LV"/>
        </w:rPr>
        <w:drawing>
          <wp:anchor distT="0" distB="0" distL="114300" distR="114300" simplePos="0" relativeHeight="251665408" behindDoc="0" locked="0" layoutInCell="1" allowOverlap="1" wp14:anchorId="57A1FDF1" wp14:editId="7C97FC42">
            <wp:simplePos x="0" y="0"/>
            <wp:positionH relativeFrom="margin">
              <wp:align>center</wp:align>
            </wp:positionH>
            <wp:positionV relativeFrom="paragraph">
              <wp:posOffset>9525</wp:posOffset>
            </wp:positionV>
            <wp:extent cx="5274310" cy="860738"/>
            <wp:effectExtent l="0" t="0" r="2540" b="0"/>
            <wp:wrapNone/>
            <wp:docPr id="8" name="Picture 8" descr="Sintaktiska defini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taktiska definicij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860738"/>
                    </a:xfrm>
                    <a:prstGeom prst="rect">
                      <a:avLst/>
                    </a:prstGeom>
                    <a:noFill/>
                    <a:ln>
                      <a:noFill/>
                    </a:ln>
                  </pic:spPr>
                </pic:pic>
              </a:graphicData>
            </a:graphic>
          </wp:anchor>
        </w:drawing>
      </w:r>
    </w:p>
    <w:p w14:paraId="5552FE31" w14:textId="77777777" w:rsidR="000C11A6" w:rsidRPr="000C11A6" w:rsidRDefault="000C11A6" w:rsidP="000965D4">
      <w:pPr>
        <w:spacing w:after="120"/>
        <w:ind w:firstLine="709"/>
        <w:jc w:val="both"/>
      </w:pPr>
    </w:p>
    <w:p w14:paraId="6BEE6FD8" w14:textId="77777777" w:rsidR="000C11A6" w:rsidRPr="000C11A6" w:rsidRDefault="000C11A6" w:rsidP="000965D4">
      <w:pPr>
        <w:spacing w:after="120"/>
        <w:rPr>
          <w:rFonts w:asciiTheme="minorHAnsi" w:hAnsiTheme="minorHAnsi"/>
          <w:sz w:val="22"/>
          <w:szCs w:val="22"/>
        </w:rPr>
      </w:pPr>
    </w:p>
    <w:p w14:paraId="3545ADB3" w14:textId="77777777" w:rsidR="000C11A6" w:rsidRPr="000C11A6" w:rsidRDefault="000C11A6" w:rsidP="000965D4">
      <w:pPr>
        <w:spacing w:after="120"/>
        <w:rPr>
          <w:rFonts w:asciiTheme="minorHAnsi" w:hAnsiTheme="minorHAnsi"/>
          <w:sz w:val="22"/>
          <w:szCs w:val="22"/>
        </w:rPr>
      </w:pPr>
    </w:p>
    <w:p w14:paraId="4D258C29" w14:textId="2909D6C9" w:rsidR="00B26C87" w:rsidRPr="00C34F5D" w:rsidRDefault="00B26C87" w:rsidP="000965D4">
      <w:pPr>
        <w:spacing w:after="120"/>
        <w:ind w:firstLine="709"/>
        <w:jc w:val="both"/>
        <w:rPr>
          <w:szCs w:val="22"/>
        </w:rPr>
      </w:pPr>
      <w:bookmarkStart w:id="13" w:name="_Ref45797385"/>
      <w:bookmarkStart w:id="14" w:name="_Ref45798406"/>
      <w:r w:rsidRPr="00C34F5D">
        <w:rPr>
          <w:szCs w:val="22"/>
        </w:rPr>
        <w:t>Veicot analīzi ministrijas tika aicinātas izmantot visu pieejamo informāciju, faktus, pieredzi, rezultatīvos rādītājus, statistiku un citu informāciju. Kā arī veicot aktualitātes – efektivitātes analīzi, apgalvojumus tika aicināts novērtēt objektīvi, nepieciešamības gadījumā rezultātus izdiskutējot iestādes iekšējā darba gru</w:t>
      </w:r>
      <w:r w:rsidR="00231324">
        <w:rPr>
          <w:szCs w:val="22"/>
        </w:rPr>
        <w:t>pā.</w:t>
      </w:r>
    </w:p>
    <w:p w14:paraId="73D9F6AB" w14:textId="10D0A3B5" w:rsidR="000C11A6" w:rsidRPr="00C93791" w:rsidRDefault="00B26C87" w:rsidP="00C93791">
      <w:pPr>
        <w:pStyle w:val="Caption"/>
        <w:spacing w:before="0" w:line="259" w:lineRule="auto"/>
        <w:ind w:firstLine="709"/>
        <w:jc w:val="both"/>
        <w:rPr>
          <w:color w:val="000000" w:themeColor="text1"/>
          <w:szCs w:val="22"/>
        </w:rPr>
      </w:pPr>
      <w:r w:rsidRPr="00C34F5D">
        <w:rPr>
          <w:color w:val="000000" w:themeColor="text1"/>
          <w:szCs w:val="22"/>
        </w:rPr>
        <w:t>Pēc apgalvojumu novērtēšanas un noteikto punktu skaita aktualitātes ass dimensijā un efektivitātes ass dimensijā, tika noteikta funkcijas atrašanās vieta graf</w:t>
      </w:r>
      <w:r w:rsidR="00895E21">
        <w:rPr>
          <w:color w:val="000000" w:themeColor="text1"/>
          <w:szCs w:val="22"/>
        </w:rPr>
        <w:t xml:space="preserve">ikā kādā no četriem </w:t>
      </w:r>
      <w:r w:rsidR="00895E21" w:rsidRPr="00F17C94">
        <w:rPr>
          <w:color w:val="000000" w:themeColor="text1"/>
          <w:szCs w:val="22"/>
        </w:rPr>
        <w:t>kvadr</w:t>
      </w:r>
      <w:r w:rsidR="00F17C94">
        <w:rPr>
          <w:color w:val="000000" w:themeColor="text1"/>
          <w:szCs w:val="22"/>
        </w:rPr>
        <w:t>a</w:t>
      </w:r>
      <w:r w:rsidR="00F17C94" w:rsidRPr="00F17C94">
        <w:rPr>
          <w:color w:val="000000" w:themeColor="text1"/>
          <w:szCs w:val="22"/>
        </w:rPr>
        <w:t>n</w:t>
      </w:r>
      <w:r w:rsidR="00895E21" w:rsidRPr="00F17C94">
        <w:rPr>
          <w:color w:val="000000" w:themeColor="text1"/>
          <w:szCs w:val="22"/>
        </w:rPr>
        <w:t>tiem</w:t>
      </w:r>
      <w:r w:rsidRPr="00C34F5D">
        <w:rPr>
          <w:color w:val="000000" w:themeColor="text1"/>
          <w:szCs w:val="22"/>
        </w:rPr>
        <w:t xml:space="preserve">. </w:t>
      </w:r>
      <w:r w:rsidRPr="00C34F5D">
        <w:rPr>
          <w:szCs w:val="22"/>
        </w:rPr>
        <w:t>Matricas dimensijās maksimālā iegūstamā punktu vē</w:t>
      </w:r>
      <w:bookmarkStart w:id="15" w:name="_Ref46915262"/>
      <w:bookmarkStart w:id="16" w:name="_Ref46994887"/>
      <w:r w:rsidR="00BA356B">
        <w:rPr>
          <w:szCs w:val="22"/>
        </w:rPr>
        <w:t>rtība ir 9, minimālā – 0 punkti.</w:t>
      </w:r>
      <w:bookmarkEnd w:id="13"/>
      <w:bookmarkEnd w:id="14"/>
      <w:bookmarkEnd w:id="15"/>
      <w:bookmarkEnd w:id="16"/>
    </w:p>
    <w:p w14:paraId="0BD90033" w14:textId="77777777" w:rsidR="00B26C87" w:rsidRPr="00C34F5D" w:rsidRDefault="00B26C87" w:rsidP="00F664D8">
      <w:pPr>
        <w:spacing w:after="120"/>
        <w:ind w:firstLine="720"/>
        <w:contextualSpacing/>
        <w:jc w:val="both"/>
        <w:rPr>
          <w:color w:val="000000" w:themeColor="text1"/>
          <w:szCs w:val="22"/>
        </w:rPr>
      </w:pPr>
      <w:r w:rsidRPr="00C34F5D">
        <w:rPr>
          <w:color w:val="000000" w:themeColor="text1"/>
          <w:szCs w:val="22"/>
        </w:rPr>
        <w:t xml:space="preserve">Pēc </w:t>
      </w:r>
      <w:r w:rsidRPr="00CE2AD2">
        <w:rPr>
          <w:color w:val="000000" w:themeColor="text1"/>
          <w:szCs w:val="22"/>
        </w:rPr>
        <w:t xml:space="preserve">funkciju </w:t>
      </w:r>
      <w:r w:rsidRPr="00C34F5D">
        <w:rPr>
          <w:color w:val="000000" w:themeColor="text1"/>
          <w:szCs w:val="22"/>
        </w:rPr>
        <w:t xml:space="preserve">novērtējuma un tās atrašanās konkrētā </w:t>
      </w:r>
      <w:r w:rsidRPr="00F17C94">
        <w:rPr>
          <w:color w:val="000000" w:themeColor="text1"/>
          <w:szCs w:val="22"/>
        </w:rPr>
        <w:t>matricas kvadrantā</w:t>
      </w:r>
      <w:r w:rsidRPr="00C34F5D">
        <w:rPr>
          <w:color w:val="000000" w:themeColor="text1"/>
          <w:szCs w:val="22"/>
        </w:rPr>
        <w:t xml:space="preserve"> ir iespējams diskutēt par tālāku rīcību </w:t>
      </w:r>
      <w:r>
        <w:rPr>
          <w:color w:val="000000" w:themeColor="text1"/>
          <w:szCs w:val="22"/>
        </w:rPr>
        <w:t xml:space="preserve">mainot politikas </w:t>
      </w:r>
      <w:r w:rsidRPr="00C34F5D">
        <w:rPr>
          <w:color w:val="000000" w:themeColor="text1"/>
          <w:szCs w:val="22"/>
        </w:rPr>
        <w:t>funkcijas darbībā:</w:t>
      </w:r>
    </w:p>
    <w:p w14:paraId="1EE96498" w14:textId="77777777" w:rsidR="00B26C87" w:rsidRPr="00C34F5D" w:rsidRDefault="00B26C87" w:rsidP="006A15ED">
      <w:pPr>
        <w:numPr>
          <w:ilvl w:val="0"/>
          <w:numId w:val="10"/>
        </w:numPr>
        <w:spacing w:after="120"/>
        <w:contextualSpacing/>
        <w:jc w:val="both"/>
        <w:rPr>
          <w:color w:val="000000" w:themeColor="text1"/>
          <w:szCs w:val="22"/>
        </w:rPr>
      </w:pPr>
      <w:r w:rsidRPr="00C34F5D">
        <w:rPr>
          <w:color w:val="000000" w:themeColor="text1"/>
          <w:szCs w:val="22"/>
        </w:rPr>
        <w:t>Zema aktualitāte – zema efektivitāte: potenciāls politikas maiņai, nepieciešama padziļinātāka pārskatīšana, pārmaiņas.</w:t>
      </w:r>
    </w:p>
    <w:p w14:paraId="7AC4DA4E" w14:textId="77777777" w:rsidR="00B26C87" w:rsidRPr="00C34F5D" w:rsidRDefault="00B26C87" w:rsidP="006A15ED">
      <w:pPr>
        <w:numPr>
          <w:ilvl w:val="0"/>
          <w:numId w:val="10"/>
        </w:numPr>
        <w:spacing w:after="120"/>
        <w:contextualSpacing/>
        <w:jc w:val="both"/>
        <w:rPr>
          <w:color w:val="000000" w:themeColor="text1"/>
          <w:szCs w:val="22"/>
        </w:rPr>
      </w:pPr>
      <w:r w:rsidRPr="00C34F5D">
        <w:rPr>
          <w:color w:val="000000" w:themeColor="text1"/>
          <w:szCs w:val="22"/>
        </w:rPr>
        <w:t xml:space="preserve">Zema aktualitāte – augsta efektivitāte: potenciāls iespējamiem risinājumiem, nepieciešams detalizētāk izvērtēt aktualitāti. Pat ja ir augsta efektivitāte, funkcijai nav lietderības, ja tā vairs nav aktuāla. </w:t>
      </w:r>
    </w:p>
    <w:p w14:paraId="6CF7E04A" w14:textId="77777777" w:rsidR="00B26C87" w:rsidRPr="00C34F5D" w:rsidRDefault="00B26C87" w:rsidP="006A15ED">
      <w:pPr>
        <w:numPr>
          <w:ilvl w:val="0"/>
          <w:numId w:val="10"/>
        </w:numPr>
        <w:spacing w:after="120"/>
        <w:contextualSpacing/>
        <w:jc w:val="both"/>
        <w:rPr>
          <w:color w:val="000000" w:themeColor="text1"/>
          <w:szCs w:val="22"/>
        </w:rPr>
      </w:pPr>
      <w:r w:rsidRPr="00C34F5D">
        <w:rPr>
          <w:color w:val="000000" w:themeColor="text1"/>
          <w:szCs w:val="22"/>
        </w:rPr>
        <w:t>Augsta aktualitāte – zema efektivitāte: pilnveides nepieciešamība, detalizētāk jāvērtē zemās efektivitātes iemesli, potenciāls iespējamiem risinājumiem.</w:t>
      </w:r>
    </w:p>
    <w:p w14:paraId="7C645DC2" w14:textId="77777777" w:rsidR="00B26C87" w:rsidRPr="00C34F5D" w:rsidRDefault="00B26C87" w:rsidP="006A15ED">
      <w:pPr>
        <w:numPr>
          <w:ilvl w:val="0"/>
          <w:numId w:val="10"/>
        </w:numPr>
        <w:spacing w:after="120"/>
        <w:contextualSpacing/>
        <w:jc w:val="both"/>
        <w:rPr>
          <w:rFonts w:asciiTheme="minorHAnsi" w:hAnsiTheme="minorHAnsi"/>
          <w:color w:val="FF0000"/>
          <w:sz w:val="22"/>
          <w:szCs w:val="22"/>
        </w:rPr>
      </w:pPr>
      <w:r w:rsidRPr="00C34F5D">
        <w:rPr>
          <w:color w:val="000000" w:themeColor="text1"/>
          <w:szCs w:val="22"/>
        </w:rPr>
        <w:t>Augsta aktualitāte – augsta efektivitāte: funkcijas aktualitāte</w:t>
      </w:r>
      <w:r>
        <w:rPr>
          <w:color w:val="000000" w:themeColor="text1"/>
          <w:szCs w:val="22"/>
        </w:rPr>
        <w:t xml:space="preserve"> un </w:t>
      </w:r>
      <w:r w:rsidRPr="00C34F5D">
        <w:rPr>
          <w:color w:val="000000" w:themeColor="text1"/>
          <w:szCs w:val="22"/>
        </w:rPr>
        <w:t>efektivitāte attaisno ieguldītos resursus, nav nepieciešamas izmaiņas.</w:t>
      </w:r>
      <w:r w:rsidRPr="00C34F5D">
        <w:rPr>
          <w:rFonts w:asciiTheme="minorHAnsi" w:hAnsiTheme="minorHAnsi"/>
          <w:color w:val="FF0000"/>
          <w:sz w:val="22"/>
          <w:szCs w:val="22"/>
        </w:rPr>
        <w:t xml:space="preserve"> </w:t>
      </w:r>
    </w:p>
    <w:p w14:paraId="58CD7511" w14:textId="77777777" w:rsidR="00FC5E68" w:rsidRDefault="00FC5E68" w:rsidP="00F17C94">
      <w:pPr>
        <w:spacing w:before="240" w:after="120"/>
        <w:jc w:val="both"/>
        <w:rPr>
          <w:b/>
          <w:szCs w:val="22"/>
        </w:rPr>
      </w:pPr>
    </w:p>
    <w:p w14:paraId="41B48BDE" w14:textId="77777777" w:rsidR="00FC5E68" w:rsidRDefault="00FC5E68" w:rsidP="00F17C94">
      <w:pPr>
        <w:spacing w:before="240" w:after="120"/>
        <w:jc w:val="both"/>
        <w:rPr>
          <w:b/>
          <w:szCs w:val="22"/>
        </w:rPr>
      </w:pPr>
    </w:p>
    <w:p w14:paraId="5B165C0C" w14:textId="4C144C00" w:rsidR="00B26C87" w:rsidRDefault="00B26C87" w:rsidP="00F17C94">
      <w:pPr>
        <w:spacing w:before="240" w:after="120"/>
        <w:jc w:val="both"/>
        <w:rPr>
          <w:szCs w:val="22"/>
        </w:rPr>
      </w:pPr>
      <w:r w:rsidRPr="00CE2AD2">
        <w:rPr>
          <w:b/>
          <w:szCs w:val="22"/>
        </w:rPr>
        <w:lastRenderedPageBreak/>
        <w:t>Rezultāti</w:t>
      </w:r>
      <w:r w:rsidRPr="00C34F5D">
        <w:rPr>
          <w:szCs w:val="22"/>
        </w:rPr>
        <w:tab/>
      </w:r>
    </w:p>
    <w:p w14:paraId="03D62443" w14:textId="733AC96A" w:rsidR="002D57C1" w:rsidRPr="00483024" w:rsidRDefault="00B26C87" w:rsidP="00483024">
      <w:pPr>
        <w:pStyle w:val="Caption"/>
        <w:spacing w:before="0" w:line="259" w:lineRule="auto"/>
        <w:ind w:firstLine="720"/>
        <w:jc w:val="both"/>
        <w:rPr>
          <w:szCs w:val="22"/>
        </w:rPr>
      </w:pPr>
      <w:r w:rsidRPr="00C34F5D">
        <w:rPr>
          <w:szCs w:val="22"/>
        </w:rPr>
        <w:t>Matricas tika saņemtas no visiem 19 resoriem, kopumā pārskatot 236 programmas un kopumā identificējot 489 funkcijas un tām atbilstošu</w:t>
      </w:r>
      <w:r w:rsidR="0050213D">
        <w:rPr>
          <w:szCs w:val="22"/>
        </w:rPr>
        <w:t>s 1 283 rezultatīvos rādītājus</w:t>
      </w:r>
      <w:r w:rsidR="002D57C1">
        <w:rPr>
          <w:szCs w:val="22"/>
        </w:rPr>
        <w:t xml:space="preserve"> (</w:t>
      </w:r>
      <w:r w:rsidR="002D57C1">
        <w:rPr>
          <w:szCs w:val="22"/>
        </w:rPr>
        <w:fldChar w:fldCharType="begin"/>
      </w:r>
      <w:r w:rsidR="002D57C1">
        <w:rPr>
          <w:szCs w:val="22"/>
        </w:rPr>
        <w:instrText xml:space="preserve"> REF _Ref47345416 \h </w:instrText>
      </w:r>
      <w:r w:rsidR="002D57C1">
        <w:rPr>
          <w:szCs w:val="22"/>
        </w:rPr>
      </w:r>
      <w:r w:rsidR="002D57C1">
        <w:rPr>
          <w:szCs w:val="22"/>
        </w:rPr>
        <w:fldChar w:fldCharType="separate"/>
      </w:r>
      <w:r w:rsidR="00D96F20">
        <w:t xml:space="preserve">Attēls Nr. </w:t>
      </w:r>
      <w:r w:rsidR="00D96F20">
        <w:rPr>
          <w:noProof/>
        </w:rPr>
        <w:t>5</w:t>
      </w:r>
      <w:r w:rsidR="002D57C1">
        <w:rPr>
          <w:szCs w:val="22"/>
        </w:rPr>
        <w:fldChar w:fldCharType="end"/>
      </w:r>
      <w:r w:rsidR="002D57C1">
        <w:rPr>
          <w:szCs w:val="22"/>
        </w:rPr>
        <w:t>)</w:t>
      </w:r>
      <w:r w:rsidR="0050213D">
        <w:rPr>
          <w:szCs w:val="22"/>
        </w:rPr>
        <w:t>.</w:t>
      </w:r>
      <w:bookmarkStart w:id="17" w:name="_Ref45797582"/>
      <w:bookmarkStart w:id="18" w:name="_Ref47102290"/>
    </w:p>
    <w:p w14:paraId="4939C108" w14:textId="6C2287CA" w:rsidR="000C11A6" w:rsidRDefault="000C11A6" w:rsidP="000965D4">
      <w:pPr>
        <w:pStyle w:val="Caption"/>
        <w:spacing w:before="0" w:line="259" w:lineRule="auto"/>
        <w:rPr>
          <w:rFonts w:cs="Times New Roman"/>
          <w:b/>
          <w:szCs w:val="22"/>
        </w:rPr>
      </w:pPr>
      <w:bookmarkStart w:id="19" w:name="_Ref47345416"/>
      <w:r>
        <w:t xml:space="preserve">Attēls Nr. </w:t>
      </w:r>
      <w:fldSimple w:instr=" SEQ Attēls_Nr. \* ARABIC ">
        <w:r w:rsidR="00D96F20">
          <w:rPr>
            <w:noProof/>
          </w:rPr>
          <w:t>5</w:t>
        </w:r>
      </w:fldSimple>
      <w:bookmarkEnd w:id="17"/>
      <w:bookmarkEnd w:id="18"/>
      <w:bookmarkEnd w:id="19"/>
    </w:p>
    <w:p w14:paraId="47AF2D91" w14:textId="77777777" w:rsidR="000C11A6" w:rsidRPr="000C11A6" w:rsidRDefault="000C11A6" w:rsidP="000965D4">
      <w:pPr>
        <w:spacing w:after="120"/>
        <w:jc w:val="center"/>
        <w:rPr>
          <w:rFonts w:cs="Times New Roman"/>
          <w:b/>
          <w:szCs w:val="22"/>
        </w:rPr>
      </w:pPr>
      <w:r w:rsidRPr="000C11A6">
        <w:rPr>
          <w:rFonts w:cs="Times New Roman"/>
          <w:b/>
          <w:szCs w:val="22"/>
        </w:rPr>
        <w:t>Valsts stratēģiskās pārskatīšanas matricas kopējā statistika</w:t>
      </w:r>
    </w:p>
    <w:p w14:paraId="2673EF77" w14:textId="3A1D2E31" w:rsidR="000C11A6" w:rsidRPr="000C11A6" w:rsidRDefault="00487BCE" w:rsidP="00487BCE">
      <w:pPr>
        <w:spacing w:after="120"/>
        <w:jc w:val="center"/>
        <w:rPr>
          <w:rFonts w:cs="Times New Roman"/>
          <w:szCs w:val="22"/>
        </w:rPr>
      </w:pPr>
      <w:r w:rsidRPr="00C34F5D">
        <w:rPr>
          <w:rFonts w:asciiTheme="minorHAnsi" w:hAnsiTheme="minorHAnsi"/>
          <w:noProof/>
          <w:sz w:val="22"/>
          <w:szCs w:val="22"/>
          <w:lang w:eastAsia="lv-LV"/>
        </w:rPr>
        <w:drawing>
          <wp:inline distT="0" distB="0" distL="0" distR="0" wp14:anchorId="0C81EFF6" wp14:editId="4C1A1E6B">
            <wp:extent cx="4781244" cy="1828800"/>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18741" cy="1843142"/>
                    </a:xfrm>
                    <a:prstGeom prst="rect">
                      <a:avLst/>
                    </a:prstGeom>
                  </pic:spPr>
                </pic:pic>
              </a:graphicData>
            </a:graphic>
          </wp:inline>
        </w:drawing>
      </w:r>
    </w:p>
    <w:p w14:paraId="78FA2B62" w14:textId="75D24289" w:rsidR="00483024" w:rsidRPr="00222955" w:rsidRDefault="00B26C87" w:rsidP="00222955">
      <w:pPr>
        <w:pStyle w:val="Caption"/>
        <w:spacing w:before="0" w:line="259" w:lineRule="auto"/>
        <w:ind w:firstLine="720"/>
        <w:jc w:val="both"/>
        <w:rPr>
          <w:szCs w:val="22"/>
        </w:rPr>
      </w:pPr>
      <w:bookmarkStart w:id="20" w:name="_Ref45797636"/>
      <w:r w:rsidRPr="00C34F5D">
        <w:rPr>
          <w:szCs w:val="22"/>
        </w:rPr>
        <w:t>Lielākoties (153 gadījumi) visai programmai tika noteikta tikai viena funkcija, kuras nosaukums pamatā sakrita arī ar programmas nosaukumu, divas funkcijas tika identificēta</w:t>
      </w:r>
      <w:r>
        <w:rPr>
          <w:szCs w:val="22"/>
        </w:rPr>
        <w:t>s</w:t>
      </w:r>
      <w:r w:rsidRPr="00C34F5D">
        <w:rPr>
          <w:szCs w:val="22"/>
        </w:rPr>
        <w:t xml:space="preserve"> 27 gadījumos un trīs funkcijas - 22 gadījumos. Lielākais funkciju skaits tika identificēts vienai programmai (17 funkcijas - FM 97.00.00. programmai “Nozaru vadība un politikas plā</w:t>
      </w:r>
      <w:bookmarkStart w:id="21" w:name="_Ref46915351"/>
      <w:bookmarkStart w:id="22" w:name="_Ref47097947"/>
      <w:r w:rsidR="00483024">
        <w:rPr>
          <w:szCs w:val="22"/>
        </w:rPr>
        <w:t>nošana”) (</w:t>
      </w:r>
      <w:r w:rsidR="00483024">
        <w:rPr>
          <w:szCs w:val="22"/>
        </w:rPr>
        <w:fldChar w:fldCharType="begin"/>
      </w:r>
      <w:r w:rsidR="00483024">
        <w:rPr>
          <w:szCs w:val="22"/>
        </w:rPr>
        <w:instrText xml:space="preserve"> REF _Ref47358022 \h </w:instrText>
      </w:r>
      <w:r w:rsidR="00483024">
        <w:rPr>
          <w:szCs w:val="22"/>
        </w:rPr>
      </w:r>
      <w:r w:rsidR="00483024">
        <w:rPr>
          <w:szCs w:val="22"/>
        </w:rPr>
        <w:fldChar w:fldCharType="separate"/>
      </w:r>
      <w:r w:rsidR="00D96F20">
        <w:t xml:space="preserve">Attēls Nr. </w:t>
      </w:r>
      <w:r w:rsidR="00D96F20">
        <w:rPr>
          <w:noProof/>
        </w:rPr>
        <w:t>6</w:t>
      </w:r>
      <w:r w:rsidR="00483024">
        <w:rPr>
          <w:szCs w:val="22"/>
        </w:rPr>
        <w:fldChar w:fldCharType="end"/>
      </w:r>
      <w:r w:rsidR="00483024">
        <w:rPr>
          <w:szCs w:val="22"/>
        </w:rPr>
        <w:t>).</w:t>
      </w:r>
      <w:bookmarkStart w:id="23" w:name="_Ref47102940"/>
    </w:p>
    <w:p w14:paraId="305F49DC" w14:textId="6E08D958" w:rsidR="000C11A6" w:rsidRDefault="000C11A6" w:rsidP="000965D4">
      <w:pPr>
        <w:pStyle w:val="Caption"/>
        <w:spacing w:before="0" w:line="259" w:lineRule="auto"/>
        <w:rPr>
          <w:rFonts w:cs="Times New Roman"/>
          <w:szCs w:val="22"/>
        </w:rPr>
      </w:pPr>
      <w:bookmarkStart w:id="24" w:name="_Ref47358022"/>
      <w:r>
        <w:t xml:space="preserve">Attēls Nr. </w:t>
      </w:r>
      <w:fldSimple w:instr=" SEQ Attēls_Nr. \* ARABIC ">
        <w:r w:rsidR="00D96F20">
          <w:rPr>
            <w:noProof/>
          </w:rPr>
          <w:t>6</w:t>
        </w:r>
      </w:fldSimple>
      <w:bookmarkEnd w:id="20"/>
      <w:bookmarkEnd w:id="21"/>
      <w:bookmarkEnd w:id="22"/>
      <w:bookmarkEnd w:id="23"/>
      <w:bookmarkEnd w:id="24"/>
    </w:p>
    <w:p w14:paraId="52A14F1E" w14:textId="77777777" w:rsidR="000C11A6" w:rsidRPr="000C11A6" w:rsidRDefault="000C11A6" w:rsidP="000965D4">
      <w:pPr>
        <w:spacing w:after="120"/>
        <w:ind w:firstLine="720"/>
        <w:jc w:val="center"/>
        <w:rPr>
          <w:rFonts w:cs="Times New Roman"/>
          <w:b/>
          <w:szCs w:val="22"/>
        </w:rPr>
      </w:pPr>
      <w:r w:rsidRPr="000C11A6">
        <w:rPr>
          <w:rFonts w:cs="Times New Roman"/>
          <w:b/>
          <w:szCs w:val="22"/>
        </w:rPr>
        <w:t>Funkciju/aktivitāšu skaits programmās/apakšprogrammās</w:t>
      </w:r>
    </w:p>
    <w:p w14:paraId="116515B5" w14:textId="77777777" w:rsidR="000C11A6" w:rsidRPr="000C11A6" w:rsidRDefault="000C11A6" w:rsidP="000965D4">
      <w:pPr>
        <w:spacing w:after="120"/>
        <w:ind w:firstLine="720"/>
        <w:jc w:val="center"/>
        <w:rPr>
          <w:rFonts w:cs="Times New Roman"/>
          <w:szCs w:val="22"/>
        </w:rPr>
      </w:pPr>
      <w:r w:rsidRPr="000C11A6">
        <w:rPr>
          <w:rFonts w:asciiTheme="minorHAnsi" w:hAnsiTheme="minorHAnsi"/>
          <w:noProof/>
          <w:sz w:val="22"/>
          <w:szCs w:val="22"/>
          <w:lang w:eastAsia="lv-LV"/>
        </w:rPr>
        <w:drawing>
          <wp:inline distT="0" distB="0" distL="0" distR="0" wp14:anchorId="50306513" wp14:editId="1F253E55">
            <wp:extent cx="4200525" cy="1876508"/>
            <wp:effectExtent l="0" t="0" r="9525"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FE7221" w14:textId="77777777" w:rsidR="000C11A6" w:rsidRDefault="000C11A6" w:rsidP="000965D4">
      <w:pPr>
        <w:spacing w:after="120"/>
        <w:ind w:firstLine="720"/>
        <w:jc w:val="both"/>
        <w:rPr>
          <w:rFonts w:cs="Times New Roman"/>
          <w:szCs w:val="22"/>
        </w:rPr>
      </w:pPr>
    </w:p>
    <w:p w14:paraId="556D50BA" w14:textId="24CAB5FD" w:rsidR="00B26C87" w:rsidRPr="00C34F5D" w:rsidRDefault="00B26C87" w:rsidP="000965D4">
      <w:pPr>
        <w:spacing w:after="120"/>
        <w:ind w:firstLine="720"/>
        <w:jc w:val="both"/>
        <w:rPr>
          <w:szCs w:val="22"/>
        </w:rPr>
      </w:pPr>
      <w:r w:rsidRPr="00C34F5D">
        <w:rPr>
          <w:szCs w:val="22"/>
        </w:rPr>
        <w:t>Arī rezultatīvo rādītāju skaits vienai funkcijai lielākoties tika identificēts tikai viens (243 gadījumi), trīs reizes mazāk (85 gadījumos) vienai funkcijai ir identificēti divi rezultatīvie rādītāji, 47 gadījumos – trīs rezultatīvie rādītāji.</w:t>
      </w:r>
    </w:p>
    <w:p w14:paraId="0E420C43" w14:textId="25D3713D" w:rsidR="00852D79" w:rsidRPr="00FC5E68" w:rsidRDefault="00B26C87" w:rsidP="00FC5E68">
      <w:pPr>
        <w:pStyle w:val="Caption"/>
        <w:spacing w:before="0" w:line="259" w:lineRule="auto"/>
        <w:ind w:firstLine="720"/>
        <w:jc w:val="both"/>
        <w:rPr>
          <w:szCs w:val="22"/>
        </w:rPr>
      </w:pPr>
      <w:r w:rsidRPr="00CB5D9B">
        <w:rPr>
          <w:szCs w:val="22"/>
        </w:rPr>
        <w:t>Apkopojot visu ministriju vidējo funkciju novērtējumu pēc skaita, secināts, ka 96,9% funkciju atrodas kvadrantā “Funkcijas attaisno ieguldītos resursus”, 1,2% funkciju atrodas kvadrantā “Potenciāls iespējamiem risinājumiem”, 1,0% funkciju atrodas kvadrantā “Potenciāls politikas maiņai” un 0,8% funkciju atrodas kvadrantā “Uzl</w:t>
      </w:r>
      <w:bookmarkStart w:id="25" w:name="_Ref45797698"/>
      <w:r w:rsidR="002D57C1" w:rsidRPr="00CB5D9B">
        <w:rPr>
          <w:szCs w:val="22"/>
        </w:rPr>
        <w:t>abojumu/investīciju potenciāls” (</w:t>
      </w:r>
      <w:r w:rsidR="0037421C" w:rsidRPr="00CB5D9B">
        <w:rPr>
          <w:szCs w:val="22"/>
        </w:rPr>
        <w:fldChar w:fldCharType="begin"/>
      </w:r>
      <w:r w:rsidR="0037421C" w:rsidRPr="00CB5D9B">
        <w:rPr>
          <w:szCs w:val="22"/>
        </w:rPr>
        <w:instrText xml:space="preserve"> REF _Ref47953267 \h </w:instrText>
      </w:r>
      <w:r w:rsidR="00CB5D9B">
        <w:rPr>
          <w:szCs w:val="22"/>
        </w:rPr>
        <w:instrText xml:space="preserve"> \* MERGEFORMAT </w:instrText>
      </w:r>
      <w:r w:rsidR="0037421C" w:rsidRPr="00CB5D9B">
        <w:rPr>
          <w:szCs w:val="22"/>
        </w:rPr>
      </w:r>
      <w:r w:rsidR="0037421C" w:rsidRPr="00CB5D9B">
        <w:rPr>
          <w:szCs w:val="22"/>
        </w:rPr>
        <w:fldChar w:fldCharType="separate"/>
      </w:r>
      <w:r w:rsidR="00D96F20">
        <w:t xml:space="preserve">Attēls Nr. </w:t>
      </w:r>
      <w:r w:rsidR="00D96F20">
        <w:rPr>
          <w:noProof/>
        </w:rPr>
        <w:t>7</w:t>
      </w:r>
      <w:r w:rsidR="0037421C" w:rsidRPr="00CB5D9B">
        <w:rPr>
          <w:szCs w:val="22"/>
        </w:rPr>
        <w:fldChar w:fldCharType="end"/>
      </w:r>
      <w:r w:rsidR="002D57C1" w:rsidRPr="00CB5D9B">
        <w:rPr>
          <w:szCs w:val="22"/>
        </w:rPr>
        <w:t>).</w:t>
      </w:r>
      <w:bookmarkStart w:id="26" w:name="_Ref47102329"/>
      <w:bookmarkStart w:id="27" w:name="_Ref47345448"/>
    </w:p>
    <w:p w14:paraId="7B4192D0" w14:textId="7A395A12" w:rsidR="000C11A6" w:rsidRDefault="000C11A6" w:rsidP="000965D4">
      <w:pPr>
        <w:pStyle w:val="Caption"/>
        <w:spacing w:before="0" w:line="259" w:lineRule="auto"/>
        <w:rPr>
          <w:rFonts w:cs="Times New Roman"/>
          <w:b/>
          <w:color w:val="000000"/>
        </w:rPr>
      </w:pPr>
      <w:bookmarkStart w:id="28" w:name="_Ref47953267"/>
      <w:r>
        <w:lastRenderedPageBreak/>
        <w:t xml:space="preserve">Attēls Nr. </w:t>
      </w:r>
      <w:fldSimple w:instr=" SEQ Attēls_Nr. \* ARABIC ">
        <w:r w:rsidR="00D96F20">
          <w:rPr>
            <w:noProof/>
          </w:rPr>
          <w:t>7</w:t>
        </w:r>
      </w:fldSimple>
      <w:bookmarkEnd w:id="25"/>
      <w:bookmarkEnd w:id="26"/>
      <w:bookmarkEnd w:id="27"/>
      <w:bookmarkEnd w:id="28"/>
    </w:p>
    <w:p w14:paraId="1DAA3551" w14:textId="77777777" w:rsidR="000C11A6" w:rsidRPr="000C11A6" w:rsidRDefault="000C11A6" w:rsidP="000965D4">
      <w:pPr>
        <w:spacing w:after="120"/>
        <w:ind w:firstLine="720"/>
        <w:jc w:val="center"/>
        <w:rPr>
          <w:rFonts w:cs="Times New Roman"/>
        </w:rPr>
      </w:pPr>
      <w:r w:rsidRPr="000C11A6">
        <w:rPr>
          <w:rFonts w:cs="Times New Roman"/>
          <w:b/>
          <w:color w:val="000000"/>
        </w:rPr>
        <w:t>Ministriju funkciju/aktivitāšu novērtējums</w:t>
      </w:r>
    </w:p>
    <w:p w14:paraId="25CC32BA" w14:textId="77777777" w:rsidR="000C11A6" w:rsidRPr="000C11A6" w:rsidRDefault="000C11A6" w:rsidP="00852D79">
      <w:pPr>
        <w:spacing w:after="120"/>
        <w:jc w:val="center"/>
        <w:rPr>
          <w:rFonts w:cs="Times New Roman"/>
          <w:szCs w:val="22"/>
        </w:rPr>
      </w:pPr>
      <w:r w:rsidRPr="000C11A6">
        <w:rPr>
          <w:rFonts w:cs="Times New Roman"/>
          <w:noProof/>
          <w:szCs w:val="22"/>
          <w:lang w:eastAsia="lv-LV"/>
        </w:rPr>
        <w:drawing>
          <wp:inline distT="0" distB="0" distL="0" distR="0" wp14:anchorId="50D9162F" wp14:editId="12B51643">
            <wp:extent cx="5737608" cy="350166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7608" cy="3501667"/>
                    </a:xfrm>
                    <a:prstGeom prst="rect">
                      <a:avLst/>
                    </a:prstGeom>
                    <a:noFill/>
                  </pic:spPr>
                </pic:pic>
              </a:graphicData>
            </a:graphic>
          </wp:inline>
        </w:drawing>
      </w:r>
    </w:p>
    <w:p w14:paraId="25C2DC4B" w14:textId="61517056" w:rsidR="00B26C87" w:rsidRPr="00B26C87" w:rsidRDefault="00B26C87" w:rsidP="000965D4">
      <w:pPr>
        <w:spacing w:after="120"/>
        <w:ind w:firstLine="720"/>
        <w:jc w:val="both"/>
        <w:rPr>
          <w:rFonts w:cs="Times New Roman"/>
          <w:szCs w:val="22"/>
        </w:rPr>
      </w:pPr>
      <w:r w:rsidRPr="00B26C87">
        <w:rPr>
          <w:rFonts w:cs="Times New Roman"/>
          <w:szCs w:val="22"/>
        </w:rPr>
        <w:t>Procentuāli vērtējot rezultātus pēc funkciju finansiālās ietilpības - 99,7% funkciju izdevumu atrodas kvadrantā “Funkcijas attaisno ieguldītos resursus”. Analizējot izdevumu sadalījumu pēc aktualitātes - 81% izdevumi ir ar visaugstāko aktualitāti, savukārt pēc efektivitātes - 65</w:t>
      </w:r>
      <w:r w:rsidR="00231324">
        <w:rPr>
          <w:rFonts w:cs="Times New Roman"/>
          <w:szCs w:val="22"/>
        </w:rPr>
        <w:t>%</w:t>
      </w:r>
      <w:r w:rsidRPr="00B26C87">
        <w:rPr>
          <w:rFonts w:cs="Times New Roman"/>
          <w:szCs w:val="22"/>
        </w:rPr>
        <w:t xml:space="preserve"> izdevumi ir ar visaugstāko efektivitāti. Ja šīs abas dimensijas skata kopumā, tad 55% izdevumu novērtēti ar visaugstāko efektivitāti un visaugstāko aktualitāti.</w:t>
      </w:r>
    </w:p>
    <w:p w14:paraId="3F89F11A" w14:textId="77777777" w:rsidR="00B26C87" w:rsidRPr="00B26C87" w:rsidRDefault="00B26C87" w:rsidP="000965D4">
      <w:pPr>
        <w:spacing w:after="120"/>
        <w:jc w:val="both"/>
        <w:rPr>
          <w:rFonts w:cs="Times New Roman"/>
          <w:b/>
          <w:szCs w:val="22"/>
        </w:rPr>
      </w:pPr>
      <w:r w:rsidRPr="00B26C87">
        <w:rPr>
          <w:rFonts w:cs="Times New Roman"/>
          <w:b/>
          <w:szCs w:val="22"/>
        </w:rPr>
        <w:t>Matricas rezultātu analīze</w:t>
      </w:r>
    </w:p>
    <w:p w14:paraId="29F353B4" w14:textId="77777777" w:rsidR="00B26C87" w:rsidRPr="00B26C87" w:rsidRDefault="00B26C87" w:rsidP="000965D4">
      <w:pPr>
        <w:spacing w:after="120"/>
        <w:ind w:firstLine="720"/>
        <w:jc w:val="both"/>
        <w:rPr>
          <w:rFonts w:cs="Times New Roman"/>
          <w:bCs/>
        </w:rPr>
      </w:pPr>
      <w:r w:rsidRPr="00B26C87">
        <w:rPr>
          <w:rFonts w:cs="Times New Roman"/>
          <w:bCs/>
        </w:rPr>
        <w:t>Padziļinātā funkciju analīzē secināts, ka:</w:t>
      </w:r>
    </w:p>
    <w:p w14:paraId="76DEF163" w14:textId="77777777" w:rsidR="00B26C87" w:rsidRPr="00B26C87" w:rsidRDefault="00B26C87" w:rsidP="006A15ED">
      <w:pPr>
        <w:numPr>
          <w:ilvl w:val="0"/>
          <w:numId w:val="18"/>
        </w:numPr>
        <w:spacing w:after="120"/>
        <w:contextualSpacing/>
        <w:jc w:val="both"/>
        <w:rPr>
          <w:rFonts w:cs="Times New Roman"/>
          <w:bCs/>
        </w:rPr>
      </w:pPr>
      <w:r w:rsidRPr="00B26C87">
        <w:rPr>
          <w:rFonts w:cs="Times New Roman"/>
          <w:bCs/>
        </w:rPr>
        <w:t>ir identificējamas funkcijas, kuras pārklājas viena resora ietvaros,</w:t>
      </w:r>
    </w:p>
    <w:p w14:paraId="61DF4A5D" w14:textId="77777777" w:rsidR="00B26C87" w:rsidRPr="00B26C87" w:rsidRDefault="00B26C87" w:rsidP="006A15ED">
      <w:pPr>
        <w:numPr>
          <w:ilvl w:val="0"/>
          <w:numId w:val="18"/>
        </w:numPr>
        <w:spacing w:after="120"/>
        <w:contextualSpacing/>
        <w:jc w:val="both"/>
        <w:rPr>
          <w:rFonts w:cs="Times New Roman"/>
          <w:bCs/>
        </w:rPr>
      </w:pPr>
      <w:r w:rsidRPr="00B26C87">
        <w:rPr>
          <w:rFonts w:cs="Times New Roman"/>
          <w:bCs/>
        </w:rPr>
        <w:t>ir identificējamas funkcijas, kuras pārklājas starp dažādiem resoriem,</w:t>
      </w:r>
    </w:p>
    <w:p w14:paraId="4E34C519" w14:textId="77777777" w:rsidR="00B26C87" w:rsidRPr="00B26C87" w:rsidRDefault="00B26C87" w:rsidP="006A15ED">
      <w:pPr>
        <w:numPr>
          <w:ilvl w:val="0"/>
          <w:numId w:val="18"/>
        </w:numPr>
        <w:spacing w:after="120"/>
        <w:contextualSpacing/>
        <w:jc w:val="both"/>
        <w:rPr>
          <w:rFonts w:cs="Times New Roman"/>
          <w:bCs/>
        </w:rPr>
      </w:pPr>
      <w:r w:rsidRPr="00B26C87">
        <w:rPr>
          <w:rFonts w:cs="Times New Roman"/>
          <w:bCs/>
        </w:rPr>
        <w:t>ir identificējamas funkcijas, kuru īstenošana pārklājas ar pašvaldību funkcijām,</w:t>
      </w:r>
    </w:p>
    <w:p w14:paraId="597A3ED3" w14:textId="77777777" w:rsidR="00B26C87" w:rsidRPr="00B26C87" w:rsidRDefault="00B26C87" w:rsidP="006A15ED">
      <w:pPr>
        <w:numPr>
          <w:ilvl w:val="0"/>
          <w:numId w:val="18"/>
        </w:numPr>
        <w:spacing w:after="120"/>
        <w:contextualSpacing/>
        <w:jc w:val="both"/>
        <w:rPr>
          <w:rFonts w:cs="Times New Roman"/>
          <w:bCs/>
        </w:rPr>
      </w:pPr>
      <w:r w:rsidRPr="00B26C87">
        <w:rPr>
          <w:rFonts w:cs="Times New Roman"/>
          <w:bCs/>
        </w:rPr>
        <w:t xml:space="preserve">ir norādīti papildus citi ierosinājumi ministriju funkciju turpmākai īstenošanai. </w:t>
      </w:r>
    </w:p>
    <w:p w14:paraId="41C91053" w14:textId="77777777" w:rsidR="00B26C87" w:rsidRDefault="00B26C87" w:rsidP="000965D4">
      <w:pPr>
        <w:spacing w:after="120"/>
      </w:pPr>
    </w:p>
    <w:p w14:paraId="59841AAA" w14:textId="77777777" w:rsidR="00B26C87" w:rsidRPr="00B26C87" w:rsidRDefault="00B26C87" w:rsidP="000965D4">
      <w:pPr>
        <w:spacing w:after="120"/>
        <w:jc w:val="both"/>
        <w:rPr>
          <w:rFonts w:cs="Times New Roman"/>
          <w:bCs/>
        </w:rPr>
      </w:pPr>
      <w:r w:rsidRPr="00B26C87">
        <w:rPr>
          <w:rFonts w:cs="Times New Roman"/>
          <w:b/>
          <w:bCs/>
          <w:i/>
        </w:rPr>
        <w:t>Funkcijas, kuras pārklājas viena resora ietvaros</w:t>
      </w:r>
    </w:p>
    <w:p w14:paraId="3BFFD5C8" w14:textId="71C70EE1" w:rsidR="00B26C87" w:rsidRPr="00B26C87" w:rsidRDefault="00B26C87" w:rsidP="000965D4">
      <w:pPr>
        <w:spacing w:after="240"/>
        <w:jc w:val="both"/>
        <w:rPr>
          <w:rFonts w:cs="Times New Roman"/>
          <w:b/>
          <w:bCs/>
        </w:rPr>
      </w:pPr>
      <w:r w:rsidRPr="00B26C87">
        <w:rPr>
          <w:rFonts w:cs="Times New Roman"/>
          <w:bCs/>
        </w:rPr>
        <w:t xml:space="preserve">Pēc funkciju padziļinātas analīzes ir konstatēts, ka VARAM funkcija </w:t>
      </w:r>
      <w:r w:rsidRPr="00B26C87">
        <w:rPr>
          <w:rFonts w:cs="Times New Roman"/>
          <w:bCs/>
          <w:i/>
        </w:rPr>
        <w:t xml:space="preserve">Nodrošināt reģionālo reemigrācijas atbalsta pasākumu īstenošanu </w:t>
      </w:r>
      <w:r w:rsidRPr="00B26C87">
        <w:rPr>
          <w:rFonts w:cs="Times New Roman"/>
          <w:bCs/>
        </w:rPr>
        <w:t xml:space="preserve">identificēta divās programmās </w:t>
      </w:r>
      <w:r w:rsidRPr="00B26C87">
        <w:rPr>
          <w:rFonts w:cs="Times New Roman"/>
          <w:bCs/>
          <w:iCs/>
        </w:rPr>
        <w:t>(30.00.00 Attīstības nacionālie atbalsta instrumenti</w:t>
      </w:r>
      <w:r w:rsidRPr="00B26C87">
        <w:rPr>
          <w:rFonts w:cs="Times New Roman"/>
          <w:bCs/>
          <w:i/>
          <w:iCs/>
        </w:rPr>
        <w:t xml:space="preserve"> – </w:t>
      </w:r>
      <w:r w:rsidRPr="00B26C87">
        <w:rPr>
          <w:rFonts w:cs="Times New Roman"/>
          <w:bCs/>
          <w:iCs/>
        </w:rPr>
        <w:t xml:space="preserve">0,04 milj. </w:t>
      </w:r>
      <w:r w:rsidRPr="00B26C87">
        <w:rPr>
          <w:rFonts w:cs="Times New Roman"/>
          <w:bCs/>
          <w:i/>
          <w:iCs/>
        </w:rPr>
        <w:t>euro</w:t>
      </w:r>
      <w:r w:rsidRPr="00B26C87">
        <w:rPr>
          <w:rFonts w:cs="Times New Roman"/>
          <w:bCs/>
          <w:iCs/>
        </w:rPr>
        <w:t xml:space="preserve"> un 31.00.00 programmas Atbalsts plānošanas reģioniem – 0,6 milj</w:t>
      </w:r>
      <w:r w:rsidRPr="00B26C87">
        <w:rPr>
          <w:rFonts w:cs="Times New Roman"/>
          <w:bCs/>
          <w:i/>
          <w:iCs/>
        </w:rPr>
        <w:t>. euro</w:t>
      </w:r>
      <w:r w:rsidRPr="00B26C87">
        <w:rPr>
          <w:rFonts w:cs="Times New Roman"/>
          <w:bCs/>
          <w:iCs/>
        </w:rPr>
        <w:t>)</w:t>
      </w:r>
      <w:r w:rsidRPr="00B26C87">
        <w:rPr>
          <w:rFonts w:cs="Times New Roman"/>
          <w:bCs/>
          <w:i/>
          <w:iCs/>
        </w:rPr>
        <w:t>.</w:t>
      </w:r>
      <w:r w:rsidRPr="00B26C87">
        <w:rPr>
          <w:rFonts w:cs="Times New Roman"/>
          <w:b/>
          <w:bCs/>
          <w:iCs/>
        </w:rPr>
        <w:t xml:space="preserve"> </w:t>
      </w:r>
      <w:r w:rsidR="00FB17BB" w:rsidRPr="002A3882">
        <w:rPr>
          <w:rFonts w:cs="Times New Roman"/>
          <w:bCs/>
          <w:iCs/>
        </w:rPr>
        <w:t>Pēc VARAM sniegtā skaidrojuma 30.00.00 programmā tiek finans</w:t>
      </w:r>
      <w:r w:rsidR="00FB17BB" w:rsidRPr="00FB17BB">
        <w:rPr>
          <w:rFonts w:cs="Times New Roman"/>
          <w:bCs/>
          <w:iCs/>
        </w:rPr>
        <w:t>ētas</w:t>
      </w:r>
      <w:r w:rsidR="00FB17BB" w:rsidRPr="002A3882">
        <w:rPr>
          <w:rFonts w:cs="Times New Roman"/>
          <w:bCs/>
          <w:iCs/>
        </w:rPr>
        <w:t xml:space="preserve"> amata vietas VARAM, savukārt 31.00.00 programmas ietvaros tiek finansēti atbalsta pasākumi uzņēmējdarbībai, pašvaldībām un reģionālajiem koordinatoriem.</w:t>
      </w:r>
      <w:r w:rsidR="00FB17BB">
        <w:rPr>
          <w:rFonts w:cs="Times New Roman"/>
          <w:bCs/>
          <w:iCs/>
        </w:rPr>
        <w:t xml:space="preserve"> </w:t>
      </w:r>
      <w:r w:rsidR="00FB17BB">
        <w:t>VARAM izstrādā un virza nacionālā līmenī risinājumus reģionālajiem reemigrācijas pasākumiem</w:t>
      </w:r>
      <w:r w:rsidR="00FB17BB" w:rsidRPr="00B26C87" w:rsidDel="00FB17BB">
        <w:rPr>
          <w:rFonts w:cs="Times New Roman"/>
          <w:b/>
          <w:bCs/>
          <w:iCs/>
        </w:rPr>
        <w:t xml:space="preserve"> </w:t>
      </w:r>
    </w:p>
    <w:p w14:paraId="60B93451" w14:textId="625F9E3D" w:rsidR="00B26C87" w:rsidRPr="00B26C87" w:rsidRDefault="00B26C87" w:rsidP="00A6713B">
      <w:pPr>
        <w:spacing w:after="240"/>
        <w:jc w:val="both"/>
        <w:rPr>
          <w:rFonts w:cs="Times New Roman"/>
          <w:b/>
          <w:bCs/>
          <w:iCs/>
        </w:rPr>
      </w:pPr>
      <w:r w:rsidRPr="00B26C87">
        <w:rPr>
          <w:rFonts w:cs="Times New Roman"/>
          <w:bCs/>
        </w:rPr>
        <w:t>Secināts, ka LM</w:t>
      </w:r>
      <w:r w:rsidRPr="00B26C87">
        <w:rPr>
          <w:rFonts w:cs="Times New Roman"/>
          <w:b/>
          <w:bCs/>
        </w:rPr>
        <w:t xml:space="preserve"> </w:t>
      </w:r>
      <w:r w:rsidRPr="00B26C87">
        <w:rPr>
          <w:rFonts w:cs="Times New Roman"/>
          <w:bCs/>
        </w:rPr>
        <w:t xml:space="preserve">funkcijai - </w:t>
      </w:r>
      <w:r w:rsidRPr="00B26C87">
        <w:rPr>
          <w:rFonts w:cs="Times New Roman"/>
          <w:bCs/>
          <w:i/>
        </w:rPr>
        <w:t>Nodrošināt ilgstošās sociālās aprūpes un sociālās rehabilitācijas pakalpojumus personām ar smagiem un ļoti smagiem garīga rakstura traucējumiem</w:t>
      </w:r>
      <w:r w:rsidRPr="00B26C87">
        <w:rPr>
          <w:rFonts w:cs="Times New Roman"/>
          <w:bCs/>
        </w:rPr>
        <w:t xml:space="preserve"> </w:t>
      </w:r>
      <w:r w:rsidRPr="00B26C87">
        <w:rPr>
          <w:rFonts w:cs="Times New Roman"/>
          <w:bCs/>
          <w:iCs/>
        </w:rPr>
        <w:t xml:space="preserve">(05.01.00 </w:t>
      </w:r>
      <w:r w:rsidRPr="00B26C87">
        <w:rPr>
          <w:rFonts w:cs="Times New Roman"/>
          <w:bCs/>
          <w:iCs/>
        </w:rPr>
        <w:lastRenderedPageBreak/>
        <w:t>Sociālās rehabilitācijas valsts programma</w:t>
      </w:r>
      <w:r w:rsidR="00F7492F">
        <w:rPr>
          <w:rFonts w:cs="Times New Roman"/>
          <w:bCs/>
          <w:iCs/>
        </w:rPr>
        <w:t>s</w:t>
      </w:r>
      <w:r w:rsidRPr="00B26C87">
        <w:rPr>
          <w:rFonts w:cs="Times New Roman"/>
          <w:bCs/>
          <w:iCs/>
        </w:rPr>
        <w:t xml:space="preserve"> – 5,5 milj. </w:t>
      </w:r>
      <w:r w:rsidRPr="00B26C87">
        <w:rPr>
          <w:rFonts w:cs="Times New Roman"/>
          <w:bCs/>
          <w:i/>
          <w:iCs/>
        </w:rPr>
        <w:t>euro</w:t>
      </w:r>
      <w:r w:rsidRPr="00B26C87">
        <w:rPr>
          <w:rFonts w:cs="Times New Roman"/>
          <w:bCs/>
          <w:iCs/>
        </w:rPr>
        <w:t xml:space="preserve">) </w:t>
      </w:r>
      <w:r w:rsidRPr="00B26C87">
        <w:rPr>
          <w:rFonts w:cs="Times New Roman"/>
          <w:bCs/>
        </w:rPr>
        <w:t xml:space="preserve">un funkcijai </w:t>
      </w:r>
      <w:r w:rsidRPr="00B26C87">
        <w:rPr>
          <w:rFonts w:cs="Times New Roman"/>
          <w:bCs/>
          <w:i/>
        </w:rPr>
        <w:t>Nodrošināt ilgstošās sociālās aprūpes un sociālās rehabilitācijas pakalpojumus</w:t>
      </w:r>
      <w:r w:rsidRPr="00B26C87">
        <w:rPr>
          <w:rFonts w:cs="Times New Roman"/>
          <w:bCs/>
        </w:rPr>
        <w:t xml:space="preserve"> </w:t>
      </w:r>
      <w:r w:rsidRPr="00B26C87">
        <w:rPr>
          <w:rFonts w:cs="Times New Roman"/>
          <w:bCs/>
          <w:iCs/>
        </w:rPr>
        <w:t xml:space="preserve">(05.03.00 Aprūpe valsts sociālās aprūpes institūcijās – 46,1 milj. </w:t>
      </w:r>
      <w:r w:rsidRPr="00B26C87">
        <w:rPr>
          <w:rFonts w:cs="Times New Roman"/>
          <w:bCs/>
          <w:i/>
          <w:iCs/>
        </w:rPr>
        <w:t>euro</w:t>
      </w:r>
      <w:r w:rsidRPr="00B26C87">
        <w:rPr>
          <w:rFonts w:cs="Times New Roman"/>
          <w:bCs/>
          <w:iCs/>
        </w:rPr>
        <w:t>) noteikti vienādi funkciju mērķi, kas liecina par šķietamu funkciju pārklāšanos.</w:t>
      </w:r>
      <w:r w:rsidRPr="00B26C87">
        <w:rPr>
          <w:rFonts w:cs="Times New Roman"/>
          <w:b/>
          <w:bCs/>
          <w:iCs/>
        </w:rPr>
        <w:t xml:space="preserve"> LM </w:t>
      </w:r>
      <w:r w:rsidR="00222955">
        <w:rPr>
          <w:rFonts w:cs="Times New Roman"/>
          <w:b/>
          <w:bCs/>
          <w:iCs/>
        </w:rPr>
        <w:t>jā</w:t>
      </w:r>
      <w:r w:rsidRPr="00B26C87">
        <w:rPr>
          <w:rFonts w:cs="Times New Roman"/>
          <w:b/>
          <w:bCs/>
          <w:iCs/>
        </w:rPr>
        <w:t>izvērtē vai funkcijām</w:t>
      </w:r>
      <w:r w:rsidRPr="00B26C87">
        <w:rPr>
          <w:rFonts w:cs="Times New Roman"/>
          <w:b/>
          <w:bCs/>
        </w:rPr>
        <w:t>, kas nodrošina ilgstošās sociālās aprūpes un sociālās rehabilitācijas pakalpojumus,</w:t>
      </w:r>
      <w:r w:rsidRPr="00B26C87">
        <w:rPr>
          <w:rFonts w:cs="Times New Roman"/>
          <w:b/>
          <w:bCs/>
          <w:i/>
        </w:rPr>
        <w:t xml:space="preserve"> </w:t>
      </w:r>
      <w:r w:rsidRPr="00B26C87">
        <w:rPr>
          <w:rFonts w:cs="Times New Roman"/>
          <w:b/>
          <w:bCs/>
        </w:rPr>
        <w:t xml:space="preserve">nav iespējama funkciju īstenošanas efektivizācija. </w:t>
      </w:r>
    </w:p>
    <w:p w14:paraId="3C18FF63" w14:textId="2BD00CC3" w:rsidR="00B26C87" w:rsidRPr="00D006F5" w:rsidRDefault="00CB5DAB" w:rsidP="00A6713B">
      <w:pPr>
        <w:spacing w:after="240"/>
        <w:jc w:val="both"/>
        <w:rPr>
          <w:rFonts w:cs="Times New Roman"/>
        </w:rPr>
      </w:pPr>
      <w:r w:rsidRPr="14B60BF8">
        <w:rPr>
          <w:rFonts w:cs="Times New Roman"/>
        </w:rPr>
        <w:t>KM ir norādījusi, ka,</w:t>
      </w:r>
      <w:r w:rsidRPr="006976C9">
        <w:rPr>
          <w:rFonts w:cs="Times New Roman"/>
        </w:rPr>
        <w:t xml:space="preserve"> </w:t>
      </w:r>
      <w:r w:rsidRPr="14B60BF8">
        <w:rPr>
          <w:rFonts w:cs="Times New Roman"/>
        </w:rPr>
        <w:t xml:space="preserve">ņemot vērā informācijas tehnoloģiju pieaugošo lomu bibliotēku darbā, digitālo informācijas resursu nozīmi, bibliotēku satura digitalizācijas procesus un uzsākto </w:t>
      </w:r>
      <w:r>
        <w:rPr>
          <w:rFonts w:cs="Times New Roman"/>
        </w:rPr>
        <w:t>KM</w:t>
      </w:r>
      <w:r w:rsidRPr="14B60BF8">
        <w:rPr>
          <w:rFonts w:cs="Times New Roman"/>
        </w:rPr>
        <w:t xml:space="preserve"> resora IKT pārvaldības modeļa maiņu, funkciju </w:t>
      </w:r>
      <w:r w:rsidRPr="006976C9">
        <w:rPr>
          <w:rFonts w:cs="Times New Roman"/>
        </w:rPr>
        <w:t>Valsts vienotā bibliotēku informācijas sistēma</w:t>
      </w:r>
      <w:r w:rsidRPr="14B60BF8">
        <w:rPr>
          <w:rFonts w:cs="Times New Roman"/>
        </w:rPr>
        <w:t xml:space="preserve"> (22.05.00</w:t>
      </w:r>
      <w:r w:rsidRPr="006976C9">
        <w:rPr>
          <w:rFonts w:cs="Times New Roman"/>
        </w:rPr>
        <w:t xml:space="preserve"> Valsts vienotā bibliotēku informācijas sistēma, </w:t>
      </w:r>
      <w:r w:rsidRPr="14B60BF8">
        <w:rPr>
          <w:rFonts w:cs="Times New Roman"/>
        </w:rPr>
        <w:t xml:space="preserve">0,4 milj. </w:t>
      </w:r>
      <w:r w:rsidRPr="00CB5DAB">
        <w:rPr>
          <w:rFonts w:cs="Times New Roman"/>
          <w:i/>
        </w:rPr>
        <w:t>euro</w:t>
      </w:r>
      <w:r w:rsidRPr="006976C9">
        <w:rPr>
          <w:rFonts w:cs="Times New Roman"/>
        </w:rPr>
        <w:t>)</w:t>
      </w:r>
      <w:r w:rsidRPr="14B60BF8">
        <w:rPr>
          <w:rFonts w:cs="Times New Roman"/>
        </w:rPr>
        <w:t xml:space="preserve"> ir iespējams sadalīt, daļu no izdevumiem iekļaujot KM IT budžeta programmā 24.00.00 “Informācijas tehnoloģiju attīstība un uzturēšana kultūras nozarē” un daļu - budžeta programmā 21.00.00 Kultūras mantojums (43,3 milj. </w:t>
      </w:r>
      <w:r w:rsidRPr="00CB5DAB">
        <w:rPr>
          <w:rFonts w:cs="Times New Roman"/>
          <w:i/>
        </w:rPr>
        <w:t>euro</w:t>
      </w:r>
      <w:r w:rsidRPr="14B60BF8">
        <w:rPr>
          <w:rFonts w:cs="Times New Roman"/>
        </w:rPr>
        <w:t xml:space="preserve">), ko tās attiecīgi izdalot Kultūras informācijas sistēmu centra kā vienotā KM IKT pārvaldītāja finansējumu . Līdz ar to </w:t>
      </w:r>
      <w:r>
        <w:rPr>
          <w:rFonts w:cs="Times New Roman"/>
        </w:rPr>
        <w:t>KM</w:t>
      </w:r>
      <w:r w:rsidRPr="14B60BF8">
        <w:rPr>
          <w:rFonts w:cs="Times New Roman"/>
        </w:rPr>
        <w:t>, veidojot 2021.gada budžetu, likvidēt valsts budžeta apakšprogrammu 22.05.00</w:t>
      </w:r>
      <w:r w:rsidRPr="006976C9">
        <w:rPr>
          <w:rFonts w:cs="Times New Roman"/>
        </w:rPr>
        <w:t xml:space="preserve"> Valsts vienotā bibliotēku informācijas sistēma.</w:t>
      </w:r>
      <w:r w:rsidRPr="14B60BF8">
        <w:rPr>
          <w:rFonts w:cs="Times New Roman"/>
        </w:rPr>
        <w:t xml:space="preserve"> </w:t>
      </w:r>
    </w:p>
    <w:p w14:paraId="260A4B63" w14:textId="08BCA9A4" w:rsidR="00B26C87" w:rsidRPr="00B26C87" w:rsidRDefault="00B26C87" w:rsidP="00A6713B">
      <w:pPr>
        <w:spacing w:after="240"/>
        <w:jc w:val="both"/>
        <w:rPr>
          <w:rFonts w:cs="Times New Roman"/>
          <w:color w:val="000000"/>
        </w:rPr>
      </w:pPr>
      <w:r w:rsidRPr="00B26C87">
        <w:rPr>
          <w:rFonts w:cs="Times New Roman"/>
          <w:bCs/>
        </w:rPr>
        <w:t xml:space="preserve">Attiecībā par funkcijas </w:t>
      </w:r>
      <w:r w:rsidRPr="00B26C87">
        <w:rPr>
          <w:rFonts w:cs="Times New Roman"/>
          <w:bCs/>
          <w:i/>
        </w:rPr>
        <w:t>Atbalsts pielāgotam sportam</w:t>
      </w:r>
      <w:r w:rsidRPr="00B26C87">
        <w:rPr>
          <w:rFonts w:cs="Times New Roman"/>
          <w:bCs/>
        </w:rPr>
        <w:t xml:space="preserve"> </w:t>
      </w:r>
      <w:r w:rsidRPr="00B26C87">
        <w:rPr>
          <w:rFonts w:cs="Times New Roman"/>
          <w:bCs/>
          <w:iCs/>
        </w:rPr>
        <w:t>(09.25.00 Dotācija biedrībai “Latvijas Paralimpiskā komiteja” pielāgotā sporta attīstībai</w:t>
      </w:r>
      <w:r w:rsidRPr="00B26C87">
        <w:rPr>
          <w:rFonts w:cs="Times New Roman"/>
          <w:bCs/>
          <w:i/>
          <w:iCs/>
        </w:rPr>
        <w:t xml:space="preserve"> </w:t>
      </w:r>
      <w:r w:rsidRPr="00B26C87">
        <w:rPr>
          <w:rFonts w:cs="Times New Roman"/>
          <w:bCs/>
        </w:rPr>
        <w:t xml:space="preserve">– 0,4 milj. </w:t>
      </w:r>
      <w:r w:rsidRPr="00B26C87">
        <w:rPr>
          <w:rFonts w:cs="Times New Roman"/>
          <w:bCs/>
          <w:i/>
          <w:iCs/>
        </w:rPr>
        <w:t>euro</w:t>
      </w:r>
      <w:r w:rsidRPr="00B26C87">
        <w:rPr>
          <w:rFonts w:cs="Times New Roman"/>
          <w:bCs/>
          <w:iCs/>
        </w:rPr>
        <w:t>)</w:t>
      </w:r>
      <w:r w:rsidRPr="00B26C87">
        <w:rPr>
          <w:rFonts w:cs="Times New Roman"/>
        </w:rPr>
        <w:t xml:space="preserve"> </w:t>
      </w:r>
      <w:r w:rsidRPr="00B26C87">
        <w:rPr>
          <w:rFonts w:cs="Times New Roman"/>
          <w:bCs/>
          <w:iCs/>
        </w:rPr>
        <w:t>iespējamu deleģēšanu, IZM norādījis, ka jautājums ir saistīts ar sporta nozares pārvaldības un finansēšanas modeļa maiņu (</w:t>
      </w:r>
      <w:r w:rsidR="00E869B3" w:rsidRPr="00B26C87">
        <w:rPr>
          <w:rFonts w:cs="Times New Roman"/>
          <w:bCs/>
          <w:iCs/>
        </w:rPr>
        <w:t>t</w:t>
      </w:r>
      <w:r w:rsidR="00E869B3">
        <w:rPr>
          <w:rFonts w:cs="Times New Roman"/>
          <w:bCs/>
          <w:iCs/>
        </w:rPr>
        <w:t>.</w:t>
      </w:r>
      <w:r w:rsidR="00E869B3" w:rsidRPr="00B26C87">
        <w:rPr>
          <w:rFonts w:cs="Times New Roman"/>
          <w:bCs/>
          <w:iCs/>
        </w:rPr>
        <w:t xml:space="preserve"> sk</w:t>
      </w:r>
      <w:r w:rsidR="00E869B3">
        <w:rPr>
          <w:rFonts w:cs="Times New Roman"/>
          <w:bCs/>
          <w:iCs/>
        </w:rPr>
        <w:t>.</w:t>
      </w:r>
      <w:r w:rsidR="00E869B3" w:rsidRPr="00B26C87">
        <w:rPr>
          <w:rFonts w:cs="Times New Roman"/>
          <w:bCs/>
          <w:iCs/>
        </w:rPr>
        <w:t xml:space="preserve"> </w:t>
      </w:r>
      <w:r w:rsidRPr="00B26C87">
        <w:rPr>
          <w:rFonts w:cs="Times New Roman"/>
          <w:bCs/>
          <w:iCs/>
        </w:rPr>
        <w:t xml:space="preserve">vērtējot iespēju </w:t>
      </w:r>
      <w:r w:rsidRPr="00B26C87">
        <w:rPr>
          <w:rFonts w:cs="Times New Roman"/>
          <w:bCs/>
        </w:rPr>
        <w:t>Paralimpiskā sporta augstu sasniegumu sadaļu apvienot ar apakšprogrammu 09.21.00.</w:t>
      </w:r>
      <w:r w:rsidRPr="00B26C87">
        <w:rPr>
          <w:rFonts w:cs="Times New Roman"/>
        </w:rPr>
        <w:t> </w:t>
      </w:r>
      <w:r w:rsidRPr="00B26C87">
        <w:rPr>
          <w:rFonts w:eastAsia="Times New Roman" w:cs="Times New Roman"/>
          <w:color w:val="000000"/>
          <w:lang w:eastAsia="lv-LV"/>
        </w:rPr>
        <w:t xml:space="preserve">Augstas klases sasniegumu sports (7,4 milj. </w:t>
      </w:r>
      <w:r w:rsidRPr="00B26C87">
        <w:rPr>
          <w:rFonts w:eastAsia="Times New Roman" w:cs="Times New Roman"/>
          <w:i/>
          <w:color w:val="000000"/>
          <w:lang w:eastAsia="lv-LV"/>
        </w:rPr>
        <w:t>euro</w:t>
      </w:r>
      <w:r w:rsidRPr="00B26C87">
        <w:rPr>
          <w:rFonts w:eastAsia="Times New Roman" w:cs="Times New Roman"/>
          <w:color w:val="000000"/>
          <w:lang w:eastAsia="lv-LV"/>
        </w:rPr>
        <w:t>)</w:t>
      </w:r>
      <w:r w:rsidRPr="00B26C87">
        <w:rPr>
          <w:rFonts w:cs="Times New Roman"/>
          <w:bCs/>
        </w:rPr>
        <w:t xml:space="preserve">, bet līdzdalības pielāgotās fiziskās aktivitātēs sadaļu apvienot ar apakšprogrammu 09.09.00. </w:t>
      </w:r>
      <w:r w:rsidRPr="00B26C87">
        <w:rPr>
          <w:rFonts w:eastAsia="Times New Roman" w:cs="Times New Roman"/>
          <w:color w:val="000000"/>
          <w:lang w:eastAsia="lv-LV"/>
        </w:rPr>
        <w:t xml:space="preserve">Sporta federācijas un sporta pasākumi (3,1 milj. </w:t>
      </w:r>
      <w:r w:rsidRPr="00B26C87">
        <w:rPr>
          <w:rFonts w:eastAsia="Times New Roman" w:cs="Times New Roman"/>
          <w:i/>
          <w:color w:val="000000"/>
          <w:lang w:eastAsia="lv-LV"/>
        </w:rPr>
        <w:t>euro</w:t>
      </w:r>
      <w:r w:rsidRPr="00B26C87">
        <w:rPr>
          <w:rFonts w:eastAsia="Times New Roman" w:cs="Times New Roman"/>
          <w:color w:val="000000"/>
          <w:lang w:eastAsia="lv-LV"/>
        </w:rPr>
        <w:t xml:space="preserve">)). </w:t>
      </w:r>
      <w:r w:rsidRPr="00B26C87">
        <w:rPr>
          <w:rFonts w:eastAsia="Times New Roman" w:cs="Times New Roman"/>
          <w:b/>
          <w:color w:val="000000"/>
          <w:lang w:eastAsia="lv-LV"/>
        </w:rPr>
        <w:t>IZM tiek aicināta turpināt iesākto darbu pie sporta nozares pārvaldības un finansēšanas modeļa maiņas, attiecīgi izskatot un vērtējot arī šo jautājumu.</w:t>
      </w:r>
    </w:p>
    <w:p w14:paraId="7B88B370" w14:textId="77777777" w:rsidR="00B26C87" w:rsidRPr="00B26C87" w:rsidRDefault="00B26C87" w:rsidP="00FC5E68">
      <w:pPr>
        <w:spacing w:after="120"/>
        <w:jc w:val="both"/>
        <w:rPr>
          <w:rFonts w:cs="Times New Roman"/>
          <w:b/>
          <w:bCs/>
          <w:i/>
        </w:rPr>
      </w:pPr>
      <w:r w:rsidRPr="00B26C87">
        <w:rPr>
          <w:rFonts w:cs="Times New Roman"/>
          <w:b/>
          <w:bCs/>
          <w:i/>
        </w:rPr>
        <w:t xml:space="preserve">Funkcijas, kuras pārklājas starp dažādiem resoriem </w:t>
      </w:r>
    </w:p>
    <w:p w14:paraId="4658C5B3" w14:textId="4AABB4E6" w:rsidR="00B26C87" w:rsidRPr="00B26C87" w:rsidRDefault="00B26C87" w:rsidP="00A6713B">
      <w:pPr>
        <w:spacing w:after="240"/>
        <w:jc w:val="both"/>
        <w:rPr>
          <w:rFonts w:cs="Times New Roman"/>
          <w:bCs/>
        </w:rPr>
      </w:pPr>
      <w:r w:rsidRPr="00B26C87">
        <w:rPr>
          <w:rFonts w:cs="Times New Roman"/>
          <w:bCs/>
        </w:rPr>
        <w:t xml:space="preserve">LM funkcija </w:t>
      </w:r>
      <w:r w:rsidRPr="00B26C87">
        <w:rPr>
          <w:rFonts w:cs="Times New Roman"/>
          <w:i/>
        </w:rPr>
        <w:t>Asistenta pakalpojuma nodrošināšana personām ar invaliditāti</w:t>
      </w:r>
      <w:r w:rsidRPr="00B26C87">
        <w:rPr>
          <w:rFonts w:cs="Times New Roman"/>
          <w:bCs/>
        </w:rPr>
        <w:t xml:space="preserve"> ar finansējumu 17,6 milj. </w:t>
      </w:r>
      <w:r w:rsidRPr="00B26C87">
        <w:rPr>
          <w:rFonts w:cs="Times New Roman"/>
          <w:bCs/>
          <w:i/>
          <w:iCs/>
        </w:rPr>
        <w:t>euro</w:t>
      </w:r>
      <w:r w:rsidRPr="00B26C87">
        <w:rPr>
          <w:rFonts w:cs="Times New Roman"/>
        </w:rPr>
        <w:t xml:space="preserve"> (05.01.00 Sociālās rehabilitācijas valsts programma</w:t>
      </w:r>
      <w:r w:rsidR="00F7492F">
        <w:rPr>
          <w:rFonts w:cs="Times New Roman"/>
        </w:rPr>
        <w:t>s</w:t>
      </w:r>
      <w:r w:rsidRPr="00B26C87">
        <w:rPr>
          <w:rFonts w:cs="Times New Roman"/>
        </w:rPr>
        <w:t xml:space="preserve">) pārklājas ar IZM funkciju </w:t>
      </w:r>
      <w:r w:rsidRPr="00B26C87">
        <w:rPr>
          <w:rFonts w:cs="Times New Roman"/>
          <w:i/>
        </w:rPr>
        <w:t xml:space="preserve">Finansējums asistenta pakalpojuma nodrošināšanai personai ar invaliditāti pārvietošanas atbalstam un pašaprūpes veikšanai </w:t>
      </w:r>
      <w:r w:rsidRPr="00B26C87">
        <w:rPr>
          <w:rFonts w:cs="Times New Roman"/>
        </w:rPr>
        <w:t>ar</w:t>
      </w:r>
      <w:r w:rsidRPr="00B26C87">
        <w:rPr>
          <w:rFonts w:cs="Times New Roman"/>
          <w:i/>
        </w:rPr>
        <w:t xml:space="preserve"> </w:t>
      </w:r>
      <w:r w:rsidRPr="00B26C87">
        <w:rPr>
          <w:rFonts w:cs="Times New Roman"/>
        </w:rPr>
        <w:t>finansējumu 1,0 milj.</w:t>
      </w:r>
      <w:r w:rsidRPr="00B26C87">
        <w:rPr>
          <w:rFonts w:cs="Times New Roman"/>
          <w:i/>
        </w:rPr>
        <w:t xml:space="preserve"> euro</w:t>
      </w:r>
      <w:r w:rsidRPr="00B26C87">
        <w:rPr>
          <w:rFonts w:cs="Times New Roman"/>
        </w:rPr>
        <w:t xml:space="preserve"> </w:t>
      </w:r>
      <w:r w:rsidRPr="00B26C87">
        <w:rPr>
          <w:rFonts w:cs="Times New Roman"/>
          <w:bCs/>
          <w:iCs/>
        </w:rPr>
        <w:t xml:space="preserve">(12.00.00 Finansējums asistenta pakalpojuma nodrošināšanai personai ar invaliditāti pārvietošanas atbalstam un pašaprūpes veikšanai). IZM ir norādījusi, ka ministrijai </w:t>
      </w:r>
      <w:r w:rsidRPr="00B26C87">
        <w:rPr>
          <w:rFonts w:cs="Times New Roman"/>
        </w:rPr>
        <w:t>šī funkcija ir neraksturīga un ka jau iepriekš VKo revīzijā “Vai asistenta pakalpojums izglītības iestādē nodrošina tā i</w:t>
      </w:r>
      <w:r w:rsidR="00231324">
        <w:rPr>
          <w:rFonts w:cs="Times New Roman"/>
        </w:rPr>
        <w:t xml:space="preserve">zveidošanas mērķu sasniegšanu” </w:t>
      </w:r>
      <w:r w:rsidRPr="00B26C87">
        <w:rPr>
          <w:rFonts w:cs="Times New Roman"/>
        </w:rPr>
        <w:t xml:space="preserve">viens no ieteikumiem ir bijis IZM sadarbībā ar LM izvērtēt asistenta pakalpojuma izglītības iestādē kā atsevišķa pakalpojuma invaliditātes seku mazināšanai lietderību un izskatīt iespēju personām ar invaliditāti nepieciešamo atbalstu finansēt izglītības iestāžu uzturēšanas izdevumu ietvaros, tā vienkāršojot arī valsts pārvaldes procesu un netērējot resursus papildu pakalpojumu administrēšanai. </w:t>
      </w:r>
      <w:r w:rsidR="00567FF4">
        <w:rPr>
          <w:rFonts w:cs="Times New Roman"/>
        </w:rPr>
        <w:t>IZM rosina</w:t>
      </w:r>
      <w:r w:rsidR="00567FF4" w:rsidRPr="00567FF4">
        <w:rPr>
          <w:rFonts w:cs="Times New Roman"/>
        </w:rPr>
        <w:t xml:space="preserve"> veidot vienotu asistenta pakalpojumu, kas radītu iespēju pielietot vienotu pakalpojuma nepieciešamības diagnostiku, nodrošināt vienotu un saprotamu asistenta pakalpojuma finansēšanu un vienkāršotu</w:t>
      </w:r>
      <w:r w:rsidR="004D40D6">
        <w:rPr>
          <w:rFonts w:cs="Times New Roman"/>
        </w:rPr>
        <w:t xml:space="preserve"> klientu</w:t>
      </w:r>
      <w:r w:rsidR="00567FF4" w:rsidRPr="00567FF4">
        <w:rPr>
          <w:rFonts w:cs="Times New Roman"/>
        </w:rPr>
        <w:t xml:space="preserve"> vecākiem iespējas saņemt </w:t>
      </w:r>
      <w:r w:rsidR="004D40D6">
        <w:rPr>
          <w:rFonts w:cs="Times New Roman"/>
        </w:rPr>
        <w:t>šo</w:t>
      </w:r>
      <w:r w:rsidR="00567FF4" w:rsidRPr="00567FF4">
        <w:rPr>
          <w:rFonts w:cs="Times New Roman"/>
        </w:rPr>
        <w:t xml:space="preserve"> pakalpojumu.</w:t>
      </w:r>
      <w:r w:rsidR="00567FF4">
        <w:rPr>
          <w:rFonts w:cs="Times New Roman"/>
        </w:rPr>
        <w:t xml:space="preserve"> </w:t>
      </w:r>
      <w:r w:rsidRPr="00B26C87">
        <w:rPr>
          <w:rFonts w:cs="Times New Roman"/>
        </w:rPr>
        <w:t>Savukārt LM norāda, ka funkciju ir iespējams nodot pašvaldībām un LM ir sagatavojusi iesniegšanai MK Konceptuālo ziņojumu “Par asistenta pakalpojuma pašvaldībā pilnveidošanu” (izsludināts VSS 2019.</w:t>
      </w:r>
      <w:r w:rsidR="00E869B3">
        <w:rPr>
          <w:rFonts w:cs="Times New Roman"/>
        </w:rPr>
        <w:t xml:space="preserve"> </w:t>
      </w:r>
      <w:r w:rsidRPr="00B26C87">
        <w:rPr>
          <w:rFonts w:cs="Times New Roman"/>
        </w:rPr>
        <w:t>gada 21.</w:t>
      </w:r>
      <w:r w:rsidR="00E869B3">
        <w:rPr>
          <w:rFonts w:cs="Times New Roman"/>
        </w:rPr>
        <w:t xml:space="preserve"> </w:t>
      </w:r>
      <w:r w:rsidRPr="00B26C87">
        <w:rPr>
          <w:rFonts w:cs="Times New Roman"/>
        </w:rPr>
        <w:t xml:space="preserve">novembrī), kurā aprakstīti vairāki pakalpojuma attīstības scenāriji, t.sk. kā viens no piedāvājuma variantiem - pakalpojuma pilnīga nodošana pašvaldību pārziņā. </w:t>
      </w:r>
      <w:r w:rsidRPr="00B26C87">
        <w:rPr>
          <w:rFonts w:cs="Times New Roman"/>
          <w:b/>
          <w:bCs/>
        </w:rPr>
        <w:t xml:space="preserve">Ņemot vērā abu ministriju funkciju </w:t>
      </w:r>
      <w:r w:rsidRPr="00B26C87">
        <w:rPr>
          <w:rFonts w:cs="Times New Roman"/>
          <w:b/>
          <w:bCs/>
        </w:rPr>
        <w:lastRenderedPageBreak/>
        <w:t>raksturojumus, LM sadarbībā ar IZM</w:t>
      </w:r>
      <w:r w:rsidR="002A3882">
        <w:rPr>
          <w:rFonts w:cs="Times New Roman"/>
          <w:b/>
          <w:bCs/>
        </w:rPr>
        <w:t xml:space="preserve"> un PKC</w:t>
      </w:r>
      <w:r w:rsidRPr="00B26C87">
        <w:rPr>
          <w:rFonts w:cs="Times New Roman"/>
          <w:b/>
          <w:bCs/>
        </w:rPr>
        <w:t xml:space="preserve"> </w:t>
      </w:r>
      <w:r w:rsidR="004D40D6">
        <w:rPr>
          <w:rFonts w:cs="Times New Roman"/>
          <w:b/>
          <w:bCs/>
        </w:rPr>
        <w:t>rast</w:t>
      </w:r>
      <w:r w:rsidRPr="00B26C87">
        <w:rPr>
          <w:rFonts w:cs="Times New Roman"/>
          <w:b/>
          <w:bCs/>
        </w:rPr>
        <w:t xml:space="preserve"> risinājumus un iesniegt priekšlikumus funkcijas</w:t>
      </w:r>
      <w:r w:rsidR="004D40D6" w:rsidRPr="00B26C87">
        <w:rPr>
          <w:rFonts w:cs="Times New Roman"/>
          <w:b/>
          <w:bCs/>
        </w:rPr>
        <w:t xml:space="preserve"> </w:t>
      </w:r>
      <w:r w:rsidR="004D40D6" w:rsidRPr="000E5FF5">
        <w:rPr>
          <w:b/>
        </w:rPr>
        <w:t>efektīvai īstenošanai vienas institūcijas ietvaros</w:t>
      </w:r>
      <w:r w:rsidRPr="00B26C87">
        <w:rPr>
          <w:rFonts w:cs="Times New Roman"/>
          <w:b/>
          <w:bCs/>
        </w:rPr>
        <w:t>.</w:t>
      </w:r>
    </w:p>
    <w:p w14:paraId="1CC1B9A2" w14:textId="5C1F7C4D" w:rsidR="00B26C87" w:rsidRPr="00B26C87" w:rsidRDefault="00B26C87" w:rsidP="00A6713B">
      <w:pPr>
        <w:spacing w:after="120"/>
        <w:jc w:val="both"/>
        <w:rPr>
          <w:rFonts w:cs="Times New Roman"/>
          <w:bCs/>
          <w:iCs/>
        </w:rPr>
      </w:pPr>
      <w:r w:rsidRPr="00B26C87">
        <w:rPr>
          <w:rFonts w:cs="Times New Roman"/>
          <w:bCs/>
        </w:rPr>
        <w:t xml:space="preserve">KM nodrošina funkcijas </w:t>
      </w:r>
      <w:r w:rsidRPr="00B26C87">
        <w:rPr>
          <w:rFonts w:cs="Times New Roman"/>
          <w:bCs/>
          <w:i/>
        </w:rPr>
        <w:t xml:space="preserve">Pilsoniskās sabiedrības attīstības un sabiedrības integrācijas veicināšana, nacionālās identitātes stiprināšana, tai skaitā latviešu valodas un mazākumtautību kultūras savpatnības stiprināšanai </w:t>
      </w:r>
      <w:r w:rsidRPr="00B26C87">
        <w:rPr>
          <w:rFonts w:cs="Times New Roman"/>
          <w:bCs/>
        </w:rPr>
        <w:t>(26.01.00 Sabiedrības integrācijas pasākumu īstenošana –</w:t>
      </w:r>
      <w:r w:rsidRPr="00B26C87">
        <w:rPr>
          <w:rFonts w:ascii="Verdana" w:eastAsia="Verdana" w:hAnsi="Verdana" w:cs="Verdana"/>
          <w:b/>
          <w:bCs/>
          <w:color w:val="000000" w:themeColor="text1"/>
          <w:kern w:val="24"/>
          <w:sz w:val="34"/>
          <w:szCs w:val="34"/>
        </w:rPr>
        <w:t xml:space="preserve"> </w:t>
      </w:r>
      <w:r w:rsidRPr="00B26C87">
        <w:rPr>
          <w:rFonts w:cs="Times New Roman"/>
          <w:bCs/>
        </w:rPr>
        <w:t xml:space="preserve">1,9 milj. </w:t>
      </w:r>
      <w:r w:rsidRPr="00B26C87">
        <w:rPr>
          <w:rFonts w:cs="Times New Roman"/>
          <w:bCs/>
          <w:i/>
          <w:iCs/>
        </w:rPr>
        <w:t>euro</w:t>
      </w:r>
      <w:r w:rsidRPr="00B26C87">
        <w:rPr>
          <w:rFonts w:cs="Times New Roman"/>
          <w:bCs/>
        </w:rPr>
        <w:t xml:space="preserve">, t.sk. 1,2 milj. </w:t>
      </w:r>
      <w:r w:rsidRPr="00B26C87">
        <w:rPr>
          <w:rFonts w:cs="Times New Roman"/>
          <w:bCs/>
          <w:i/>
          <w:iCs/>
        </w:rPr>
        <w:t xml:space="preserve">euro </w:t>
      </w:r>
      <w:r w:rsidRPr="00B26C87">
        <w:rPr>
          <w:rFonts w:cs="Times New Roman"/>
          <w:bCs/>
        </w:rPr>
        <w:t>transferts SIF</w:t>
      </w:r>
      <w:r w:rsidRPr="00B26C87">
        <w:rPr>
          <w:rFonts w:cs="Times New Roman"/>
          <w:bCs/>
          <w:i/>
        </w:rPr>
        <w:t xml:space="preserve">) </w:t>
      </w:r>
      <w:r w:rsidRPr="00B26C87">
        <w:rPr>
          <w:rFonts w:cs="Times New Roman"/>
          <w:bCs/>
        </w:rPr>
        <w:t xml:space="preserve">īstenošanu. Savukārt SIF nodrošina </w:t>
      </w:r>
      <w:r w:rsidR="001F323F">
        <w:rPr>
          <w:rFonts w:cs="Times New Roman"/>
          <w:bCs/>
        </w:rPr>
        <w:t xml:space="preserve">tikai </w:t>
      </w:r>
      <w:r w:rsidRPr="00B26C87">
        <w:rPr>
          <w:rFonts w:cs="Times New Roman"/>
          <w:bCs/>
        </w:rPr>
        <w:t>funkcijas</w:t>
      </w:r>
      <w:r w:rsidR="001F323F" w:rsidRPr="1A3F6F40">
        <w:rPr>
          <w:rFonts w:cs="Times New Roman"/>
        </w:rPr>
        <w:t>, kas attiecināmas uz atklātu projektu konkursu administrēšanu:</w:t>
      </w:r>
      <w:r w:rsidR="001F323F" w:rsidRPr="51EA6328">
        <w:rPr>
          <w:rFonts w:cs="Times New Roman"/>
        </w:rPr>
        <w:t xml:space="preserve"> </w:t>
      </w:r>
      <w:r w:rsidRPr="00B26C87">
        <w:rPr>
          <w:rFonts w:cs="Times New Roman"/>
          <w:bCs/>
        </w:rPr>
        <w:t xml:space="preserve"> </w:t>
      </w:r>
      <w:r w:rsidRPr="00B26C87">
        <w:rPr>
          <w:rFonts w:cs="Times New Roman"/>
          <w:bCs/>
          <w:i/>
        </w:rPr>
        <w:t xml:space="preserve">Programmu dokumentācijas sagatavošana, projektu konkursu organizēšana, programmu, apakšprogrammu īstenošana un programmās, apakšprogrammās, kuru īstenošana pabeigta, projektu uzraudzības nodrošināšana pēc to ieviešanas </w:t>
      </w:r>
      <w:r w:rsidRPr="00B26C87">
        <w:rPr>
          <w:rFonts w:cs="Times New Roman"/>
          <w:bCs/>
        </w:rPr>
        <w:t xml:space="preserve">(0,5 milj. </w:t>
      </w:r>
      <w:r w:rsidRPr="00B26C87">
        <w:rPr>
          <w:rFonts w:cs="Times New Roman"/>
          <w:bCs/>
          <w:i/>
          <w:iCs/>
        </w:rPr>
        <w:t>euro</w:t>
      </w:r>
      <w:r w:rsidRPr="00B26C87">
        <w:rPr>
          <w:rFonts w:cs="Times New Roman"/>
          <w:bCs/>
        </w:rPr>
        <w:t xml:space="preserve">) un tās pašas budžeta programmas funkcijas </w:t>
      </w:r>
      <w:r w:rsidRPr="00B26C87">
        <w:rPr>
          <w:rFonts w:cs="Times New Roman"/>
          <w:bCs/>
          <w:i/>
        </w:rPr>
        <w:t>Granta shēmas “Mazākumtautību NVO projektu spējas celšana” administrēšana</w:t>
      </w:r>
      <w:r w:rsidRPr="00B26C87">
        <w:rPr>
          <w:rFonts w:cs="Times New Roman"/>
          <w:bCs/>
        </w:rPr>
        <w:t xml:space="preserve"> (31,3 tūkst. </w:t>
      </w:r>
      <w:r w:rsidRPr="00B26C87">
        <w:rPr>
          <w:rFonts w:cs="Times New Roman"/>
          <w:bCs/>
          <w:i/>
          <w:iCs/>
        </w:rPr>
        <w:t>euro</w:t>
      </w:r>
      <w:r w:rsidRPr="00B26C87">
        <w:rPr>
          <w:rFonts w:cs="Times New Roman"/>
          <w:bCs/>
        </w:rPr>
        <w:t>) (</w:t>
      </w:r>
      <w:r w:rsidRPr="00B26C87">
        <w:rPr>
          <w:rFonts w:cs="Times New Roman"/>
          <w:bCs/>
          <w:iCs/>
        </w:rPr>
        <w:t>01.00.00 Sabiedrības integrācijas fonda vadība</w:t>
      </w:r>
      <w:r w:rsidRPr="00B26C87">
        <w:rPr>
          <w:rFonts w:cs="Times New Roman"/>
          <w:bCs/>
        </w:rPr>
        <w:t xml:space="preserve">) īstenošanu. Kā novērojams pēc matricu analīzes SIF funkcijas pārklājas ar vairākām citu ministriju funkcijām. Sabiedrības integrācijas funkcija KM ir gan kā </w:t>
      </w:r>
      <w:r w:rsidR="00C25633">
        <w:rPr>
          <w:rFonts w:cs="Times New Roman"/>
          <w:bCs/>
        </w:rPr>
        <w:t xml:space="preserve">budžeta </w:t>
      </w:r>
      <w:r w:rsidRPr="00B26C87">
        <w:rPr>
          <w:rFonts w:cs="Times New Roman"/>
          <w:bCs/>
        </w:rPr>
        <w:t xml:space="preserve">programma, gan kā atbildīgā nodaļa KM ietvaros, </w:t>
      </w:r>
      <w:r w:rsidR="001F323F">
        <w:rPr>
          <w:rFonts w:cs="Times New Roman"/>
          <w:bCs/>
        </w:rPr>
        <w:t>bet</w:t>
      </w:r>
      <w:r w:rsidR="001F323F" w:rsidRPr="00B26C87">
        <w:rPr>
          <w:rFonts w:cs="Times New Roman"/>
          <w:bCs/>
        </w:rPr>
        <w:t xml:space="preserve"> </w:t>
      </w:r>
      <w:r w:rsidRPr="00B26C87">
        <w:rPr>
          <w:rFonts w:cs="Times New Roman"/>
          <w:bCs/>
        </w:rPr>
        <w:t>SIF vērtējams</w:t>
      </w:r>
      <w:r w:rsidR="001F323F">
        <w:rPr>
          <w:rFonts w:cs="Times New Roman"/>
          <w:bCs/>
        </w:rPr>
        <w:t xml:space="preserve"> tikai</w:t>
      </w:r>
      <w:r w:rsidRPr="00B26C87">
        <w:rPr>
          <w:rFonts w:cs="Times New Roman"/>
          <w:bCs/>
        </w:rPr>
        <w:t xml:space="preserve"> kā papildus sabiedrības integrācijas </w:t>
      </w:r>
      <w:r w:rsidR="000C36DC">
        <w:rPr>
          <w:rFonts w:cs="Times New Roman"/>
          <w:bCs/>
        </w:rPr>
        <w:t xml:space="preserve">atklātu </w:t>
      </w:r>
      <w:r w:rsidRPr="00B26C87">
        <w:rPr>
          <w:rFonts w:cs="Times New Roman"/>
          <w:bCs/>
        </w:rPr>
        <w:t xml:space="preserve">projektu </w:t>
      </w:r>
      <w:r w:rsidR="000C36DC">
        <w:rPr>
          <w:rFonts w:cs="Times New Roman"/>
          <w:bCs/>
        </w:rPr>
        <w:t xml:space="preserve">konkursu </w:t>
      </w:r>
      <w:r w:rsidRPr="00B26C87">
        <w:rPr>
          <w:rFonts w:cs="Times New Roman"/>
          <w:bCs/>
        </w:rPr>
        <w:t>administrētājs. Tāpat SIF ir atbildīgs par atsevišķiem valodas politikas, reemigrācijas un diasporas jautājumiem</w:t>
      </w:r>
      <w:r w:rsidR="00117495">
        <w:rPr>
          <w:rFonts w:cs="Times New Roman"/>
          <w:bCs/>
        </w:rPr>
        <w:t>, kas arī konstatētas</w:t>
      </w:r>
      <w:r w:rsidRPr="00B26C87">
        <w:rPr>
          <w:rFonts w:cs="Times New Roman"/>
          <w:bCs/>
        </w:rPr>
        <w:t xml:space="preserve"> citu resoru funkcij</w:t>
      </w:r>
      <w:r w:rsidR="00117495">
        <w:rPr>
          <w:rFonts w:cs="Times New Roman"/>
          <w:bCs/>
        </w:rPr>
        <w:t>ās</w:t>
      </w:r>
      <w:r w:rsidRPr="00B26C87">
        <w:rPr>
          <w:rFonts w:cs="Times New Roman"/>
          <w:bCs/>
        </w:rPr>
        <w:t xml:space="preserve">. </w:t>
      </w:r>
    </w:p>
    <w:p w14:paraId="4EFB395E" w14:textId="77777777" w:rsidR="00B26C87" w:rsidRPr="00B26C87" w:rsidRDefault="00B26C87" w:rsidP="00A6713B">
      <w:pPr>
        <w:spacing w:after="120"/>
        <w:jc w:val="both"/>
        <w:rPr>
          <w:rFonts w:cs="Times New Roman"/>
          <w:bCs/>
          <w:iCs/>
        </w:rPr>
      </w:pPr>
      <w:r w:rsidRPr="00B26C87">
        <w:rPr>
          <w:rFonts w:cs="Times New Roman"/>
          <w:bCs/>
          <w:iCs/>
        </w:rPr>
        <w:t xml:space="preserve">LM uzskata, ka funkciju </w:t>
      </w:r>
      <w:r w:rsidRPr="00B26C87">
        <w:rPr>
          <w:rFonts w:cs="Times New Roman"/>
          <w:bCs/>
          <w:i/>
          <w:iCs/>
        </w:rPr>
        <w:t>Nodrošināt finansiālu atbalstu sociālās jomas biedrībām, nodibinājumiem un reliģiskām organizācijām, lai saņemtu organizētu pilsoniskās sabiedrības viedokli ekspertīzi nozares politikas plānošanai, stiprinātu sabiedrības savstarpējo komunikāciju un izpratni par labklājības jomas jautājumiem</w:t>
      </w:r>
      <w:r w:rsidRPr="00B26C87">
        <w:rPr>
          <w:rFonts w:cs="Times New Roman"/>
          <w:bCs/>
          <w:iCs/>
        </w:rPr>
        <w:t xml:space="preserve"> (05.63.00 Dotācija biedrībām, nodibinājumiem un reliģiskām organizācijām – 0,2 milj. </w:t>
      </w:r>
      <w:r w:rsidRPr="00B26C87">
        <w:rPr>
          <w:rFonts w:cs="Times New Roman"/>
          <w:bCs/>
          <w:i/>
          <w:iCs/>
        </w:rPr>
        <w:t>euro</w:t>
      </w:r>
      <w:r w:rsidRPr="00B26C87">
        <w:rPr>
          <w:rFonts w:cs="Times New Roman"/>
          <w:bCs/>
          <w:iCs/>
        </w:rPr>
        <w:t xml:space="preserve">) iespējams pārdalīt citai valsts pārvaldes iestādei, piemēram SIF, ņemot vērā, ka SIF programmas 02.00.00 “Latvijas NVO fonda un latviešu valodas apguves programmas” viens no mērķiem ir finansiāli atbalstīt biedrības un nodibinājumus, lai veicinātu iedzīvotāju līdzdalību sabiedriskajos procesos, uzlabotu iedzīvotāju dzīves kvalitāti un stiprinātu demokrātiju Latvijā. </w:t>
      </w:r>
    </w:p>
    <w:p w14:paraId="16D4A9DC" w14:textId="77777777" w:rsidR="00B26C87" w:rsidRPr="00B26C87" w:rsidRDefault="00B26C87" w:rsidP="00A6713B">
      <w:pPr>
        <w:spacing w:after="120"/>
        <w:jc w:val="both"/>
        <w:rPr>
          <w:rFonts w:cs="Times New Roman"/>
          <w:bCs/>
          <w:iCs/>
        </w:rPr>
      </w:pPr>
      <w:r w:rsidRPr="00B26C87">
        <w:rPr>
          <w:rFonts w:cs="Times New Roman"/>
          <w:bCs/>
          <w:iCs/>
        </w:rPr>
        <w:t xml:space="preserve">Tāpat secināts, ka ir vairāki resori, kas atbild par valsts valodas politikas īstenošanu. SIF valsts valodas apguvi nodrošina caur divām funkcijām </w:t>
      </w:r>
      <w:r w:rsidRPr="00B26C87">
        <w:rPr>
          <w:rFonts w:cs="Times New Roman"/>
          <w:bCs/>
          <w:i/>
        </w:rPr>
        <w:t>Latviešu valodas apguve reemigrantiem un viņu ģimenes</w:t>
      </w:r>
      <w:r w:rsidRPr="00B26C87">
        <w:rPr>
          <w:rFonts w:cs="Times New Roman"/>
          <w:bCs/>
        </w:rPr>
        <w:t xml:space="preserve"> locekļiem </w:t>
      </w:r>
      <w:r w:rsidRPr="00B26C87">
        <w:rPr>
          <w:rFonts w:cs="Times New Roman"/>
          <w:bCs/>
          <w:iCs/>
        </w:rPr>
        <w:t>(03.00.00 Reemigrācijas atbalsta programma –</w:t>
      </w:r>
      <w:r w:rsidRPr="00B26C87">
        <w:rPr>
          <w:rFonts w:cs="Times New Roman"/>
          <w:bCs/>
          <w:i/>
          <w:iCs/>
        </w:rPr>
        <w:t xml:space="preserve"> </w:t>
      </w:r>
      <w:r w:rsidRPr="00B26C87">
        <w:rPr>
          <w:rFonts w:cs="Times New Roman"/>
          <w:bCs/>
        </w:rPr>
        <w:t xml:space="preserve">34,1 tūkst. </w:t>
      </w:r>
      <w:r w:rsidRPr="00B26C87">
        <w:rPr>
          <w:rFonts w:cs="Times New Roman"/>
          <w:bCs/>
          <w:i/>
          <w:iCs/>
        </w:rPr>
        <w:t>euro</w:t>
      </w:r>
      <w:r w:rsidRPr="00B26C87">
        <w:rPr>
          <w:rFonts w:cs="Times New Roman"/>
          <w:bCs/>
          <w:iCs/>
        </w:rPr>
        <w:t>)</w:t>
      </w:r>
      <w:r w:rsidRPr="00B26C87">
        <w:rPr>
          <w:rFonts w:cs="Times New Roman"/>
          <w:bCs/>
          <w:i/>
          <w:iCs/>
        </w:rPr>
        <w:t xml:space="preserve"> </w:t>
      </w:r>
      <w:r w:rsidRPr="00B26C87">
        <w:rPr>
          <w:rFonts w:cs="Times New Roman"/>
          <w:bCs/>
          <w:iCs/>
        </w:rPr>
        <w:t>un</w:t>
      </w:r>
      <w:r w:rsidRPr="00B26C87">
        <w:rPr>
          <w:rFonts w:cs="Times New Roman"/>
          <w:bCs/>
          <w:i/>
          <w:iCs/>
        </w:rPr>
        <w:t xml:space="preserve"> </w:t>
      </w:r>
      <w:r w:rsidRPr="00B26C87">
        <w:rPr>
          <w:rFonts w:cs="Times New Roman"/>
          <w:bCs/>
          <w:i/>
        </w:rPr>
        <w:t>NVO fonda programmas īstenošana</w:t>
      </w:r>
      <w:r w:rsidRPr="00B26C87">
        <w:rPr>
          <w:rFonts w:cs="Times New Roman"/>
          <w:bCs/>
        </w:rPr>
        <w:t xml:space="preserve"> (</w:t>
      </w:r>
      <w:r w:rsidRPr="00B26C87">
        <w:rPr>
          <w:rFonts w:cs="Times New Roman"/>
          <w:bCs/>
          <w:iCs/>
        </w:rPr>
        <w:t>02.00.00 Latvijas NVO fonda un latviešu valodas apguves programmas</w:t>
      </w:r>
      <w:r w:rsidRPr="00B26C87">
        <w:rPr>
          <w:rFonts w:cs="Times New Roman"/>
          <w:bCs/>
          <w:i/>
          <w:iCs/>
        </w:rPr>
        <w:t xml:space="preserve"> – </w:t>
      </w:r>
      <w:r w:rsidRPr="00B26C87">
        <w:rPr>
          <w:rFonts w:cs="Times New Roman"/>
          <w:bCs/>
        </w:rPr>
        <w:t xml:space="preserve">1,2 milj. </w:t>
      </w:r>
      <w:r w:rsidRPr="00B26C87">
        <w:rPr>
          <w:rFonts w:cs="Times New Roman"/>
          <w:bCs/>
          <w:i/>
          <w:iCs/>
        </w:rPr>
        <w:t>euro</w:t>
      </w:r>
      <w:r w:rsidRPr="00B26C87">
        <w:rPr>
          <w:rFonts w:cs="Times New Roman"/>
          <w:bCs/>
          <w:iCs/>
        </w:rPr>
        <w:t xml:space="preserve">). Savukārt </w:t>
      </w:r>
      <w:r w:rsidRPr="00B26C87">
        <w:rPr>
          <w:rFonts w:cs="Times New Roman"/>
          <w:bCs/>
        </w:rPr>
        <w:t>TM</w:t>
      </w:r>
      <w:r w:rsidRPr="00B26C87">
        <w:rPr>
          <w:rFonts w:cs="Times New Roman"/>
          <w:b/>
          <w:bCs/>
        </w:rPr>
        <w:t xml:space="preserve"> </w:t>
      </w:r>
      <w:r w:rsidRPr="00B26C87">
        <w:rPr>
          <w:rFonts w:cs="Times New Roman"/>
          <w:bCs/>
        </w:rPr>
        <w:t xml:space="preserve">nodrošina uzraudzības un kontroles funkciju – </w:t>
      </w:r>
      <w:r w:rsidRPr="00B26C87">
        <w:rPr>
          <w:rFonts w:cs="Times New Roman"/>
          <w:bCs/>
          <w:i/>
        </w:rPr>
        <w:t>Veic normatīvo aktu ievērošanas uzraudzību un kontroli valsts valodas lietošanas jomā</w:t>
      </w:r>
      <w:r w:rsidRPr="00B26C87">
        <w:rPr>
          <w:rFonts w:cs="Times New Roman"/>
          <w:bCs/>
        </w:rPr>
        <w:t xml:space="preserve"> </w:t>
      </w:r>
      <w:r w:rsidRPr="00B26C87">
        <w:rPr>
          <w:rFonts w:cs="Times New Roman"/>
          <w:bCs/>
          <w:iCs/>
        </w:rPr>
        <w:t xml:space="preserve">(09.01.00 Valsts valodas aizsardzība </w:t>
      </w:r>
      <w:r w:rsidRPr="00B26C87">
        <w:rPr>
          <w:rFonts w:cs="Times New Roman"/>
          <w:bCs/>
          <w:i/>
          <w:iCs/>
        </w:rPr>
        <w:t xml:space="preserve">– </w:t>
      </w:r>
      <w:r w:rsidRPr="00B26C87">
        <w:rPr>
          <w:rFonts w:cs="Times New Roman"/>
          <w:bCs/>
        </w:rPr>
        <w:t xml:space="preserve">0,6 milj. </w:t>
      </w:r>
      <w:r w:rsidRPr="00B26C87">
        <w:rPr>
          <w:rFonts w:cs="Times New Roman"/>
          <w:bCs/>
          <w:i/>
          <w:iCs/>
        </w:rPr>
        <w:t>euro</w:t>
      </w:r>
      <w:r w:rsidRPr="00B26C87">
        <w:rPr>
          <w:rFonts w:cs="Times New Roman"/>
          <w:bCs/>
          <w:iCs/>
        </w:rPr>
        <w:t xml:space="preserve">). Par valsts valodas politikas pamatfunkcijām atbildīgā ir IZM, kur valsts valodas politika tiek īstenota caur vairākām programmu un apakšprogrammu funkcijām: </w:t>
      </w:r>
    </w:p>
    <w:p w14:paraId="7785272C" w14:textId="77777777" w:rsidR="00B26C87" w:rsidRPr="00B26C87" w:rsidRDefault="00B26C87" w:rsidP="00A6713B">
      <w:pPr>
        <w:numPr>
          <w:ilvl w:val="0"/>
          <w:numId w:val="20"/>
        </w:numPr>
        <w:spacing w:after="120"/>
        <w:ind w:left="709"/>
        <w:jc w:val="both"/>
        <w:rPr>
          <w:rFonts w:cs="Times New Roman"/>
          <w:bCs/>
          <w:iCs/>
        </w:rPr>
      </w:pPr>
      <w:r w:rsidRPr="00B26C87">
        <w:rPr>
          <w:rFonts w:cs="Times New Roman"/>
          <w:bCs/>
          <w:i/>
        </w:rPr>
        <w:t xml:space="preserve">Latviešu valodas ilgtspējīgas attīstības veicināšana un konsultatīvs atbalsts fiziskām un juridiskām personām latviešu valodas lietojuma jautājumos </w:t>
      </w:r>
      <w:r w:rsidRPr="00B26C87">
        <w:rPr>
          <w:rFonts w:cs="Times New Roman"/>
          <w:bCs/>
          <w:iCs/>
        </w:rPr>
        <w:t>(04.00.00 Valsts valodas politika un pārvalde</w:t>
      </w:r>
      <w:r w:rsidRPr="00B26C87">
        <w:rPr>
          <w:rFonts w:cs="Times New Roman"/>
          <w:bCs/>
          <w:i/>
          <w:iCs/>
        </w:rPr>
        <w:t xml:space="preserve"> – </w:t>
      </w:r>
      <w:r w:rsidRPr="00B26C87">
        <w:rPr>
          <w:rFonts w:cs="Times New Roman"/>
          <w:bCs/>
        </w:rPr>
        <w:t xml:space="preserve">0,4 milj. </w:t>
      </w:r>
      <w:r w:rsidRPr="00B26C87">
        <w:rPr>
          <w:rFonts w:cs="Times New Roman"/>
          <w:bCs/>
          <w:i/>
          <w:iCs/>
        </w:rPr>
        <w:t>euro</w:t>
      </w:r>
      <w:r w:rsidRPr="00B26C87">
        <w:rPr>
          <w:rFonts w:cs="Times New Roman"/>
          <w:bCs/>
        </w:rPr>
        <w:t>)</w:t>
      </w:r>
    </w:p>
    <w:p w14:paraId="4A3CC369" w14:textId="77777777" w:rsidR="00B26C87" w:rsidRPr="00B26C87" w:rsidRDefault="00B26C87" w:rsidP="00A6713B">
      <w:pPr>
        <w:numPr>
          <w:ilvl w:val="0"/>
          <w:numId w:val="20"/>
        </w:numPr>
        <w:spacing w:after="120"/>
        <w:ind w:left="709"/>
        <w:jc w:val="both"/>
        <w:rPr>
          <w:rFonts w:cs="Times New Roman"/>
          <w:bCs/>
          <w:iCs/>
        </w:rPr>
      </w:pPr>
      <w:r w:rsidRPr="00B26C87">
        <w:rPr>
          <w:rFonts w:cs="Times New Roman"/>
          <w:bCs/>
        </w:rPr>
        <w:t>Funkcija Atbalsts latviešu valodas apguvei Latvijā un ārvalstīs, t.sk. diasporā (</w:t>
      </w:r>
      <w:r w:rsidRPr="00B26C87">
        <w:rPr>
          <w:rFonts w:cs="Times New Roman"/>
          <w:bCs/>
          <w:iCs/>
        </w:rPr>
        <w:t>04.00.00 Valsts valodas politika un pārvalde</w:t>
      </w:r>
      <w:r w:rsidRPr="00B26C87">
        <w:rPr>
          <w:rFonts w:cs="Times New Roman"/>
          <w:bCs/>
          <w:i/>
          <w:iCs/>
        </w:rPr>
        <w:t xml:space="preserve"> – </w:t>
      </w:r>
      <w:r w:rsidRPr="00B26C87">
        <w:rPr>
          <w:rFonts w:cs="Times New Roman"/>
          <w:bCs/>
        </w:rPr>
        <w:t xml:space="preserve">1,7 milj. </w:t>
      </w:r>
      <w:r w:rsidRPr="00B26C87">
        <w:rPr>
          <w:rFonts w:cs="Times New Roman"/>
          <w:bCs/>
          <w:i/>
          <w:iCs/>
        </w:rPr>
        <w:t>euro</w:t>
      </w:r>
      <w:r w:rsidRPr="00B26C87">
        <w:rPr>
          <w:rFonts w:cs="Times New Roman"/>
          <w:bCs/>
        </w:rPr>
        <w:t>)</w:t>
      </w:r>
    </w:p>
    <w:p w14:paraId="182179E0" w14:textId="77777777" w:rsidR="00B26C87" w:rsidRPr="00B26C87" w:rsidRDefault="00B26C87" w:rsidP="00A6713B">
      <w:pPr>
        <w:numPr>
          <w:ilvl w:val="0"/>
          <w:numId w:val="20"/>
        </w:numPr>
        <w:spacing w:after="120"/>
        <w:ind w:left="709"/>
        <w:jc w:val="both"/>
        <w:rPr>
          <w:rFonts w:cs="Times New Roman"/>
          <w:bCs/>
          <w:iCs/>
        </w:rPr>
      </w:pPr>
      <w:r w:rsidRPr="00B26C87">
        <w:rPr>
          <w:rFonts w:cs="Times New Roman"/>
          <w:bCs/>
          <w:i/>
        </w:rPr>
        <w:t>Eiropas skolas pedagogu atalgojumu līdzfinansēšana, lai nodrošinātu vispārējās izglītības atbalsta pasākumu īstenošanu, t. sk. līdzfinansēt Eiropas skolas pedagogu atalgojumu, lai izglītojamiem būtu iespēja apgūt latviešu valodu</w:t>
      </w:r>
      <w:r w:rsidRPr="00B26C87">
        <w:rPr>
          <w:rFonts w:cs="Times New Roman"/>
          <w:bCs/>
        </w:rPr>
        <w:t xml:space="preserve"> (</w:t>
      </w:r>
      <w:r w:rsidRPr="00B26C87">
        <w:rPr>
          <w:rFonts w:cs="Times New Roman"/>
          <w:bCs/>
          <w:iCs/>
        </w:rPr>
        <w:t>01.08.00 Vispārējās izglītības atbalsta pasākumi</w:t>
      </w:r>
      <w:r w:rsidRPr="00B26C87">
        <w:rPr>
          <w:rFonts w:cs="Times New Roman"/>
          <w:b/>
          <w:bCs/>
        </w:rPr>
        <w:t xml:space="preserve"> – </w:t>
      </w:r>
      <w:r w:rsidRPr="00B26C87">
        <w:rPr>
          <w:rFonts w:cs="Times New Roman"/>
          <w:bCs/>
        </w:rPr>
        <w:t xml:space="preserve">83,3 tūkst. </w:t>
      </w:r>
      <w:r w:rsidRPr="00B26C87">
        <w:rPr>
          <w:rFonts w:cs="Times New Roman"/>
          <w:bCs/>
          <w:i/>
          <w:iCs/>
        </w:rPr>
        <w:t>euro</w:t>
      </w:r>
      <w:r w:rsidRPr="00B26C87">
        <w:rPr>
          <w:rFonts w:cs="Times New Roman"/>
          <w:bCs/>
        </w:rPr>
        <w:t>)</w:t>
      </w:r>
    </w:p>
    <w:p w14:paraId="574D3AF9" w14:textId="77777777" w:rsidR="00B26C87" w:rsidRPr="00B26C87" w:rsidRDefault="00B26C87" w:rsidP="00A6713B">
      <w:pPr>
        <w:numPr>
          <w:ilvl w:val="0"/>
          <w:numId w:val="20"/>
        </w:numPr>
        <w:spacing w:after="120"/>
        <w:ind w:left="709"/>
        <w:jc w:val="both"/>
        <w:rPr>
          <w:rFonts w:cs="Times New Roman"/>
          <w:bCs/>
          <w:iCs/>
        </w:rPr>
      </w:pPr>
      <w:r w:rsidRPr="00B26C87">
        <w:rPr>
          <w:rFonts w:cs="Times New Roman"/>
          <w:bCs/>
          <w:i/>
        </w:rPr>
        <w:lastRenderedPageBreak/>
        <w:t>Valsts izglītības satura centra darbības nodrošināšana, kura palīdz sasniegt apakšprogrammas mērķi īstenot izglītības politiku vispārējās, profesionālās un interešu izglītības satura pilnveidē un valsts valodas jomā</w:t>
      </w:r>
      <w:r w:rsidRPr="00B26C87">
        <w:rPr>
          <w:rFonts w:cs="Times New Roman"/>
          <w:bCs/>
        </w:rPr>
        <w:t xml:space="preserve"> (</w:t>
      </w:r>
      <w:r w:rsidRPr="00B26C87">
        <w:rPr>
          <w:rFonts w:cs="Times New Roman"/>
          <w:bCs/>
          <w:iCs/>
        </w:rPr>
        <w:t>42.06.00 Valsts izglītības satura centra darbības nodrošināšana</w:t>
      </w:r>
      <w:r w:rsidRPr="00B26C87">
        <w:rPr>
          <w:rFonts w:cs="Times New Roman"/>
          <w:b/>
          <w:bCs/>
        </w:rPr>
        <w:t xml:space="preserve"> </w:t>
      </w:r>
      <w:r w:rsidRPr="00B26C87">
        <w:rPr>
          <w:rFonts w:cs="Times New Roman"/>
          <w:bCs/>
        </w:rPr>
        <w:t xml:space="preserve">– 1,3 milj. </w:t>
      </w:r>
      <w:r w:rsidRPr="00B26C87">
        <w:rPr>
          <w:rFonts w:cs="Times New Roman"/>
          <w:bCs/>
          <w:i/>
          <w:iCs/>
        </w:rPr>
        <w:t>euro</w:t>
      </w:r>
      <w:r w:rsidRPr="00B26C87">
        <w:rPr>
          <w:rFonts w:cs="Times New Roman"/>
          <w:bCs/>
        </w:rPr>
        <w:t>)</w:t>
      </w:r>
    </w:p>
    <w:p w14:paraId="48DC4FED" w14:textId="615FD1AC" w:rsidR="00B26C87" w:rsidRPr="00B26C87" w:rsidRDefault="00B26C87" w:rsidP="00A6713B">
      <w:pPr>
        <w:numPr>
          <w:ilvl w:val="0"/>
          <w:numId w:val="20"/>
        </w:numPr>
        <w:spacing w:after="120"/>
        <w:ind w:left="709"/>
        <w:jc w:val="both"/>
        <w:rPr>
          <w:rFonts w:cs="Times New Roman"/>
          <w:bCs/>
          <w:iCs/>
        </w:rPr>
      </w:pPr>
      <w:r w:rsidRPr="00B26C87">
        <w:rPr>
          <w:rFonts w:cs="Times New Roman"/>
          <w:bCs/>
          <w:i/>
        </w:rPr>
        <w:t>Pētījumu, auditu veikšana, kā arī semināru, konferences</w:t>
      </w:r>
      <w:r w:rsidR="00231324">
        <w:rPr>
          <w:rFonts w:cs="Times New Roman"/>
          <w:bCs/>
          <w:i/>
        </w:rPr>
        <w:t xml:space="preserve"> un citu pasākumu organizēšana </w:t>
      </w:r>
      <w:r w:rsidRPr="00B26C87">
        <w:rPr>
          <w:rFonts w:cs="Times New Roman"/>
          <w:bCs/>
          <w:i/>
        </w:rPr>
        <w:t>izglītības, zinātnes un sporta nozarē, jaunatnes un valsts valodas politikas jomā</w:t>
      </w:r>
      <w:r w:rsidRPr="00B26C87">
        <w:rPr>
          <w:rFonts w:cs="Times New Roman"/>
          <w:bCs/>
        </w:rPr>
        <w:t xml:space="preserve"> (</w:t>
      </w:r>
      <w:r w:rsidRPr="00B26C87">
        <w:rPr>
          <w:rFonts w:cs="Times New Roman"/>
          <w:bCs/>
          <w:iCs/>
        </w:rPr>
        <w:t>97.02.00 Nozares vadības atbalsta pasākumi</w:t>
      </w:r>
      <w:r w:rsidRPr="00B26C87">
        <w:rPr>
          <w:rFonts w:cs="Times New Roman"/>
          <w:bCs/>
          <w:i/>
          <w:iCs/>
        </w:rPr>
        <w:t xml:space="preserve"> – </w:t>
      </w:r>
      <w:r w:rsidRPr="00B26C87">
        <w:rPr>
          <w:rFonts w:cs="Times New Roman"/>
          <w:bCs/>
        </w:rPr>
        <w:t>0,</w:t>
      </w:r>
      <w:r w:rsidRPr="00B26C87">
        <w:rPr>
          <w:rFonts w:cs="Times New Roman"/>
        </w:rPr>
        <w:t>3 milj</w:t>
      </w:r>
      <w:r w:rsidRPr="00B26C87">
        <w:rPr>
          <w:rFonts w:cs="Times New Roman"/>
          <w:bCs/>
        </w:rPr>
        <w:t xml:space="preserve">. </w:t>
      </w:r>
      <w:r w:rsidRPr="00B26C87">
        <w:rPr>
          <w:rFonts w:cs="Times New Roman"/>
          <w:bCs/>
          <w:i/>
          <w:iCs/>
        </w:rPr>
        <w:t>euro</w:t>
      </w:r>
      <w:r w:rsidRPr="00B26C87">
        <w:rPr>
          <w:rFonts w:cs="Times New Roman"/>
          <w:bCs/>
        </w:rPr>
        <w:t>).</w:t>
      </w:r>
      <w:r w:rsidRPr="00B26C87">
        <w:rPr>
          <w:rFonts w:cs="Times New Roman"/>
          <w:bCs/>
          <w:iCs/>
        </w:rPr>
        <w:t xml:space="preserve">      </w:t>
      </w:r>
    </w:p>
    <w:p w14:paraId="46F31F66" w14:textId="77777777" w:rsidR="00B26C87" w:rsidRPr="00B26C87" w:rsidRDefault="00B26C87" w:rsidP="00A6713B">
      <w:pPr>
        <w:spacing w:after="120"/>
        <w:jc w:val="both"/>
        <w:rPr>
          <w:rFonts w:cs="Times New Roman"/>
          <w:bCs/>
          <w:iCs/>
        </w:rPr>
      </w:pPr>
      <w:r w:rsidRPr="00B26C87">
        <w:rPr>
          <w:rFonts w:cs="Times New Roman"/>
          <w:bCs/>
        </w:rPr>
        <w:t xml:space="preserve">IZM funkcija </w:t>
      </w:r>
      <w:r w:rsidRPr="00B26C87">
        <w:rPr>
          <w:rFonts w:cs="Times New Roman"/>
          <w:bCs/>
          <w:i/>
        </w:rPr>
        <w:t>Atbalsts latviešu valodas apguvei Latvijā un ārvalstīs, t.sk. diasporā</w:t>
      </w:r>
      <w:r w:rsidRPr="00B26C87">
        <w:rPr>
          <w:rFonts w:cs="Times New Roman"/>
          <w:bCs/>
        </w:rPr>
        <w:t xml:space="preserve">, kur programmas ietvaros īsteno vienotu valsts politiku attiecībā uz diasporas nedēļas nogales skolām, diasporas vasaras vidusskolām un citiem diasporas neformālās izglītības pasākumiem, nodrošina pastāvīgu un sistemātisku atbalstu diasporas bērnu neformālās interešu izglītības un latviešu valodas nometņu organizēšanai Latvijā un ārvalstīs, koordinē diasporas izglītības vadlīnijām atbilstošu atbalsta pasākumu izstrādi un īstenošanu, atbalsta metodisko mācību līdzekļu izstrādi un nodrošina to pieejamību (1,7 milj. </w:t>
      </w:r>
      <w:r w:rsidRPr="00B26C87">
        <w:rPr>
          <w:rFonts w:cs="Times New Roman"/>
          <w:bCs/>
          <w:i/>
          <w:iCs/>
        </w:rPr>
        <w:t>euro</w:t>
      </w:r>
      <w:r w:rsidRPr="00B26C87">
        <w:rPr>
          <w:rFonts w:cs="Times New Roman"/>
          <w:bCs/>
        </w:rPr>
        <w:t xml:space="preserve">) </w:t>
      </w:r>
      <w:r w:rsidRPr="00B26C87">
        <w:rPr>
          <w:rFonts w:cs="Times New Roman"/>
          <w:bCs/>
          <w:iCs/>
        </w:rPr>
        <w:t>(04.00.00 Valsts valodas politika un pārvalde)</w:t>
      </w:r>
      <w:r w:rsidRPr="00B26C87">
        <w:rPr>
          <w:rFonts w:cs="Times New Roman"/>
          <w:bCs/>
          <w:i/>
          <w:iCs/>
        </w:rPr>
        <w:t xml:space="preserve">. </w:t>
      </w:r>
      <w:r w:rsidRPr="00B26C87">
        <w:rPr>
          <w:rFonts w:cs="Times New Roman"/>
          <w:bCs/>
          <w:iCs/>
        </w:rPr>
        <w:t>Ar šo IZM funkciju pārklājas SIF funkcija</w:t>
      </w:r>
      <w:r w:rsidRPr="00B26C87">
        <w:rPr>
          <w:rFonts w:cs="Times New Roman"/>
          <w:bCs/>
          <w:i/>
          <w:iCs/>
        </w:rPr>
        <w:t xml:space="preserve"> </w:t>
      </w:r>
      <w:r w:rsidRPr="00B26C87">
        <w:rPr>
          <w:rFonts w:cs="Times New Roman"/>
          <w:bCs/>
          <w:i/>
        </w:rPr>
        <w:t>Diasporas un Latvijas bērnu kopīgas nometnes Latvijā programmas īstenošana</w:t>
      </w:r>
      <w:r w:rsidRPr="00B26C87">
        <w:rPr>
          <w:rFonts w:cs="Times New Roman"/>
          <w:bCs/>
        </w:rPr>
        <w:t xml:space="preserve"> (0,2 milj. </w:t>
      </w:r>
      <w:r w:rsidRPr="00B26C87">
        <w:rPr>
          <w:rFonts w:cs="Times New Roman"/>
          <w:bCs/>
          <w:i/>
          <w:iCs/>
        </w:rPr>
        <w:t>euro</w:t>
      </w:r>
      <w:r w:rsidRPr="00B26C87">
        <w:rPr>
          <w:rFonts w:cs="Times New Roman"/>
          <w:bCs/>
        </w:rPr>
        <w:t xml:space="preserve">) </w:t>
      </w:r>
      <w:r w:rsidRPr="00B26C87">
        <w:rPr>
          <w:rFonts w:cs="Times New Roman"/>
          <w:bCs/>
          <w:iCs/>
        </w:rPr>
        <w:t>(03.00.00 Reemigrācijas atbalsta programma).</w:t>
      </w:r>
      <w:r w:rsidRPr="00B26C87">
        <w:rPr>
          <w:rFonts w:cs="Times New Roman"/>
          <w:bCs/>
          <w:i/>
          <w:iCs/>
        </w:rPr>
        <w:t xml:space="preserve"> </w:t>
      </w:r>
    </w:p>
    <w:p w14:paraId="78085FE5" w14:textId="41F21442" w:rsidR="00B26C87" w:rsidRPr="000C36DC" w:rsidRDefault="00B26C87" w:rsidP="003A6A97">
      <w:pPr>
        <w:spacing w:after="240"/>
        <w:jc w:val="both"/>
        <w:rPr>
          <w:rFonts w:cs="Times New Roman"/>
          <w:b/>
          <w:bCs/>
        </w:rPr>
      </w:pPr>
      <w:r w:rsidRPr="00B26C87">
        <w:rPr>
          <w:rFonts w:cs="Times New Roman"/>
          <w:b/>
          <w:bCs/>
          <w:iCs/>
        </w:rPr>
        <w:t xml:space="preserve">Ņemot vērā minēto funkciju iespējamu pārklāšanos, </w:t>
      </w:r>
      <w:r w:rsidR="00235102" w:rsidRPr="00B26C87">
        <w:rPr>
          <w:rFonts w:cs="Times New Roman"/>
          <w:b/>
          <w:bCs/>
          <w:iCs/>
        </w:rPr>
        <w:t xml:space="preserve">KM </w:t>
      </w:r>
      <w:r w:rsidRPr="00B26C87">
        <w:rPr>
          <w:rFonts w:cs="Times New Roman"/>
          <w:b/>
          <w:bCs/>
          <w:iCs/>
        </w:rPr>
        <w:t>sadarbībā ar</w:t>
      </w:r>
      <w:r w:rsidR="00235102" w:rsidRPr="00235102">
        <w:rPr>
          <w:rFonts w:cs="Times New Roman"/>
          <w:b/>
          <w:bCs/>
          <w:iCs/>
        </w:rPr>
        <w:t xml:space="preserve"> </w:t>
      </w:r>
      <w:r w:rsidR="00235102" w:rsidRPr="00B26C87">
        <w:rPr>
          <w:rFonts w:cs="Times New Roman"/>
          <w:b/>
          <w:bCs/>
          <w:iCs/>
        </w:rPr>
        <w:t>SIF</w:t>
      </w:r>
      <w:r w:rsidRPr="00B26C87">
        <w:rPr>
          <w:rFonts w:cs="Times New Roman"/>
          <w:b/>
          <w:bCs/>
          <w:iCs/>
        </w:rPr>
        <w:t>, IZM, LM un TM izvērtēt valsts politiku sabiedrības integrācijas jomā un, virzoties uz vienotu un koordinētu valsts politikas īstenošanu sabiedrības integrācijas jomā, piemēram, minēto politikas jomu un attiecīgo finansējumu nododot vienas ministrijas atbildībā.</w:t>
      </w:r>
      <w:r w:rsidR="000C36DC">
        <w:rPr>
          <w:rFonts w:cs="Times New Roman"/>
          <w:b/>
          <w:bCs/>
          <w:iCs/>
        </w:rPr>
        <w:t xml:space="preserve"> </w:t>
      </w:r>
      <w:r w:rsidR="000C36DC" w:rsidRPr="1A3F6F40">
        <w:rPr>
          <w:rFonts w:cs="Times New Roman"/>
          <w:b/>
          <w:bCs/>
        </w:rPr>
        <w:t>Vienlaikus, veicot izvērtējumu, jāņem vērā sabiedrības integrācijas politikas horizontālais raksturs, kā arī katras iesaistītās ministrijas noteiktās funkcijas, piemēram, valsts valodas politikas īstenošana, pilsoniskās sabiedrības attīstības un sabiedrības integrācijas veicināšana un tml.</w:t>
      </w:r>
    </w:p>
    <w:p w14:paraId="642D2CFF" w14:textId="77777777" w:rsidR="003302F5" w:rsidRDefault="00B26C87" w:rsidP="00A6713B">
      <w:pPr>
        <w:spacing w:after="120"/>
        <w:jc w:val="both"/>
        <w:rPr>
          <w:rFonts w:cs="Times New Roman"/>
          <w:bCs/>
        </w:rPr>
      </w:pPr>
      <w:r w:rsidRPr="00B26C87">
        <w:rPr>
          <w:rFonts w:cs="Times New Roman"/>
          <w:bCs/>
          <w:iCs/>
        </w:rPr>
        <w:t xml:space="preserve">Vairākas no ministrijām matricas anketā ir norādījušas, ka </w:t>
      </w:r>
      <w:r w:rsidRPr="00B26C87">
        <w:rPr>
          <w:rFonts w:cs="Times New Roman"/>
          <w:bCs/>
          <w:i/>
          <w:iCs/>
        </w:rPr>
        <w:t xml:space="preserve">Nekustamo īpašumu pārvaldības </w:t>
      </w:r>
      <w:r w:rsidRPr="00B26C87">
        <w:rPr>
          <w:rFonts w:cs="Times New Roman"/>
          <w:bCs/>
          <w:iCs/>
        </w:rPr>
        <w:t xml:space="preserve">funkciju ir iespējams deleģēt kādam no citiem resoriem. FM </w:t>
      </w:r>
      <w:r w:rsidRPr="00B26C87">
        <w:rPr>
          <w:rFonts w:cs="Times New Roman"/>
          <w:bCs/>
        </w:rPr>
        <w:t>budžeta apakšprogramma</w:t>
      </w:r>
      <w:r w:rsidRPr="00B26C87">
        <w:rPr>
          <w:rFonts w:cs="Times New Roman"/>
          <w:bCs/>
          <w:iCs/>
        </w:rPr>
        <w:t xml:space="preserve"> 41.13.00 Finansējums VAS “Valsts nekustamie īpašumi</w:t>
      </w:r>
      <w:r w:rsidR="007B7CBE">
        <w:rPr>
          <w:rFonts w:cs="Times New Roman"/>
          <w:bCs/>
          <w:iCs/>
        </w:rPr>
        <w:t>”</w:t>
      </w:r>
      <w:r w:rsidRPr="00B26C87">
        <w:rPr>
          <w:rFonts w:cs="Times New Roman"/>
          <w:bCs/>
          <w:iCs/>
        </w:rPr>
        <w:t xml:space="preserve"> īstenojamiem projektiem un pasākumiem” </w:t>
      </w:r>
      <w:r w:rsidRPr="00B26C87">
        <w:rPr>
          <w:rFonts w:cs="Times New Roman"/>
          <w:bCs/>
        </w:rPr>
        <w:t xml:space="preserve">izveidota, lai valsts budžetā plānotu finansējumu NĪ attīstības projektu īstenošanai un pārskaitītu finansējumu VNĪ. </w:t>
      </w:r>
    </w:p>
    <w:p w14:paraId="7453DE35" w14:textId="747FC172" w:rsidR="00B26C87" w:rsidRPr="00B26C87" w:rsidRDefault="00B26C87" w:rsidP="00A6713B">
      <w:pPr>
        <w:spacing w:after="120"/>
        <w:jc w:val="both"/>
        <w:rPr>
          <w:rFonts w:cs="Times New Roman"/>
          <w:bCs/>
        </w:rPr>
      </w:pPr>
      <w:r w:rsidRPr="00B26C87">
        <w:rPr>
          <w:rFonts w:cs="Times New Roman"/>
          <w:bCs/>
        </w:rPr>
        <w:t>IeM ir norādījusi, ka,</w:t>
      </w:r>
      <w:r w:rsidRPr="00B26C87">
        <w:rPr>
          <w:rFonts w:cs="Times New Roman"/>
          <w:b/>
          <w:bCs/>
        </w:rPr>
        <w:t xml:space="preserve"> </w:t>
      </w:r>
      <w:r w:rsidRPr="00B26C87">
        <w:rPr>
          <w:rFonts w:cs="Times New Roman"/>
          <w:bCs/>
        </w:rPr>
        <w:t xml:space="preserve">lai nodrošinātu IeM iestādēm sakārtotu un atbilstošu darba vidi, nepieciešams īstenot efektīvu nekustamo īpašumu pārvaldīšanu, jābūt redzējumam par nepieciešamo infrastruktūras un tās atbilstību IeM iestāžu vajadzībām, līdz ar to nepieciešams nodrošināt koordinētu, mērķtiecīgu sadarbību ar iestādēm. </w:t>
      </w:r>
    </w:p>
    <w:p w14:paraId="50808792" w14:textId="77777777" w:rsidR="00B26C87" w:rsidRPr="00B26C87" w:rsidRDefault="00B26C87" w:rsidP="00A6713B">
      <w:pPr>
        <w:spacing w:after="120"/>
        <w:jc w:val="both"/>
        <w:rPr>
          <w:rFonts w:cs="Times New Roman"/>
          <w:bCs/>
        </w:rPr>
      </w:pPr>
      <w:r w:rsidRPr="00B26C87">
        <w:rPr>
          <w:rFonts w:cs="Times New Roman"/>
          <w:bCs/>
        </w:rPr>
        <w:t>IZM nododot LZA ēku VNĪ apsaimniekošanai, IZM</w:t>
      </w:r>
      <w:r w:rsidRPr="00B26C87">
        <w:rPr>
          <w:rFonts w:cs="Times New Roman"/>
          <w:b/>
          <w:bCs/>
        </w:rPr>
        <w:t xml:space="preserve"> </w:t>
      </w:r>
      <w:r w:rsidRPr="00B26C87">
        <w:rPr>
          <w:rFonts w:cs="Times New Roman"/>
          <w:bCs/>
        </w:rPr>
        <w:t>kā iespēju redz</w:t>
      </w:r>
      <w:r w:rsidRPr="00B26C87">
        <w:rPr>
          <w:rFonts w:cs="Times New Roman"/>
          <w:b/>
          <w:bCs/>
        </w:rPr>
        <w:t xml:space="preserve"> </w:t>
      </w:r>
      <w:r w:rsidRPr="00B26C87">
        <w:rPr>
          <w:rFonts w:cs="Times New Roman"/>
          <w:bCs/>
        </w:rPr>
        <w:t xml:space="preserve">LZA nekustamo īpašumu izmaksas novirzīt uz pamatfunkciju nodrošināšanu </w:t>
      </w:r>
      <w:r w:rsidRPr="00B26C87">
        <w:rPr>
          <w:rFonts w:cs="Times New Roman"/>
          <w:bCs/>
          <w:iCs/>
        </w:rPr>
        <w:t xml:space="preserve">(05.01.00 Zinātniskās darbības nodrošināšana). </w:t>
      </w:r>
    </w:p>
    <w:p w14:paraId="6DDDD0AA" w14:textId="116DD473" w:rsidR="00B26C87" w:rsidRPr="00FC5E68" w:rsidRDefault="00B26C87" w:rsidP="00A6713B">
      <w:pPr>
        <w:spacing w:after="120"/>
        <w:jc w:val="both"/>
        <w:rPr>
          <w:rFonts w:cs="Times New Roman"/>
          <w:bCs/>
        </w:rPr>
      </w:pPr>
      <w:r w:rsidRPr="00FC5E68">
        <w:rPr>
          <w:rFonts w:cs="Times New Roman"/>
          <w:bCs/>
        </w:rPr>
        <w:t>KM ir atzīmējusi, ka</w:t>
      </w:r>
      <w:r w:rsidRPr="00FC5E68">
        <w:rPr>
          <w:rFonts w:cs="Times New Roman"/>
          <w:b/>
          <w:bCs/>
        </w:rPr>
        <w:t xml:space="preserve"> </w:t>
      </w:r>
      <w:r w:rsidRPr="00FC5E68">
        <w:rPr>
          <w:rFonts w:cs="Times New Roman"/>
          <w:bCs/>
        </w:rPr>
        <w:t xml:space="preserve">funkciju </w:t>
      </w:r>
      <w:r w:rsidRPr="00FC5E68">
        <w:rPr>
          <w:rFonts w:cs="Times New Roman"/>
          <w:bCs/>
          <w:i/>
        </w:rPr>
        <w:t>Nomas maksas VAS “Valsts nekustamie īpašumi” programmas “Mantojums-2018” ietvaros</w:t>
      </w:r>
      <w:r w:rsidRPr="00FC5E68">
        <w:rPr>
          <w:rFonts w:cs="Times New Roman"/>
          <w:bCs/>
        </w:rPr>
        <w:t xml:space="preserve"> </w:t>
      </w:r>
      <w:r w:rsidRPr="00FC5E68">
        <w:rPr>
          <w:rFonts w:cs="Times New Roman"/>
          <w:bCs/>
          <w:iCs/>
        </w:rPr>
        <w:t>(22.07.00 Nomas maksas VAS “</w:t>
      </w:r>
      <w:r w:rsidRPr="00FC5E68">
        <w:rPr>
          <w:rFonts w:cs="Times New Roman"/>
          <w:bCs/>
        </w:rPr>
        <w:t>Valsts nekustamie īpašumi</w:t>
      </w:r>
      <w:r w:rsidRPr="00FC5E68">
        <w:rPr>
          <w:rFonts w:cs="Times New Roman"/>
          <w:bCs/>
          <w:iCs/>
        </w:rPr>
        <w:t>” programmas “Mantojums-2018” ietvaros)</w:t>
      </w:r>
      <w:r w:rsidRPr="00FC5E68">
        <w:rPr>
          <w:rFonts w:cs="Times New Roman"/>
          <w:bCs/>
          <w:i/>
          <w:iCs/>
        </w:rPr>
        <w:t xml:space="preserve"> </w:t>
      </w:r>
      <w:r w:rsidRPr="00FC5E68">
        <w:rPr>
          <w:rFonts w:cs="Times New Roman"/>
          <w:bCs/>
        </w:rPr>
        <w:t xml:space="preserve">nav iespējams deleģēt, jo tā paredz nomas maksu </w:t>
      </w:r>
      <w:r w:rsidR="006028C9" w:rsidRPr="00FC5E68">
        <w:rPr>
          <w:rFonts w:cs="Times New Roman"/>
          <w:bCs/>
        </w:rPr>
        <w:t xml:space="preserve">veikšanu </w:t>
      </w:r>
      <w:r w:rsidRPr="00FC5E68">
        <w:rPr>
          <w:rFonts w:cs="Times New Roman"/>
          <w:bCs/>
        </w:rPr>
        <w:t xml:space="preserve">no KM budžeta </w:t>
      </w:r>
      <w:r w:rsidR="006028C9" w:rsidRPr="00FC5E68">
        <w:rPr>
          <w:rFonts w:cs="Times New Roman"/>
          <w:bCs/>
        </w:rPr>
        <w:t xml:space="preserve">par </w:t>
      </w:r>
      <w:r w:rsidRPr="00FC5E68">
        <w:rPr>
          <w:rFonts w:cs="Times New Roman"/>
          <w:bCs/>
        </w:rPr>
        <w:t xml:space="preserve">VNĪ </w:t>
      </w:r>
      <w:r w:rsidR="006028C9" w:rsidRPr="00FC5E68">
        <w:rPr>
          <w:rFonts w:cs="Times New Roman"/>
          <w:bCs/>
        </w:rPr>
        <w:t>iznomātajām telpām</w:t>
      </w:r>
      <w:r w:rsidRPr="00FC5E68">
        <w:rPr>
          <w:rFonts w:cs="Times New Roman"/>
          <w:bCs/>
        </w:rPr>
        <w:t xml:space="preserve">, tomēr būtu jāvērtē vai šādu pārskaitījumu nav iespējams veikt efektīvāk. </w:t>
      </w:r>
    </w:p>
    <w:p w14:paraId="638697F0" w14:textId="6A01D566" w:rsidR="00B26C87" w:rsidRPr="00B26C87" w:rsidRDefault="00B26C87" w:rsidP="00A6713B">
      <w:pPr>
        <w:spacing w:after="240"/>
        <w:jc w:val="both"/>
        <w:rPr>
          <w:rFonts w:cs="Times New Roman"/>
          <w:bCs/>
        </w:rPr>
      </w:pPr>
      <w:r w:rsidRPr="00B26C87">
        <w:rPr>
          <w:rFonts w:cs="Times New Roman"/>
          <w:bCs/>
        </w:rPr>
        <w:lastRenderedPageBreak/>
        <w:t>Papildus PKC ir norādījis, ka 2020. gad</w:t>
      </w:r>
      <w:r w:rsidR="006028C9">
        <w:rPr>
          <w:rFonts w:cs="Times New Roman"/>
          <w:bCs/>
        </w:rPr>
        <w:t xml:space="preserve">a 31.decembrī </w:t>
      </w:r>
      <w:r w:rsidR="006028C9" w:rsidRPr="00DB3211">
        <w:rPr>
          <w:rFonts w:cs="Times New Roman"/>
          <w:bCs/>
        </w:rPr>
        <w:t>spēku zaudē Valsts nekustamā īpašuma vienotas pārvaldīšanas un apsaimniekošanas koncepcija (apstiprināta ar Ministru kabineta 2006.gada 9.maija rīkojumu Nr.319 “Par Valsts nekustamā īpašuma vienotas pārvaldīšanas un apsaimniekošanas koncepciju</w:t>
      </w:r>
      <w:r w:rsidR="006028C9">
        <w:rPr>
          <w:rFonts w:cs="Times New Roman"/>
          <w:bCs/>
        </w:rPr>
        <w:t>”.</w:t>
      </w:r>
      <w:r w:rsidRPr="00B26C87">
        <w:rPr>
          <w:rFonts w:cs="Times New Roman"/>
          <w:bCs/>
        </w:rPr>
        <w:t xml:space="preserve"> </w:t>
      </w:r>
      <w:r w:rsidRPr="00A6713B">
        <w:rPr>
          <w:rFonts w:eastAsiaTheme="minorEastAsia" w:cs="Times New Roman"/>
          <w:b/>
          <w:color w:val="000000" w:themeColor="text1"/>
          <w:kern w:val="24"/>
        </w:rPr>
        <w:t xml:space="preserve">Ņemot vērā minēto </w:t>
      </w:r>
      <w:r w:rsidRPr="00A6713B">
        <w:rPr>
          <w:rFonts w:cs="Times New Roman"/>
          <w:b/>
          <w:bCs/>
        </w:rPr>
        <w:t xml:space="preserve">FM </w:t>
      </w:r>
      <w:r w:rsidR="007B7CBE" w:rsidRPr="00A6713B">
        <w:rPr>
          <w:rFonts w:cs="Times New Roman"/>
          <w:b/>
          <w:bCs/>
        </w:rPr>
        <w:t>(</w:t>
      </w:r>
      <w:r w:rsidR="007B7CBE" w:rsidRPr="00A6713B">
        <w:rPr>
          <w:rFonts w:cs="Times New Roman"/>
          <w:b/>
          <w:bCs/>
          <w:iCs/>
        </w:rPr>
        <w:t>VAS “</w:t>
      </w:r>
      <w:r w:rsidR="007B7CBE" w:rsidRPr="00A6713B">
        <w:rPr>
          <w:rFonts w:cs="Times New Roman"/>
          <w:b/>
          <w:bCs/>
        </w:rPr>
        <w:t>Valsts nekustamie īpašumi</w:t>
      </w:r>
      <w:r w:rsidR="007B7CBE" w:rsidRPr="00A6713B">
        <w:rPr>
          <w:rFonts w:cs="Times New Roman"/>
          <w:b/>
          <w:bCs/>
          <w:iCs/>
        </w:rPr>
        <w:t xml:space="preserve">”) </w:t>
      </w:r>
      <w:r w:rsidR="006028C9" w:rsidRPr="00A6713B">
        <w:rPr>
          <w:rFonts w:cs="Times New Roman"/>
          <w:b/>
          <w:bCs/>
          <w:iCs/>
        </w:rPr>
        <w:t>izstrādā minētās koncepcijas gala ietekmes izvērtējumu</w:t>
      </w:r>
      <w:r w:rsidR="006028C9" w:rsidRPr="00A6713B">
        <w:rPr>
          <w:rFonts w:cs="Times New Roman"/>
          <w:b/>
          <w:bCs/>
        </w:rPr>
        <w:t>.</w:t>
      </w:r>
      <w:r w:rsidR="006028C9" w:rsidRPr="00FC5E68">
        <w:rPr>
          <w:rFonts w:cs="Times New Roman"/>
          <w:bCs/>
        </w:rPr>
        <w:t xml:space="preserve"> </w:t>
      </w:r>
    </w:p>
    <w:p w14:paraId="3D7FBE03" w14:textId="3BEF87EC" w:rsidR="00B26C87" w:rsidRPr="00B26C87" w:rsidRDefault="00B26C87" w:rsidP="003A6A97">
      <w:pPr>
        <w:spacing w:after="240"/>
        <w:jc w:val="both"/>
        <w:rPr>
          <w:rFonts w:cs="Times New Roman"/>
          <w:bCs/>
        </w:rPr>
      </w:pPr>
      <w:r w:rsidRPr="00B26C87">
        <w:rPr>
          <w:rFonts w:cs="Times New Roman"/>
          <w:bCs/>
        </w:rPr>
        <w:t xml:space="preserve">Funkcija </w:t>
      </w:r>
      <w:r w:rsidRPr="00B26C87">
        <w:rPr>
          <w:rFonts w:cs="Times New Roman"/>
          <w:bCs/>
          <w:i/>
        </w:rPr>
        <w:t xml:space="preserve">Iemaksas starptautiskajās organizācijās </w:t>
      </w:r>
      <w:r w:rsidRPr="00B26C87">
        <w:rPr>
          <w:rFonts w:cs="Times New Roman"/>
          <w:bCs/>
        </w:rPr>
        <w:t xml:space="preserve">ir konstatēta gandrīz visās ministrijās, ierosinājums no FM un citām ministrijām ir pārskatīt iespēju funkciju deleģēt ĀM, kas ir vadošā valsts pārvaldes iestāde ārlietu nozarē. Papildus LM ir norādījusi, ka funkciju </w:t>
      </w:r>
      <w:r w:rsidRPr="00B26C87">
        <w:rPr>
          <w:rFonts w:cs="Times New Roman"/>
          <w:bCs/>
          <w:i/>
        </w:rPr>
        <w:t>Dalības maksa Baltijas valstu jūras padomes ekspertu grupā bērnu tiesību jautājumos</w:t>
      </w:r>
      <w:r w:rsidRPr="00B26C87">
        <w:rPr>
          <w:rFonts w:cs="Times New Roman"/>
          <w:bCs/>
        </w:rPr>
        <w:t xml:space="preserve"> (</w:t>
      </w:r>
      <w:r w:rsidRPr="00B26C87">
        <w:rPr>
          <w:rFonts w:cs="Times New Roman"/>
          <w:bCs/>
          <w:iCs/>
        </w:rPr>
        <w:t xml:space="preserve">97.01.00 Labklājības nozares vadība un politikas plānošana – </w:t>
      </w:r>
      <w:r w:rsidRPr="00B26C87">
        <w:rPr>
          <w:rFonts w:cs="Times New Roman"/>
          <w:bCs/>
        </w:rPr>
        <w:t xml:space="preserve">8,8 tūkst. </w:t>
      </w:r>
      <w:r w:rsidRPr="00B26C87">
        <w:rPr>
          <w:rFonts w:cs="Times New Roman"/>
          <w:bCs/>
          <w:i/>
          <w:iCs/>
        </w:rPr>
        <w:t>euro</w:t>
      </w:r>
      <w:r w:rsidRPr="00B26C87">
        <w:rPr>
          <w:rFonts w:cs="Times New Roman"/>
          <w:bCs/>
        </w:rPr>
        <w:t xml:space="preserve">) iespējams deleģēt VBTAI, tādējādi pārnesot uzsvaru no politikas plānošanas līmeņa uz politikas ieviešanas līmeni. </w:t>
      </w:r>
    </w:p>
    <w:p w14:paraId="68A93B2D" w14:textId="6776FAA1" w:rsidR="00B26C87" w:rsidRPr="00B26C87" w:rsidRDefault="00B26C87" w:rsidP="003A6A97">
      <w:pPr>
        <w:spacing w:after="240"/>
        <w:jc w:val="both"/>
        <w:rPr>
          <w:rFonts w:cs="Times New Roman"/>
        </w:rPr>
      </w:pPr>
      <w:r w:rsidRPr="00B26C87">
        <w:rPr>
          <w:rFonts w:cs="Times New Roman"/>
          <w:bCs/>
        </w:rPr>
        <w:t xml:space="preserve">Ministrijas analīzē par savā pakļautībā esošajiem muzejiem un to funkcijām ir rosinājušas nodot citam resoram, atbilstoši kompetencei. Piemēram, </w:t>
      </w:r>
      <w:r w:rsidRPr="00B26C87">
        <w:rPr>
          <w:rFonts w:eastAsia="Times New Roman" w:cs="Times New Roman"/>
          <w:color w:val="000000"/>
          <w:lang w:eastAsia="lv-LV"/>
        </w:rPr>
        <w:t xml:space="preserve">IZM plāno </w:t>
      </w:r>
      <w:r w:rsidRPr="00B26C87">
        <w:rPr>
          <w:rFonts w:cs="Times New Roman"/>
        </w:rPr>
        <w:t>Latvijas Sporta muzejam noteikto valsts pārvaldes uzdevumu deleģēšanu nodot VSIA “Kultūras un sporta centrs “Daugavas stadions”. IZM informējis, ka jautājuma virzība tiks turpināta pēc Latvijas Sporta muzeja akreditācijas (2020.</w:t>
      </w:r>
      <w:r w:rsidR="007B7CBE">
        <w:rPr>
          <w:rFonts w:cs="Times New Roman"/>
        </w:rPr>
        <w:t xml:space="preserve"> </w:t>
      </w:r>
      <w:r w:rsidRPr="00B26C87">
        <w:rPr>
          <w:rFonts w:cs="Times New Roman"/>
        </w:rPr>
        <w:t>gada vasarā). Latvijas Sporta muzeja reorganizācijas procesu plānots noslēgt 2021.</w:t>
      </w:r>
      <w:r w:rsidR="007B7CBE">
        <w:rPr>
          <w:rFonts w:cs="Times New Roman"/>
        </w:rPr>
        <w:t xml:space="preserve"> </w:t>
      </w:r>
      <w:r w:rsidRPr="00B26C87">
        <w:rPr>
          <w:rFonts w:cs="Times New Roman"/>
        </w:rPr>
        <w:t xml:space="preserve">gadā. Papildus jau šobrīd IZM ir centralizējusi muzeja grāmatvedības un personālvadības funkcijas. </w:t>
      </w:r>
    </w:p>
    <w:p w14:paraId="3F500F21" w14:textId="77777777" w:rsidR="00B26C87" w:rsidRPr="00B26C87" w:rsidRDefault="00B26C87" w:rsidP="003A6A97">
      <w:pPr>
        <w:spacing w:after="240"/>
        <w:jc w:val="both"/>
        <w:rPr>
          <w:rFonts w:cs="Times New Roman"/>
          <w:bCs/>
        </w:rPr>
      </w:pPr>
      <w:r w:rsidRPr="00B26C87">
        <w:rPr>
          <w:rFonts w:cs="Times New Roman"/>
          <w:bCs/>
        </w:rPr>
        <w:t xml:space="preserve">IZM funkcija </w:t>
      </w:r>
      <w:r w:rsidRPr="00B26C87">
        <w:rPr>
          <w:rFonts w:cs="Times New Roman"/>
          <w:bCs/>
          <w:i/>
        </w:rPr>
        <w:t xml:space="preserve">Valsts pārvaldībā esošo nacionālo sporta bāzu saimnieciskās darbības nodrošināšana </w:t>
      </w:r>
      <w:r w:rsidRPr="00B26C87">
        <w:rPr>
          <w:rFonts w:cs="Times New Roman"/>
          <w:bCs/>
        </w:rPr>
        <w:t xml:space="preserve">un funkcija </w:t>
      </w:r>
      <w:r w:rsidRPr="00B26C87">
        <w:rPr>
          <w:rFonts w:cs="Times New Roman"/>
          <w:bCs/>
          <w:i/>
        </w:rPr>
        <w:t>Valsts nozīmes sporta infrastruktūras attīstības projektu īstenošana</w:t>
      </w:r>
      <w:r w:rsidRPr="00B26C87">
        <w:rPr>
          <w:rFonts w:cs="Times New Roman"/>
          <w:bCs/>
        </w:rPr>
        <w:t xml:space="preserve"> (</w:t>
      </w:r>
      <w:r w:rsidRPr="00B26C87">
        <w:rPr>
          <w:rFonts w:cs="Times New Roman"/>
          <w:bCs/>
          <w:iCs/>
        </w:rPr>
        <w:t>09.04.00 Sporta būves</w:t>
      </w:r>
      <w:r w:rsidRPr="00B26C87">
        <w:rPr>
          <w:rFonts w:cs="Times New Roman"/>
          <w:bCs/>
        </w:rPr>
        <w:t xml:space="preserve"> – 0,6 milj. </w:t>
      </w:r>
      <w:r w:rsidRPr="00B26C87">
        <w:rPr>
          <w:rFonts w:cs="Times New Roman"/>
          <w:bCs/>
          <w:i/>
          <w:iCs/>
        </w:rPr>
        <w:t>euro</w:t>
      </w:r>
      <w:r w:rsidRPr="00B26C87">
        <w:rPr>
          <w:rFonts w:cs="Times New Roman"/>
          <w:bCs/>
        </w:rPr>
        <w:t xml:space="preserve">) pārklājas ar VARAM funkciju </w:t>
      </w:r>
      <w:r w:rsidRPr="00B26C87">
        <w:rPr>
          <w:rFonts w:cs="Times New Roman"/>
          <w:bCs/>
          <w:i/>
        </w:rPr>
        <w:t>Pielāgo sporta un transporta infrastruktūru pašvaldībās</w:t>
      </w:r>
      <w:r w:rsidRPr="00B26C87">
        <w:rPr>
          <w:rFonts w:cs="Times New Roman"/>
          <w:bCs/>
        </w:rPr>
        <w:t xml:space="preserve"> </w:t>
      </w:r>
      <w:r w:rsidRPr="00B26C87">
        <w:rPr>
          <w:rFonts w:cs="Times New Roman"/>
          <w:bCs/>
          <w:iCs/>
        </w:rPr>
        <w:t xml:space="preserve">(30.00.00 Attīstības nacionālie atbalsta instrumenti – </w:t>
      </w:r>
      <w:r w:rsidRPr="00B26C87">
        <w:rPr>
          <w:rFonts w:cs="Times New Roman"/>
          <w:bCs/>
        </w:rPr>
        <w:t xml:space="preserve">0,6 milj. </w:t>
      </w:r>
      <w:r w:rsidRPr="00B26C87">
        <w:rPr>
          <w:rFonts w:cs="Times New Roman"/>
          <w:bCs/>
          <w:i/>
          <w:iCs/>
        </w:rPr>
        <w:t>euro</w:t>
      </w:r>
      <w:r w:rsidRPr="00B26C87">
        <w:rPr>
          <w:rFonts w:cs="Times New Roman"/>
          <w:bCs/>
          <w:iCs/>
        </w:rPr>
        <w:t>)</w:t>
      </w:r>
      <w:r w:rsidRPr="00B26C87">
        <w:rPr>
          <w:rFonts w:cs="Times New Roman"/>
          <w:bCs/>
          <w:i/>
          <w:iCs/>
        </w:rPr>
        <w:t xml:space="preserve">. </w:t>
      </w:r>
      <w:r w:rsidRPr="00B26C87">
        <w:rPr>
          <w:rFonts w:cs="Times New Roman"/>
          <w:bCs/>
          <w:iCs/>
        </w:rPr>
        <w:t>VARAM analīzes komentāros ir norādījusi,</w:t>
      </w:r>
      <w:r w:rsidRPr="00B26C87">
        <w:rPr>
          <w:rFonts w:cs="Times New Roman"/>
          <w:bCs/>
          <w:i/>
          <w:iCs/>
        </w:rPr>
        <w:t xml:space="preserve"> </w:t>
      </w:r>
      <w:r w:rsidRPr="00B26C87">
        <w:rPr>
          <w:rFonts w:cs="Times New Roman"/>
          <w:bCs/>
          <w:iCs/>
        </w:rPr>
        <w:t>ka</w:t>
      </w:r>
      <w:r w:rsidRPr="00B26C87">
        <w:rPr>
          <w:rFonts w:cs="Times New Roman"/>
          <w:bCs/>
          <w:i/>
          <w:iCs/>
        </w:rPr>
        <w:t xml:space="preserve"> </w:t>
      </w:r>
      <w:r w:rsidRPr="00B26C87">
        <w:rPr>
          <w:rFonts w:cs="Times New Roman"/>
          <w:bCs/>
        </w:rPr>
        <w:t xml:space="preserve">funkciju tiešā veidā būtu grūti deleģēt, tomēr, veicot detalizētāku analīzi un izvērtējumu, šai funkcijai būtu iespējams piesaistīt citas funkcijas/aktivitātes. </w:t>
      </w:r>
      <w:r w:rsidRPr="00B26C87">
        <w:rPr>
          <w:rFonts w:cs="Times New Roman"/>
          <w:b/>
          <w:bCs/>
        </w:rPr>
        <w:t xml:space="preserve">IZM un VARAM tiek aicināts pārvērtēt sporta būvju projektu īstenošanai nepieciešamos atbildīgos, esošo funkciju iespējamo efektivizāciju. </w:t>
      </w:r>
    </w:p>
    <w:p w14:paraId="7D614066" w14:textId="424AB60D" w:rsidR="00B26C87" w:rsidRPr="00B26C87" w:rsidRDefault="00B26C87" w:rsidP="003A6A97">
      <w:pPr>
        <w:spacing w:after="240"/>
        <w:jc w:val="both"/>
        <w:rPr>
          <w:rFonts w:cs="Times New Roman"/>
          <w:bCs/>
          <w:iCs/>
        </w:rPr>
      </w:pPr>
      <w:r w:rsidRPr="00B26C87">
        <w:rPr>
          <w:rFonts w:cs="Times New Roman"/>
          <w:bCs/>
        </w:rPr>
        <w:t xml:space="preserve">ĀM funkcija </w:t>
      </w:r>
      <w:r w:rsidRPr="00B26C87">
        <w:rPr>
          <w:rFonts w:cs="Times New Roman"/>
          <w:bCs/>
          <w:i/>
        </w:rPr>
        <w:t>Nodrošināt vienota Latvijas valsts tēla koordināciju, atbalstot Latvijas Institūta (LI) kā vienota Latvijas valsts tēla koordinējošās institūcijas attīstību</w:t>
      </w:r>
      <w:r w:rsidRPr="00B26C87">
        <w:rPr>
          <w:rFonts w:cs="Times New Roman"/>
          <w:bCs/>
        </w:rPr>
        <w:t xml:space="preserve"> (0,2 milj. </w:t>
      </w:r>
      <w:r w:rsidRPr="00B26C87">
        <w:rPr>
          <w:rFonts w:cs="Times New Roman"/>
          <w:bCs/>
          <w:i/>
          <w:iCs/>
        </w:rPr>
        <w:t>euro</w:t>
      </w:r>
      <w:r w:rsidRPr="00B26C87">
        <w:rPr>
          <w:rFonts w:cs="Times New Roman"/>
          <w:bCs/>
        </w:rPr>
        <w:t xml:space="preserve">) FM izvērtējumā ietver darbības, kuras nodrošina EM LIAA funkcijas </w:t>
      </w:r>
      <w:r w:rsidRPr="00B26C87">
        <w:rPr>
          <w:rFonts w:cs="Times New Roman"/>
          <w:bCs/>
          <w:iCs/>
        </w:rPr>
        <w:t xml:space="preserve">(28.00.00 Ārējās ekonomiskās politikas ieviešana). </w:t>
      </w:r>
      <w:r w:rsidRPr="00B26C87">
        <w:rPr>
          <w:rFonts w:cs="Times New Roman"/>
          <w:b/>
          <w:bCs/>
          <w:iCs/>
        </w:rPr>
        <w:t>Ā</w:t>
      </w:r>
      <w:r w:rsidRPr="00B26C87">
        <w:rPr>
          <w:rFonts w:cs="Times New Roman"/>
          <w:b/>
        </w:rPr>
        <w:t>M sadarbībā ar EM izvērtēt, vai vienota kopēja valsts tēla veidošanai ir nepieciešams sadalīt nozaru atbildības un</w:t>
      </w:r>
      <w:r w:rsidR="00FD7D37">
        <w:rPr>
          <w:rFonts w:cs="Times New Roman"/>
          <w:b/>
        </w:rPr>
        <w:t>,</w:t>
      </w:r>
      <w:r w:rsidRPr="00B26C87">
        <w:rPr>
          <w:rFonts w:cs="Times New Roman"/>
          <w:b/>
        </w:rPr>
        <w:t xml:space="preserve"> vai saskaņā ar VRP 45.1. punktā noteikto efektīvāku rezultātu nebūtu iespējams sasniegt kompetenci nododot vienas institūcijas atbildībā. </w:t>
      </w:r>
    </w:p>
    <w:p w14:paraId="16F079F9" w14:textId="4736D5E2" w:rsidR="00B26C87" w:rsidRPr="00B26C87" w:rsidRDefault="00B26C87" w:rsidP="003A6A97">
      <w:pPr>
        <w:spacing w:after="240"/>
        <w:jc w:val="both"/>
        <w:rPr>
          <w:rFonts w:cs="Times New Roman"/>
          <w:bCs/>
        </w:rPr>
      </w:pPr>
      <w:r w:rsidRPr="00B26C87">
        <w:rPr>
          <w:rFonts w:cs="Times New Roman"/>
          <w:bCs/>
        </w:rPr>
        <w:t xml:space="preserve">ZM norādījusi, ka funkciju </w:t>
      </w:r>
      <w:r w:rsidRPr="00B26C87">
        <w:rPr>
          <w:rFonts w:cs="Times New Roman"/>
          <w:bCs/>
          <w:i/>
        </w:rPr>
        <w:t>Uzrauga un īsteno meža ugunsapsardzību un ugunsdzēsību valsts un privātajos mežos</w:t>
      </w:r>
      <w:r w:rsidRPr="00B26C87">
        <w:rPr>
          <w:rFonts w:cs="Times New Roman"/>
          <w:bCs/>
        </w:rPr>
        <w:t xml:space="preserve"> </w:t>
      </w:r>
      <w:r w:rsidRPr="00B26C87">
        <w:rPr>
          <w:rFonts w:cs="Times New Roman"/>
          <w:bCs/>
          <w:i/>
          <w:iCs/>
        </w:rPr>
        <w:t>(</w:t>
      </w:r>
      <w:r w:rsidRPr="00B26C87">
        <w:rPr>
          <w:rFonts w:cs="Times New Roman"/>
          <w:bCs/>
          <w:iCs/>
        </w:rPr>
        <w:t xml:space="preserve">24.01.00 Meža resursu valsts uzraudzība – </w:t>
      </w:r>
      <w:r w:rsidRPr="00B26C87">
        <w:rPr>
          <w:rFonts w:cs="Times New Roman"/>
          <w:bCs/>
        </w:rPr>
        <w:t xml:space="preserve">3,7 milj. </w:t>
      </w:r>
      <w:r w:rsidRPr="00B26C87">
        <w:rPr>
          <w:rFonts w:cs="Times New Roman"/>
          <w:bCs/>
          <w:i/>
          <w:iCs/>
        </w:rPr>
        <w:t>euro)</w:t>
      </w:r>
      <w:r w:rsidRPr="00B26C87">
        <w:rPr>
          <w:rFonts w:cs="Times New Roman"/>
          <w:bCs/>
        </w:rPr>
        <w:t xml:space="preserve"> ir iespējams  deleģēt VUGD, taču tam būtu nepieciešamas ievērojamas investīcijas un VUGD nodarbināto apmācības meža ugunsgrēku dzēšanā. </w:t>
      </w:r>
      <w:r w:rsidRPr="00B26C87">
        <w:rPr>
          <w:rFonts w:cs="Times New Roman"/>
          <w:b/>
          <w:bCs/>
          <w:iCs/>
        </w:rPr>
        <w:t xml:space="preserve">Atbildīgajām ministrijām (iestādēm) izvērtēt iespējamos risinājumus un iesniegt priekšlikumus </w:t>
      </w:r>
      <w:r w:rsidR="00FD7D37" w:rsidRPr="00B26C87">
        <w:rPr>
          <w:rFonts w:cs="Times New Roman"/>
          <w:b/>
          <w:bCs/>
          <w:iCs/>
        </w:rPr>
        <w:t>funkcij</w:t>
      </w:r>
      <w:r w:rsidR="00FD7D37">
        <w:rPr>
          <w:rFonts w:cs="Times New Roman"/>
          <w:b/>
          <w:bCs/>
          <w:iCs/>
        </w:rPr>
        <w:t>as</w:t>
      </w:r>
      <w:r w:rsidR="00FD7D37" w:rsidRPr="00B26C87">
        <w:rPr>
          <w:rFonts w:cs="Times New Roman"/>
          <w:b/>
          <w:bCs/>
          <w:iCs/>
        </w:rPr>
        <w:t xml:space="preserve"> </w:t>
      </w:r>
      <w:r w:rsidRPr="00B26C87">
        <w:rPr>
          <w:rFonts w:cs="Times New Roman"/>
          <w:b/>
          <w:bCs/>
          <w:iCs/>
        </w:rPr>
        <w:t xml:space="preserve">efektīvākai īstenošanai, vērtēt vai </w:t>
      </w:r>
      <w:r w:rsidRPr="00B26C87">
        <w:rPr>
          <w:rFonts w:cs="Times New Roman"/>
          <w:b/>
        </w:rPr>
        <w:t xml:space="preserve">nepieciešamās investīcijas materiāltehniskās bāzes uzlabošanai iespējamas NAP 2027 ietvaros. </w:t>
      </w:r>
    </w:p>
    <w:p w14:paraId="3AF7FA6B" w14:textId="77777777" w:rsidR="00B26C87" w:rsidRPr="00B26C87" w:rsidRDefault="00B26C87" w:rsidP="000965D4">
      <w:pPr>
        <w:spacing w:after="120"/>
        <w:jc w:val="both"/>
        <w:rPr>
          <w:rFonts w:cs="Times New Roman"/>
          <w:b/>
          <w:bCs/>
          <w:i/>
        </w:rPr>
      </w:pPr>
      <w:r w:rsidRPr="00B26C87">
        <w:rPr>
          <w:rFonts w:cs="Times New Roman"/>
          <w:b/>
          <w:bCs/>
          <w:i/>
        </w:rPr>
        <w:t xml:space="preserve">Citi analīzes rezultāti </w:t>
      </w:r>
    </w:p>
    <w:p w14:paraId="564E9C82" w14:textId="77777777" w:rsidR="00B26C87" w:rsidRPr="00B26C87" w:rsidRDefault="00B26C87" w:rsidP="000965D4">
      <w:pPr>
        <w:spacing w:after="120"/>
        <w:jc w:val="both"/>
        <w:rPr>
          <w:rFonts w:cs="Times New Roman"/>
          <w:b/>
          <w:bCs/>
        </w:rPr>
      </w:pPr>
      <w:r w:rsidRPr="00B26C87">
        <w:rPr>
          <w:rFonts w:cs="Times New Roman"/>
          <w:bCs/>
        </w:rPr>
        <w:lastRenderedPageBreak/>
        <w:t>LM matricā ir norādījusi trīs sociālas aizsardzības, aprūpes un rehabilitācijas funkcijas, kuras vēlētos deleģēt pašvaldībām</w:t>
      </w:r>
      <w:r w:rsidRPr="00B26C87">
        <w:rPr>
          <w:rFonts w:cs="Times New Roman"/>
          <w:b/>
          <w:bCs/>
        </w:rPr>
        <w:t xml:space="preserve">: </w:t>
      </w:r>
    </w:p>
    <w:p w14:paraId="20D70590" w14:textId="5523732E" w:rsidR="00B26C87" w:rsidRPr="00B26C87" w:rsidRDefault="00B26C87" w:rsidP="006A15ED">
      <w:pPr>
        <w:numPr>
          <w:ilvl w:val="0"/>
          <w:numId w:val="21"/>
        </w:numPr>
        <w:spacing w:after="120"/>
        <w:jc w:val="both"/>
        <w:rPr>
          <w:rFonts w:cs="Times New Roman"/>
          <w:bCs/>
          <w:i/>
          <w:iCs/>
        </w:rPr>
      </w:pPr>
      <w:r w:rsidRPr="00B26C87">
        <w:rPr>
          <w:rFonts w:cs="Times New Roman"/>
          <w:bCs/>
        </w:rPr>
        <w:t xml:space="preserve">funkcija </w:t>
      </w:r>
      <w:r w:rsidRPr="00B26C87">
        <w:rPr>
          <w:rFonts w:cs="Times New Roman"/>
          <w:bCs/>
          <w:i/>
        </w:rPr>
        <w:t xml:space="preserve">Nodrošināta bērna, kurš ir bez vecāku pavadības, izmitināšana </w:t>
      </w:r>
      <w:r w:rsidR="002A3882">
        <w:rPr>
          <w:rFonts w:cs="Times New Roman"/>
          <w:bCs/>
          <w:i/>
        </w:rPr>
        <w:t xml:space="preserve">aizbildnībā, audžuģimenē vai </w:t>
      </w:r>
      <w:r w:rsidRPr="00B26C87">
        <w:rPr>
          <w:rFonts w:cs="Times New Roman"/>
          <w:bCs/>
          <w:i/>
        </w:rPr>
        <w:t>bērnu aprūpes iestādē, nevis aizturēto ārzemnieku izmitināšanas centrā vai patvēruma meklētāju izmitināšanas centrā, lai tiktu ievērotas bērna tiesības</w:t>
      </w:r>
      <w:r w:rsidRPr="00B26C87">
        <w:rPr>
          <w:rFonts w:cs="Times New Roman"/>
          <w:bCs/>
        </w:rPr>
        <w:t xml:space="preserve"> (</w:t>
      </w:r>
      <w:r w:rsidRPr="00B26C87">
        <w:rPr>
          <w:rFonts w:cs="Times New Roman"/>
          <w:bCs/>
          <w:i/>
          <w:iCs/>
        </w:rPr>
        <w:t xml:space="preserve">05.01.00 Sociālās rehabilitācijas valsts programmas - </w:t>
      </w:r>
      <w:r w:rsidRPr="00B26C87">
        <w:rPr>
          <w:rFonts w:cs="Times New Roman"/>
          <w:bCs/>
        </w:rPr>
        <w:t xml:space="preserve">19 307 </w:t>
      </w:r>
      <w:r w:rsidRPr="00B26C87">
        <w:rPr>
          <w:rFonts w:cs="Times New Roman"/>
          <w:bCs/>
          <w:i/>
          <w:iCs/>
        </w:rPr>
        <w:t>euro</w:t>
      </w:r>
      <w:r w:rsidRPr="00B26C87">
        <w:rPr>
          <w:rFonts w:cs="Times New Roman"/>
          <w:bCs/>
        </w:rPr>
        <w:t xml:space="preserve">), </w:t>
      </w:r>
    </w:p>
    <w:p w14:paraId="73FD3316" w14:textId="77777777" w:rsidR="00B26C87" w:rsidRPr="00B26C87" w:rsidRDefault="00B26C87" w:rsidP="006A15ED">
      <w:pPr>
        <w:numPr>
          <w:ilvl w:val="0"/>
          <w:numId w:val="21"/>
        </w:numPr>
        <w:spacing w:after="120"/>
        <w:jc w:val="both"/>
        <w:rPr>
          <w:rFonts w:cs="Times New Roman"/>
          <w:bCs/>
          <w:i/>
          <w:iCs/>
        </w:rPr>
      </w:pPr>
      <w:r w:rsidRPr="00B26C87">
        <w:rPr>
          <w:rFonts w:cs="Times New Roman"/>
          <w:bCs/>
        </w:rPr>
        <w:t xml:space="preserve">iepriekšminētās apakšprogrammas funkcija </w:t>
      </w:r>
      <w:r w:rsidRPr="00B26C87">
        <w:rPr>
          <w:rFonts w:cs="Times New Roman"/>
          <w:bCs/>
          <w:i/>
        </w:rPr>
        <w:t>Asistenta pakalpojuma nodrošināšana personām ar invaliditāti</w:t>
      </w:r>
      <w:r w:rsidRPr="00B26C87">
        <w:rPr>
          <w:rFonts w:cs="Times New Roman"/>
          <w:bCs/>
        </w:rPr>
        <w:t xml:space="preserve"> (17,6 milj. </w:t>
      </w:r>
      <w:r w:rsidRPr="00B26C87">
        <w:rPr>
          <w:rFonts w:cs="Times New Roman"/>
          <w:bCs/>
          <w:i/>
          <w:iCs/>
        </w:rPr>
        <w:t>euro</w:t>
      </w:r>
      <w:r w:rsidRPr="00B26C87">
        <w:rPr>
          <w:rFonts w:cs="Times New Roman"/>
          <w:bCs/>
        </w:rPr>
        <w:t xml:space="preserve">) (LM ir sagatavojusi iesniegšanai MK Konceptuālo ziņojumu “Par asistenta pakalpojuma pašvaldībā pilnveidošanu”, kurā aprakstīti vairāki pakalpojuma attīstības scenāriji, t.sk. kā viens no piedāvājuma variantiem - pakalpojuma pilnīga nodošana pašvaldību pārziņā); </w:t>
      </w:r>
    </w:p>
    <w:p w14:paraId="539DC1A9" w14:textId="724B222C" w:rsidR="00B26C87" w:rsidRPr="00B26C87" w:rsidRDefault="00B26C87" w:rsidP="006A15ED">
      <w:pPr>
        <w:numPr>
          <w:ilvl w:val="0"/>
          <w:numId w:val="21"/>
        </w:numPr>
        <w:spacing w:after="120"/>
        <w:jc w:val="both"/>
        <w:rPr>
          <w:rFonts w:cs="Times New Roman"/>
          <w:bCs/>
          <w:i/>
          <w:iCs/>
        </w:rPr>
      </w:pPr>
      <w:r w:rsidRPr="00B26C87">
        <w:rPr>
          <w:rFonts w:cs="Times New Roman"/>
          <w:bCs/>
        </w:rPr>
        <w:t xml:space="preserve">funkcija </w:t>
      </w:r>
      <w:r w:rsidRPr="00B26C87">
        <w:rPr>
          <w:rFonts w:cs="Times New Roman"/>
          <w:bCs/>
          <w:i/>
        </w:rPr>
        <w:t>Nodrošināt ilgstošās sociālās aprūpes un sociālās rehabilitācijas pakalpojumus</w:t>
      </w:r>
      <w:r w:rsidRPr="00B26C87">
        <w:rPr>
          <w:rFonts w:cs="Times New Roman"/>
          <w:bCs/>
        </w:rPr>
        <w:t>, jo LM uzskata, ka valsts tiešās pārvaldes iestādes - valsts sociālās aprūpes centri kopā ar valsts finansējumu ir jānodod pašvaldību pārziņā (jau pieņemot Sociālo pakalpojumu un sociālās palīdzības likumu bija noteikts, ka ar 2004.gada 1.janvāri visas valsts</w:t>
      </w:r>
      <w:r w:rsidR="00231324">
        <w:rPr>
          <w:rFonts w:cs="Times New Roman"/>
          <w:bCs/>
        </w:rPr>
        <w:t xml:space="preserve"> sociālās aprūpes institūcijas </w:t>
      </w:r>
      <w:r w:rsidRPr="00B26C87">
        <w:rPr>
          <w:rFonts w:cs="Times New Roman"/>
          <w:bCs/>
        </w:rPr>
        <w:t xml:space="preserve">jānodod pašvaldībām, taču vēlāk ar grozījumiem Sociālo pakalpojumu un sociālās palīdzības likumā minētā pasākuma ieviešanas termiņš vairākkārt tika pārcelts un visbeidzot norma tika izslēgta (05.03.00 </w:t>
      </w:r>
      <w:r w:rsidRPr="00B26C87">
        <w:rPr>
          <w:rFonts w:cs="Times New Roman"/>
          <w:bCs/>
          <w:iCs/>
        </w:rPr>
        <w:t>Aprūpe valsts sociālās aprūpes institūcijās</w:t>
      </w:r>
      <w:r w:rsidRPr="00B26C87">
        <w:rPr>
          <w:rFonts w:cs="Times New Roman"/>
          <w:bCs/>
          <w:i/>
          <w:iCs/>
        </w:rPr>
        <w:t xml:space="preserve"> – </w:t>
      </w:r>
      <w:r w:rsidRPr="00B26C87">
        <w:rPr>
          <w:rFonts w:cs="Times New Roman"/>
          <w:bCs/>
        </w:rPr>
        <w:t xml:space="preserve">46,1 milj. </w:t>
      </w:r>
      <w:r w:rsidRPr="00B26C87">
        <w:rPr>
          <w:rFonts w:cs="Times New Roman"/>
          <w:bCs/>
          <w:i/>
          <w:iCs/>
        </w:rPr>
        <w:t>euro</w:t>
      </w:r>
      <w:r w:rsidRPr="00B26C87">
        <w:rPr>
          <w:rFonts w:cs="Times New Roman"/>
          <w:bCs/>
        </w:rPr>
        <w:t xml:space="preserve">). </w:t>
      </w:r>
    </w:p>
    <w:p w14:paraId="661B552C" w14:textId="77777777" w:rsidR="00B26C87" w:rsidRPr="00B26C87" w:rsidRDefault="00B26C87" w:rsidP="003A6A97">
      <w:pPr>
        <w:spacing w:after="240"/>
        <w:jc w:val="both"/>
        <w:rPr>
          <w:rFonts w:cs="Times New Roman"/>
          <w:bCs/>
        </w:rPr>
      </w:pPr>
      <w:r w:rsidRPr="00B26C87">
        <w:rPr>
          <w:rFonts w:cs="Times New Roman"/>
          <w:bCs/>
        </w:rPr>
        <w:t xml:space="preserve">IZM ir norādījusi, ka no funkcijas </w:t>
      </w:r>
      <w:r w:rsidRPr="00B26C87">
        <w:rPr>
          <w:rFonts w:cs="Times New Roman"/>
          <w:bCs/>
          <w:i/>
        </w:rPr>
        <w:t>Datu atjaunošana platformā «Skolu karte»</w:t>
      </w:r>
      <w:r w:rsidRPr="00B26C87">
        <w:rPr>
          <w:rFonts w:cs="Times New Roman"/>
          <w:bCs/>
        </w:rPr>
        <w:t xml:space="preserve"> </w:t>
      </w:r>
      <w:r w:rsidRPr="00B26C87">
        <w:rPr>
          <w:rFonts w:cs="Times New Roman"/>
          <w:bCs/>
          <w:iCs/>
        </w:rPr>
        <w:t>(01.08.00 Vispārējās izglītības atbalsta pasākumi</w:t>
      </w:r>
      <w:r w:rsidRPr="00B26C87">
        <w:rPr>
          <w:rFonts w:cs="Times New Roman"/>
          <w:bCs/>
          <w:i/>
          <w:iCs/>
        </w:rPr>
        <w:t xml:space="preserve"> – </w:t>
      </w:r>
      <w:r w:rsidRPr="00B26C87">
        <w:rPr>
          <w:rFonts w:cs="Times New Roman"/>
          <w:bCs/>
        </w:rPr>
        <w:t xml:space="preserve">34,2 tūkst. </w:t>
      </w:r>
      <w:r w:rsidRPr="00B26C87">
        <w:rPr>
          <w:rFonts w:cs="Times New Roman"/>
          <w:bCs/>
          <w:i/>
          <w:iCs/>
        </w:rPr>
        <w:t>euro</w:t>
      </w:r>
      <w:r w:rsidRPr="00B26C87">
        <w:rPr>
          <w:rFonts w:cs="Times New Roman"/>
          <w:bCs/>
          <w:iCs/>
        </w:rPr>
        <w:t>)</w:t>
      </w:r>
      <w:r w:rsidR="0081675E" w:rsidRPr="002621EB">
        <w:t xml:space="preserve"> ir iespējams atteikties, novirzot līdzekļus dalībai Eiropas skolu tīklā, tādejādi sniedzot atbalstu skolotājiem mācību un pedagoģiskajā darbā, piedāvājot paplašinātu starptautisko tīklošanos un sadarbību</w:t>
      </w:r>
      <w:r w:rsidR="0081675E">
        <w:t>.</w:t>
      </w:r>
      <w:r w:rsidR="00A074EA">
        <w:t xml:space="preserve"> IZM ir sagatavojis informatīvo ziņojumu “Par Izglītības un zinātnes ministrijas dalību Eiropas skolu tīklā”, identificējot resursu 37 000 </w:t>
      </w:r>
      <w:r w:rsidR="00A074EA" w:rsidRPr="00A074EA">
        <w:rPr>
          <w:i/>
        </w:rPr>
        <w:t>euro</w:t>
      </w:r>
      <w:r w:rsidR="00A074EA">
        <w:t xml:space="preserve"> apmērā 2021.gadam un turpmāk.</w:t>
      </w:r>
    </w:p>
    <w:p w14:paraId="419F5E96" w14:textId="27E9D873" w:rsidR="00B26C87" w:rsidRPr="00B26C87" w:rsidRDefault="00B26C87" w:rsidP="003A6A97">
      <w:pPr>
        <w:spacing w:after="240"/>
        <w:jc w:val="both"/>
        <w:rPr>
          <w:rFonts w:cs="Times New Roman"/>
          <w:bCs/>
          <w:iCs/>
        </w:rPr>
      </w:pPr>
      <w:r w:rsidRPr="00B26C87">
        <w:rPr>
          <w:rFonts w:cs="Times New Roman"/>
          <w:bCs/>
        </w:rPr>
        <w:t xml:space="preserve">Attiecībā uz KM funkcijas </w:t>
      </w:r>
      <w:r w:rsidRPr="00B26C87">
        <w:rPr>
          <w:rFonts w:cs="Times New Roman"/>
          <w:bCs/>
          <w:i/>
        </w:rPr>
        <w:t>Latvijas valsts simtgades programmas īstenošana</w:t>
      </w:r>
      <w:r w:rsidRPr="00B26C87">
        <w:rPr>
          <w:rFonts w:cs="Times New Roman"/>
          <w:bCs/>
        </w:rPr>
        <w:t xml:space="preserve"> </w:t>
      </w:r>
      <w:r w:rsidRPr="00B26C87">
        <w:rPr>
          <w:rFonts w:cs="Times New Roman"/>
          <w:bCs/>
          <w:iCs/>
        </w:rPr>
        <w:t xml:space="preserve">(22.12.00 Latvijas valsts simtgades programma </w:t>
      </w:r>
      <w:r w:rsidRPr="00B26C87">
        <w:rPr>
          <w:rFonts w:cs="Times New Roman"/>
          <w:bCs/>
          <w:i/>
          <w:iCs/>
        </w:rPr>
        <w:t xml:space="preserve">– </w:t>
      </w:r>
      <w:r w:rsidRPr="00B26C87">
        <w:rPr>
          <w:rFonts w:cs="Times New Roman"/>
          <w:bCs/>
        </w:rPr>
        <w:t xml:space="preserve">4,7 milj. </w:t>
      </w:r>
      <w:r w:rsidRPr="00B26C87">
        <w:rPr>
          <w:rFonts w:cs="Times New Roman"/>
          <w:bCs/>
          <w:i/>
          <w:iCs/>
        </w:rPr>
        <w:t xml:space="preserve">euro) </w:t>
      </w:r>
      <w:r w:rsidRPr="00B26C87">
        <w:rPr>
          <w:rFonts w:cs="Times New Roman"/>
          <w:bCs/>
          <w:iCs/>
        </w:rPr>
        <w:t xml:space="preserve">nodrošināšanu, KM norāda, ka pēc Latvijas valsts simtgades programmas noslēguma, pēctecība tiks nodrošināta citu funkciju ietvaros. </w:t>
      </w:r>
      <w:r w:rsidRPr="00B26C87">
        <w:rPr>
          <w:rFonts w:cs="Times New Roman"/>
          <w:b/>
          <w:bCs/>
          <w:iCs/>
        </w:rPr>
        <w:t xml:space="preserve">KM </w:t>
      </w:r>
      <w:r w:rsidR="00636FAD">
        <w:rPr>
          <w:rFonts w:cs="Times New Roman"/>
          <w:b/>
          <w:bCs/>
          <w:iCs/>
        </w:rPr>
        <w:t>jāiz</w:t>
      </w:r>
      <w:r w:rsidRPr="00B26C87">
        <w:rPr>
          <w:rFonts w:cs="Times New Roman"/>
          <w:b/>
          <w:bCs/>
          <w:iCs/>
        </w:rPr>
        <w:t xml:space="preserve">vērtē </w:t>
      </w:r>
      <w:r w:rsidRPr="00B26C87">
        <w:rPr>
          <w:rFonts w:cs="Times New Roman"/>
          <w:b/>
          <w:bCs/>
        </w:rPr>
        <w:t>Latvijas valsts simtgades biroja turpmāku darbību</w:t>
      </w:r>
      <w:r w:rsidRPr="00B26C87">
        <w:rPr>
          <w:rFonts w:cs="Times New Roman"/>
          <w:b/>
          <w:bCs/>
          <w:iCs/>
        </w:rPr>
        <w:t>,</w:t>
      </w:r>
      <w:r w:rsidRPr="00B26C87">
        <w:rPr>
          <w:rFonts w:cs="Times New Roman"/>
          <w:b/>
          <w:bCs/>
          <w:i/>
          <w:iCs/>
        </w:rPr>
        <w:t xml:space="preserve"> </w:t>
      </w:r>
      <w:r w:rsidRPr="00B26C87">
        <w:rPr>
          <w:rFonts w:cs="Times New Roman"/>
          <w:b/>
          <w:bCs/>
          <w:iCs/>
        </w:rPr>
        <w:t>ņemot vērā pasākuma aktualitātes zaudējumu.</w:t>
      </w:r>
      <w:r w:rsidRPr="00B26C87">
        <w:rPr>
          <w:rFonts w:cs="Times New Roman"/>
        </w:rPr>
        <w:t xml:space="preserve"> </w:t>
      </w:r>
    </w:p>
    <w:p w14:paraId="19FC8606" w14:textId="51218C6B" w:rsidR="00B26C87" w:rsidRPr="00B26C87" w:rsidRDefault="00B26C87" w:rsidP="003A6A97">
      <w:pPr>
        <w:spacing w:after="240"/>
        <w:jc w:val="both"/>
        <w:rPr>
          <w:rFonts w:cs="Times New Roman"/>
          <w:bCs/>
        </w:rPr>
      </w:pPr>
      <w:r w:rsidRPr="00B26C87">
        <w:rPr>
          <w:rFonts w:cs="Times New Roman"/>
        </w:rPr>
        <w:t>Attiecībā par funkciju centralizāciju VARAM matricā norāda uz uzsākto iestāžu funkciju centralizācijas iespēju pārskatīšanu - Dabas aizsardzības pārvaldei (DAP), Latvijas Dabas muzejam (LDM) un valsts zinātniskajam institūtam – atvasinātai publiskai personai “Nacionālais botāniskais dārzs” (NBD).</w:t>
      </w:r>
      <w:r w:rsidRPr="00B26C87">
        <w:rPr>
          <w:rFonts w:cs="Times New Roman"/>
          <w:b/>
        </w:rPr>
        <w:t xml:space="preserve"> </w:t>
      </w:r>
      <w:r w:rsidRPr="00B26C87">
        <w:rPr>
          <w:rFonts w:cs="Times New Roman"/>
        </w:rPr>
        <w:t>Kā arī</w:t>
      </w:r>
      <w:r w:rsidRPr="00B26C87">
        <w:rPr>
          <w:rFonts w:cs="Times New Roman"/>
          <w:b/>
        </w:rPr>
        <w:t xml:space="preserve"> </w:t>
      </w:r>
      <w:r w:rsidRPr="00B26C87">
        <w:rPr>
          <w:rFonts w:cs="Times New Roman"/>
          <w:bCs/>
        </w:rPr>
        <w:t xml:space="preserve">VARAM ir norādījusi, ka Latvijas vides aizsardzības fonda administrācijas funkcijas nodotas VRAA no 2019. gada 1. maija. Līdz ar to rosinot </w:t>
      </w:r>
      <w:r w:rsidRPr="00B26C87">
        <w:rPr>
          <w:rFonts w:cs="Times New Roman"/>
          <w:bCs/>
          <w:iCs/>
        </w:rPr>
        <w:t>apvienot budžeta apakšprogrammu 21.01.00 “Fonda darbības nodrošinājums” ar budžeta programmu 32.00.00 “Valsts reģionālās attīstības politikas īstenošana”.</w:t>
      </w:r>
      <w:r w:rsidRPr="00B26C87">
        <w:rPr>
          <w:rFonts w:cs="Times New Roman"/>
          <w:bCs/>
        </w:rPr>
        <w:t xml:space="preserve"> </w:t>
      </w:r>
    </w:p>
    <w:p w14:paraId="07AE4C61" w14:textId="5F009276" w:rsidR="00B26C87" w:rsidRPr="00B26C87" w:rsidRDefault="00B26C87" w:rsidP="003A6A97">
      <w:pPr>
        <w:spacing w:after="240"/>
        <w:jc w:val="both"/>
        <w:rPr>
          <w:rFonts w:cs="Times New Roman"/>
          <w:bCs/>
          <w:i/>
          <w:iCs/>
        </w:rPr>
      </w:pPr>
      <w:r w:rsidRPr="00B26C87">
        <w:rPr>
          <w:rFonts w:cs="Times New Roman"/>
          <w:bCs/>
        </w:rPr>
        <w:t>Papildus VARAM rosina atteikties no</w:t>
      </w:r>
      <w:r w:rsidRPr="00B26C87">
        <w:rPr>
          <w:rFonts w:cs="Times New Roman"/>
          <w:b/>
          <w:bCs/>
        </w:rPr>
        <w:t xml:space="preserve"> </w:t>
      </w:r>
      <w:r w:rsidRPr="00B26C87">
        <w:rPr>
          <w:rFonts w:cs="Times New Roman"/>
          <w:bCs/>
        </w:rPr>
        <w:t xml:space="preserve">funkcijas </w:t>
      </w:r>
      <w:r w:rsidRPr="00B26C87">
        <w:rPr>
          <w:rFonts w:cs="Times New Roman"/>
          <w:bCs/>
          <w:i/>
        </w:rPr>
        <w:t>Nodrošināt administratīvo izdevumu segšanu pašvaldībām</w:t>
      </w:r>
      <w:r w:rsidRPr="00B26C87">
        <w:rPr>
          <w:rFonts w:cs="Times New Roman"/>
          <w:bCs/>
        </w:rPr>
        <w:t xml:space="preserve"> (</w:t>
      </w:r>
      <w:r w:rsidRPr="00B26C87">
        <w:rPr>
          <w:rFonts w:cs="Times New Roman"/>
          <w:bCs/>
          <w:iCs/>
        </w:rPr>
        <w:t>30.00.00 Attīstības nacionālie atbalsta instrumenti</w:t>
      </w:r>
      <w:r w:rsidRPr="00B26C87">
        <w:rPr>
          <w:rFonts w:cs="Times New Roman"/>
          <w:bCs/>
          <w:i/>
          <w:iCs/>
        </w:rPr>
        <w:t xml:space="preserve"> – </w:t>
      </w:r>
      <w:r w:rsidRPr="00B26C87">
        <w:rPr>
          <w:rFonts w:cs="Times New Roman"/>
          <w:bCs/>
        </w:rPr>
        <w:t xml:space="preserve">10,0 tūkst. </w:t>
      </w:r>
      <w:r w:rsidRPr="00B26C87">
        <w:rPr>
          <w:rFonts w:cs="Times New Roman"/>
          <w:bCs/>
          <w:i/>
          <w:iCs/>
        </w:rPr>
        <w:t>euro</w:t>
      </w:r>
      <w:r w:rsidRPr="00B26C87">
        <w:rPr>
          <w:rFonts w:cs="Times New Roman"/>
          <w:bCs/>
          <w:iCs/>
        </w:rPr>
        <w:t>)</w:t>
      </w:r>
      <w:r w:rsidRPr="00B26C87">
        <w:rPr>
          <w:rFonts w:cs="Times New Roman"/>
          <w:bCs/>
          <w:i/>
          <w:iCs/>
        </w:rPr>
        <w:t xml:space="preserve">. </w:t>
      </w:r>
      <w:r w:rsidRPr="00B26C87">
        <w:rPr>
          <w:rFonts w:cs="Times New Roman"/>
          <w:bCs/>
        </w:rPr>
        <w:t xml:space="preserve">Noteikts, ka novadu pašvaldību komisiju darbības finanšu izdevumus sedz VARAM no tai attiecīgajam gadam piešķirtajiem budžeta līdzekļiem līdz 10 tūkstošiem </w:t>
      </w:r>
      <w:r w:rsidRPr="00B26C87">
        <w:rPr>
          <w:rFonts w:cs="Times New Roman"/>
          <w:bCs/>
          <w:i/>
          <w:iCs/>
        </w:rPr>
        <w:t>euro</w:t>
      </w:r>
      <w:r w:rsidRPr="00B26C87">
        <w:rPr>
          <w:rFonts w:cs="Times New Roman"/>
          <w:bCs/>
        </w:rPr>
        <w:t>. VARAM rosina atteikties no funkcijas un ZM sadarbībā ar iesaistītajām institūcijām un NVO izvērtēt risinājum</w:t>
      </w:r>
      <w:r w:rsidR="003A21C0">
        <w:rPr>
          <w:rFonts w:cs="Times New Roman"/>
          <w:bCs/>
        </w:rPr>
        <w:t>u</w:t>
      </w:r>
      <w:r w:rsidRPr="00B26C87">
        <w:rPr>
          <w:rFonts w:cs="Times New Roman"/>
          <w:bCs/>
        </w:rPr>
        <w:t xml:space="preserve">s novadu pašvaldību komisiju darbības finanšu izdevumu atlīdzināšanai, sagatavojot attiecīgu </w:t>
      </w:r>
      <w:r w:rsidRPr="00B26C87">
        <w:rPr>
          <w:rFonts w:cs="Times New Roman"/>
          <w:bCs/>
        </w:rPr>
        <w:lastRenderedPageBreak/>
        <w:t xml:space="preserve">priekšlikumu. </w:t>
      </w:r>
      <w:r w:rsidRPr="00B26C87">
        <w:rPr>
          <w:rFonts w:cs="Times New Roman"/>
          <w:b/>
          <w:bCs/>
          <w:iCs/>
        </w:rPr>
        <w:t>VARAM sadarbībā ar ZM izvērtēt iespējamos risinājumus un iesniegt priekšlikumus funkciju efektīvākai īstenošanai.</w:t>
      </w:r>
      <w:r w:rsidR="008A5725">
        <w:rPr>
          <w:rFonts w:cs="Times New Roman"/>
          <w:b/>
          <w:bCs/>
          <w:iCs/>
        </w:rPr>
        <w:t xml:space="preserve"> </w:t>
      </w:r>
      <w:r w:rsidR="008A5725" w:rsidRPr="008A5725">
        <w:rPr>
          <w:rFonts w:cs="Times New Roman"/>
          <w:b/>
          <w:bCs/>
          <w:iCs/>
        </w:rPr>
        <w:t xml:space="preserve">ZM šāds uzdevums jau noteikts ar </w:t>
      </w:r>
      <w:r w:rsidR="008A5725">
        <w:rPr>
          <w:rFonts w:cs="Times New Roman"/>
          <w:b/>
          <w:bCs/>
          <w:iCs/>
        </w:rPr>
        <w:t>MK</w:t>
      </w:r>
      <w:r w:rsidR="008A5725" w:rsidRPr="008A5725">
        <w:rPr>
          <w:rFonts w:cs="Times New Roman"/>
          <w:b/>
          <w:bCs/>
          <w:iCs/>
        </w:rPr>
        <w:t xml:space="preserve"> 2018. gada 23. janvāra sēdes protokola Nr.5 1.§</w:t>
      </w:r>
    </w:p>
    <w:p w14:paraId="63CF9EA7" w14:textId="6E5AA824" w:rsidR="00B26C87" w:rsidRPr="00B26C87" w:rsidRDefault="00B26C87" w:rsidP="003A6A97">
      <w:pPr>
        <w:spacing w:after="240"/>
        <w:jc w:val="both"/>
        <w:rPr>
          <w:rFonts w:cs="Times New Roman"/>
          <w:bCs/>
        </w:rPr>
      </w:pPr>
      <w:r w:rsidRPr="00B26C87">
        <w:rPr>
          <w:rFonts w:cs="Times New Roman"/>
          <w:bCs/>
        </w:rPr>
        <w:t>IZM</w:t>
      </w:r>
      <w:r w:rsidRPr="00B26C87">
        <w:rPr>
          <w:rFonts w:cs="Times New Roman"/>
          <w:b/>
          <w:bCs/>
        </w:rPr>
        <w:t xml:space="preserve"> </w:t>
      </w:r>
      <w:r w:rsidRPr="00B26C87">
        <w:rPr>
          <w:rFonts w:cs="Times New Roman"/>
          <w:bCs/>
        </w:rPr>
        <w:t xml:space="preserve">funkcija </w:t>
      </w:r>
      <w:r w:rsidRPr="00B26C87">
        <w:rPr>
          <w:rFonts w:cs="Times New Roman"/>
          <w:bCs/>
          <w:i/>
        </w:rPr>
        <w:t>Latviešu folkloras krātuves materiālu krājuma saglabāšana, publiskošana digitālā formātā un izpēte</w:t>
      </w:r>
      <w:r w:rsidRPr="00B26C87">
        <w:rPr>
          <w:rFonts w:cs="Times New Roman"/>
          <w:bCs/>
        </w:rPr>
        <w:t xml:space="preserve"> (</w:t>
      </w:r>
      <w:r w:rsidRPr="00B26C87">
        <w:rPr>
          <w:rFonts w:cs="Times New Roman"/>
          <w:bCs/>
          <w:iCs/>
        </w:rPr>
        <w:t>05.04.00 Krišjāņa Barona Dainu skapis</w:t>
      </w:r>
      <w:r w:rsidRPr="00B26C87">
        <w:rPr>
          <w:rFonts w:cs="Times New Roman"/>
          <w:bCs/>
          <w:i/>
          <w:iCs/>
        </w:rPr>
        <w:t xml:space="preserve"> - </w:t>
      </w:r>
      <w:r w:rsidRPr="00B26C87">
        <w:rPr>
          <w:rFonts w:cs="Times New Roman"/>
          <w:bCs/>
        </w:rPr>
        <w:t>0,2 milj. </w:t>
      </w:r>
      <w:r w:rsidRPr="00B26C87">
        <w:rPr>
          <w:rFonts w:cs="Times New Roman"/>
          <w:bCs/>
          <w:i/>
          <w:iCs/>
        </w:rPr>
        <w:t>euro</w:t>
      </w:r>
      <w:r w:rsidRPr="00B26C87">
        <w:rPr>
          <w:rFonts w:cs="Times New Roman"/>
          <w:bCs/>
        </w:rPr>
        <w:t xml:space="preserve">) daļēji pārklājas ar KM īstenotajām funkcijām un būtu atbilstošāka KM, kas ir vadošā valsts pārvaldes iestāde kultūras nozarē un ietver kultūras pieminekļu aizsardzības, arhīvu, arhitektūras, dizaina, tautas mākslas, teātra, mūzikas, muzeju, bibliotēku, vizuālās mākslas, grāmatniecības, literatūras, kinematogrāfijas un kultūras un radošo industriju izglītības apakšnozares. </w:t>
      </w:r>
      <w:r w:rsidR="009A6F33">
        <w:rPr>
          <w:rFonts w:cs="Times New Roman"/>
          <w:b/>
          <w:bCs/>
        </w:rPr>
        <w:t>KM</w:t>
      </w:r>
      <w:r w:rsidR="00FC5E68">
        <w:rPr>
          <w:rFonts w:cs="Times New Roman"/>
          <w:b/>
          <w:bCs/>
        </w:rPr>
        <w:t xml:space="preserve"> </w:t>
      </w:r>
      <w:r w:rsidRPr="00B26C87">
        <w:rPr>
          <w:rFonts w:cs="Times New Roman"/>
          <w:b/>
          <w:bCs/>
        </w:rPr>
        <w:t xml:space="preserve">sadarbībā ar </w:t>
      </w:r>
      <w:r w:rsidR="009A6F33">
        <w:rPr>
          <w:rFonts w:cs="Times New Roman"/>
          <w:b/>
          <w:bCs/>
        </w:rPr>
        <w:t>IZM</w:t>
      </w:r>
      <w:r w:rsidR="00FC5E68">
        <w:rPr>
          <w:rFonts w:cs="Times New Roman"/>
          <w:b/>
          <w:bCs/>
        </w:rPr>
        <w:t xml:space="preserve"> </w:t>
      </w:r>
      <w:r w:rsidRPr="00B26C87">
        <w:rPr>
          <w:rFonts w:cs="Times New Roman"/>
          <w:b/>
          <w:bCs/>
        </w:rPr>
        <w:t xml:space="preserve">izvērtēt </w:t>
      </w:r>
      <w:r w:rsidR="002C34DA">
        <w:rPr>
          <w:rFonts w:cs="Times New Roman"/>
          <w:b/>
          <w:bCs/>
        </w:rPr>
        <w:t xml:space="preserve">iespējamu šīs </w:t>
      </w:r>
      <w:r w:rsidRPr="00B26C87">
        <w:rPr>
          <w:rFonts w:cs="Times New Roman"/>
          <w:b/>
          <w:bCs/>
        </w:rPr>
        <w:t>funkcijas pārņemšanu</w:t>
      </w:r>
      <w:r w:rsidR="009A6F33">
        <w:rPr>
          <w:rFonts w:cs="Times New Roman"/>
          <w:b/>
          <w:bCs/>
        </w:rPr>
        <w:t>.</w:t>
      </w:r>
      <w:r w:rsidRPr="00B26C87">
        <w:rPr>
          <w:rFonts w:cs="Times New Roman"/>
          <w:bCs/>
        </w:rPr>
        <w:t xml:space="preserve"> </w:t>
      </w:r>
    </w:p>
    <w:p w14:paraId="2F06671A" w14:textId="549811FC" w:rsidR="00B26C87" w:rsidRPr="00B26C87" w:rsidRDefault="00B26C87" w:rsidP="003A6A97">
      <w:pPr>
        <w:spacing w:after="240"/>
        <w:jc w:val="both"/>
        <w:rPr>
          <w:rFonts w:cs="Times New Roman"/>
          <w:bCs/>
        </w:rPr>
      </w:pPr>
      <w:r w:rsidRPr="00B26C87">
        <w:rPr>
          <w:rFonts w:cs="Times New Roman"/>
          <w:bCs/>
        </w:rPr>
        <w:t>2019.</w:t>
      </w:r>
      <w:r w:rsidR="00B914A1">
        <w:rPr>
          <w:rFonts w:cs="Times New Roman"/>
          <w:bCs/>
        </w:rPr>
        <w:t xml:space="preserve"> </w:t>
      </w:r>
      <w:r w:rsidRPr="00B26C87">
        <w:rPr>
          <w:rFonts w:cs="Times New Roman"/>
          <w:bCs/>
        </w:rPr>
        <w:t xml:space="preserve">gadā IZM ar iesaistītajām pusēm – TM, IeM, VBAI, LPS, ir uzsākusi darbu pie sociālās korekcijas izglītības sistēmas attīstības un sociālās korekcijas izglītības iestādes “Naukšēni” darbības pārskatīšanas. </w:t>
      </w:r>
      <w:r w:rsidR="00B914A1">
        <w:rPr>
          <w:rFonts w:cs="Times New Roman"/>
          <w:bCs/>
        </w:rPr>
        <w:t>Analizējot</w:t>
      </w:r>
      <w:r w:rsidR="00B914A1" w:rsidRPr="00B26C87">
        <w:rPr>
          <w:rFonts w:cs="Times New Roman"/>
          <w:bCs/>
        </w:rPr>
        <w:t xml:space="preserve"> </w:t>
      </w:r>
      <w:r w:rsidRPr="00B26C87">
        <w:rPr>
          <w:rFonts w:cs="Times New Roman"/>
          <w:bCs/>
        </w:rPr>
        <w:t>sociālās korekcijas izglītības iestādes “Naukšēni” pēdējo gadu statistiku, ievietoto bērnu skaits skaitliski ir mazs</w:t>
      </w:r>
      <w:r w:rsidR="00F302CC">
        <w:rPr>
          <w:rFonts w:cs="Times New Roman"/>
          <w:bCs/>
        </w:rPr>
        <w:t xml:space="preserve"> </w:t>
      </w:r>
      <w:r w:rsidR="00F302CC">
        <w:rPr>
          <w:rFonts w:cs="Times New Roman"/>
        </w:rPr>
        <w:t>(bet ar tendenci pieaugt</w:t>
      </w:r>
      <w:r w:rsidR="00F302CC" w:rsidRPr="00F63ABC">
        <w:rPr>
          <w:rFonts w:cs="Times New Roman"/>
        </w:rPr>
        <w:t>,</w:t>
      </w:r>
      <w:r w:rsidR="00F302CC" w:rsidRPr="00FF0399">
        <w:t xml:space="preserve"> </w:t>
      </w:r>
      <w:r w:rsidR="00F302CC">
        <w:t xml:space="preserve">2018.gadā 19 audzēkņi, </w:t>
      </w:r>
      <w:r w:rsidR="00F302CC" w:rsidRPr="00FF0399">
        <w:rPr>
          <w:rFonts w:cs="Times New Roman"/>
        </w:rPr>
        <w:t>2020.gada 11.augustā iestādē ir 33 audzēkņi</w:t>
      </w:r>
      <w:r w:rsidR="00F302CC">
        <w:rPr>
          <w:rFonts w:cs="Times New Roman"/>
        </w:rPr>
        <w:t>)</w:t>
      </w:r>
      <w:r w:rsidRPr="00B26C87">
        <w:rPr>
          <w:rFonts w:cs="Times New Roman"/>
          <w:bCs/>
        </w:rPr>
        <w:t xml:space="preserve">, tādējādi, domājot par nozares politikas īstenošanu, tiek aktualizēts jautājums par sociālās korekcijas izglītības jomas attīstību kopumā, audzinoša rakstura piespiedu līdzekļu piemērošanu, kā arī sociālās korekcijas izglītības iestādes “Naukšēni” īstenotā pakalpojuma nepieciešamību. </w:t>
      </w:r>
      <w:r w:rsidRPr="00B26C87">
        <w:rPr>
          <w:rFonts w:cs="Times New Roman"/>
          <w:b/>
          <w:bCs/>
        </w:rPr>
        <w:t>IZM jau 2019.</w:t>
      </w:r>
      <w:r w:rsidR="00B914A1">
        <w:rPr>
          <w:rFonts w:cs="Times New Roman"/>
          <w:b/>
          <w:bCs/>
        </w:rPr>
        <w:t xml:space="preserve"> </w:t>
      </w:r>
      <w:r w:rsidRPr="00B26C87">
        <w:rPr>
          <w:rFonts w:cs="Times New Roman"/>
          <w:b/>
          <w:bCs/>
        </w:rPr>
        <w:t>gadā uzdots sadarbībā ar TM izvērtēt sociālās korekcijas iestādes “Naukšēni” darbības efektivitāti, sagatavot attiecīgus priekšlikumus un pēc minēto darbību veikšanas IZM iesniegt attiecīgu informāciju FM izdevumu pārskatīšanas procesā (MK 2019.</w:t>
      </w:r>
      <w:r w:rsidR="00B914A1">
        <w:rPr>
          <w:rFonts w:cs="Times New Roman"/>
          <w:b/>
          <w:bCs/>
        </w:rPr>
        <w:t xml:space="preserve"> </w:t>
      </w:r>
      <w:r w:rsidRPr="00B26C87">
        <w:rPr>
          <w:rFonts w:cs="Times New Roman"/>
          <w:b/>
          <w:bCs/>
        </w:rPr>
        <w:t>gada 20.</w:t>
      </w:r>
      <w:r w:rsidR="00B914A1">
        <w:rPr>
          <w:rFonts w:cs="Times New Roman"/>
          <w:b/>
          <w:bCs/>
        </w:rPr>
        <w:t xml:space="preserve"> </w:t>
      </w:r>
      <w:r w:rsidRPr="00B26C87">
        <w:rPr>
          <w:rFonts w:cs="Times New Roman"/>
          <w:b/>
          <w:bCs/>
        </w:rPr>
        <w:t>augusta sēdes prot. Nr.35; 26.§ 46.punkts</w:t>
      </w:r>
      <w:r w:rsidRPr="00B26C87">
        <w:rPr>
          <w:rFonts w:cs="Times New Roman"/>
          <w:bCs/>
        </w:rPr>
        <w:t>).</w:t>
      </w:r>
    </w:p>
    <w:p w14:paraId="23AE22A5" w14:textId="24F43A35" w:rsidR="00B26C87" w:rsidRPr="00B26C87" w:rsidRDefault="00B26C87" w:rsidP="003A6A97">
      <w:pPr>
        <w:spacing w:after="240"/>
        <w:jc w:val="both"/>
        <w:rPr>
          <w:rFonts w:cs="Times New Roman"/>
          <w:bCs/>
        </w:rPr>
      </w:pPr>
      <w:r w:rsidRPr="00B26C87">
        <w:rPr>
          <w:rFonts w:cs="Times New Roman"/>
          <w:bCs/>
        </w:rPr>
        <w:t>ZM par</w:t>
      </w:r>
      <w:r w:rsidRPr="00B26C87">
        <w:rPr>
          <w:rFonts w:cs="Times New Roman"/>
          <w:b/>
          <w:bCs/>
        </w:rPr>
        <w:t xml:space="preserve"> </w:t>
      </w:r>
      <w:r w:rsidRPr="00B26C87">
        <w:rPr>
          <w:rFonts w:cs="Times New Roman"/>
          <w:bCs/>
        </w:rPr>
        <w:t xml:space="preserve">funkciju </w:t>
      </w:r>
      <w:r w:rsidRPr="00B26C87">
        <w:rPr>
          <w:rFonts w:cs="Times New Roman"/>
          <w:bCs/>
          <w:i/>
        </w:rPr>
        <w:t>Nodrošina profesionālās vidējās izglītības programmu īstenošanu dārzkopībā un ar to saistītajās jomās</w:t>
      </w:r>
      <w:r w:rsidRPr="00B26C87">
        <w:rPr>
          <w:rFonts w:cs="Times New Roman"/>
          <w:bCs/>
        </w:rPr>
        <w:t xml:space="preserve"> </w:t>
      </w:r>
      <w:r w:rsidRPr="00B26C87">
        <w:rPr>
          <w:rFonts w:cs="Times New Roman"/>
          <w:bCs/>
          <w:iCs/>
        </w:rPr>
        <w:t xml:space="preserve">(22.01.00 Profesionālā izglītība – </w:t>
      </w:r>
      <w:r w:rsidRPr="00B26C87">
        <w:rPr>
          <w:rFonts w:cs="Times New Roman"/>
          <w:bCs/>
        </w:rPr>
        <w:t xml:space="preserve">0,7 milj. </w:t>
      </w:r>
      <w:r w:rsidRPr="00B26C87">
        <w:rPr>
          <w:rFonts w:cs="Times New Roman"/>
          <w:bCs/>
          <w:i/>
          <w:iCs/>
        </w:rPr>
        <w:t>euro</w:t>
      </w:r>
      <w:r w:rsidRPr="00B26C87">
        <w:rPr>
          <w:rFonts w:cs="Times New Roman"/>
          <w:bCs/>
          <w:iCs/>
        </w:rPr>
        <w:t xml:space="preserve">) matricas izmaksu un ieguldījumu vērtējumā ir norādījusi, ka izmaksas daļēji attaisno sasniegtos rezultātus, jo starptautiskajos un nacionālajos izglītības pētījumos, norādīts, ka daļa no profesionālās izglītības iestāžu izglītojamajiem ir ar zemu mācību motivāciju, no sociāli nelabvēlīgām ģimenēm (zems sociāli ekonomiskais stāvoklis), ar zemiem mācību sasniegumiem (kas attiecīgi neļauj turpināt mācības vidusskolā), kas rada situāciju, ka mācības priekšlaicīgi tiek pārtrauktas. Izglītojamais pamet iesāktās mācības, bet izglītības iestāde nesasniedz plānotos rezultatīvos rādītājus. </w:t>
      </w:r>
      <w:r w:rsidRPr="00B26C87">
        <w:rPr>
          <w:rFonts w:cs="Times New Roman"/>
          <w:b/>
          <w:bCs/>
          <w:iCs/>
        </w:rPr>
        <w:t xml:space="preserve">ZM </w:t>
      </w:r>
      <w:r w:rsidR="00B914A1">
        <w:rPr>
          <w:rFonts w:cs="Times New Roman"/>
          <w:b/>
          <w:bCs/>
          <w:iCs/>
        </w:rPr>
        <w:t>iz</w:t>
      </w:r>
      <w:r w:rsidR="00A074EA">
        <w:rPr>
          <w:rFonts w:cs="Times New Roman"/>
          <w:b/>
          <w:bCs/>
          <w:iCs/>
        </w:rPr>
        <w:t xml:space="preserve">vērtē </w:t>
      </w:r>
      <w:r w:rsidRPr="00B26C87">
        <w:rPr>
          <w:rFonts w:cs="Times New Roman"/>
          <w:b/>
          <w:bCs/>
          <w:iCs/>
        </w:rPr>
        <w:t xml:space="preserve">apakšprogrammas 22.01.00 Profesionālā izglītība valsts budžeta līdzekļu izlietojuma efektivitāti un iesniegt </w:t>
      </w:r>
      <w:r w:rsidR="00B914A1" w:rsidRPr="00B26C87">
        <w:rPr>
          <w:rFonts w:cs="Times New Roman"/>
          <w:b/>
          <w:bCs/>
          <w:iCs/>
        </w:rPr>
        <w:t xml:space="preserve">MK </w:t>
      </w:r>
      <w:r w:rsidRPr="00B26C87">
        <w:rPr>
          <w:rFonts w:cs="Times New Roman"/>
          <w:b/>
          <w:bCs/>
          <w:iCs/>
        </w:rPr>
        <w:t>attiecīgus priekšlikumus par tālāko rīcību</w:t>
      </w:r>
      <w:r w:rsidRPr="00B26C87">
        <w:rPr>
          <w:rFonts w:cs="Times New Roman"/>
          <w:bCs/>
          <w:iCs/>
        </w:rPr>
        <w:t xml:space="preserve">. </w:t>
      </w:r>
    </w:p>
    <w:p w14:paraId="6A73D161" w14:textId="3C7B9623" w:rsidR="00B26C87" w:rsidRPr="00B26C87" w:rsidRDefault="00B26C87" w:rsidP="000965D4">
      <w:pPr>
        <w:spacing w:after="120"/>
        <w:jc w:val="both"/>
        <w:rPr>
          <w:rFonts w:cs="Times New Roman"/>
          <w:bCs/>
        </w:rPr>
      </w:pPr>
      <w:r w:rsidRPr="00B26C87">
        <w:rPr>
          <w:rFonts w:cs="Times New Roman"/>
          <w:bCs/>
        </w:rPr>
        <w:t xml:space="preserve">MK </w:t>
      </w:r>
      <w:r w:rsidR="001D5590">
        <w:rPr>
          <w:rFonts w:cs="Times New Roman"/>
          <w:bCs/>
        </w:rPr>
        <w:t xml:space="preserve">resora vai VK </w:t>
      </w:r>
      <w:r w:rsidRPr="00B26C87">
        <w:rPr>
          <w:rFonts w:cs="Times New Roman"/>
          <w:bCs/>
        </w:rPr>
        <w:t>funkcija</w:t>
      </w:r>
      <w:r w:rsidR="00FC5E68">
        <w:rPr>
          <w:rFonts w:cs="Times New Roman"/>
          <w:bCs/>
        </w:rPr>
        <w:t>s</w:t>
      </w:r>
      <w:r w:rsidRPr="00B26C87">
        <w:rPr>
          <w:rFonts w:cs="Times New Roman"/>
          <w:bCs/>
        </w:rPr>
        <w:t xml:space="preserve"> </w:t>
      </w:r>
      <w:r w:rsidRPr="00B26C87">
        <w:rPr>
          <w:rFonts w:cs="Times New Roman"/>
          <w:bCs/>
          <w:i/>
        </w:rPr>
        <w:t>Nodrošināt valsts politiku valsts pārvaldes profesionālās attīstības jomā īstenošanu, lai sagatavotu augsti kvalificētu un profesionālu valsts pārvaldes personālu:</w:t>
      </w:r>
    </w:p>
    <w:p w14:paraId="78347457" w14:textId="77777777" w:rsidR="00B26C87" w:rsidRPr="00B26C87" w:rsidRDefault="00B26C87" w:rsidP="006A15ED">
      <w:pPr>
        <w:numPr>
          <w:ilvl w:val="0"/>
          <w:numId w:val="19"/>
        </w:numPr>
        <w:spacing w:after="120"/>
        <w:jc w:val="both"/>
        <w:rPr>
          <w:rFonts w:cs="Times New Roman"/>
          <w:bCs/>
          <w:i/>
        </w:rPr>
      </w:pPr>
      <w:r w:rsidRPr="00B26C87">
        <w:rPr>
          <w:rFonts w:cs="Times New Roman"/>
          <w:bCs/>
          <w:i/>
        </w:rPr>
        <w:t xml:space="preserve">nodrošināt kvalitatīvus un mācību vajadzībām atbilstošus mācību kursus valsts pārvaldē strādājošiem;                               </w:t>
      </w:r>
    </w:p>
    <w:p w14:paraId="0F602259" w14:textId="77777777" w:rsidR="00B26C87" w:rsidRPr="00B26C87" w:rsidRDefault="00B26C87" w:rsidP="006A15ED">
      <w:pPr>
        <w:numPr>
          <w:ilvl w:val="0"/>
          <w:numId w:val="19"/>
        </w:numPr>
        <w:spacing w:after="120"/>
        <w:jc w:val="both"/>
        <w:rPr>
          <w:rFonts w:cs="Times New Roman"/>
          <w:bCs/>
          <w:i/>
        </w:rPr>
      </w:pPr>
      <w:r w:rsidRPr="00B26C87">
        <w:rPr>
          <w:rFonts w:cs="Times New Roman"/>
          <w:bCs/>
          <w:i/>
        </w:rPr>
        <w:t xml:space="preserve">turpināt esošos un uzsākt jaunu starptautisku mācību projektu īstenošanu. </w:t>
      </w:r>
    </w:p>
    <w:p w14:paraId="00B9EF18" w14:textId="6B110789" w:rsidR="00EF5FA0" w:rsidRPr="00856063" w:rsidRDefault="00B26C87" w:rsidP="00EF5FA0">
      <w:pPr>
        <w:spacing w:after="120"/>
        <w:jc w:val="both"/>
        <w:rPr>
          <w:rFonts w:cs="Times New Roman"/>
          <w:b/>
          <w:bCs/>
        </w:rPr>
      </w:pPr>
      <w:r w:rsidRPr="00B26C87">
        <w:rPr>
          <w:rFonts w:cs="Times New Roman"/>
          <w:bCs/>
          <w:iCs/>
        </w:rPr>
        <w:t>(19.00.00 Valsts administrācijas skola</w:t>
      </w:r>
      <w:r w:rsidRPr="00B26C87">
        <w:rPr>
          <w:rFonts w:cs="Times New Roman"/>
          <w:bCs/>
        </w:rPr>
        <w:t xml:space="preserve"> – 0,6 milj. </w:t>
      </w:r>
      <w:r w:rsidRPr="00B26C87">
        <w:rPr>
          <w:rFonts w:cs="Times New Roman"/>
          <w:bCs/>
          <w:i/>
          <w:iCs/>
        </w:rPr>
        <w:t>euro</w:t>
      </w:r>
      <w:r w:rsidRPr="00B26C87">
        <w:rPr>
          <w:rFonts w:cs="Times New Roman"/>
          <w:bCs/>
        </w:rPr>
        <w:t xml:space="preserve">) </w:t>
      </w:r>
      <w:r w:rsidR="001D5590">
        <w:rPr>
          <w:rFonts w:cs="Times New Roman"/>
          <w:bCs/>
        </w:rPr>
        <w:t>V</w:t>
      </w:r>
      <w:r w:rsidRPr="00B26C87">
        <w:rPr>
          <w:rFonts w:cs="Times New Roman"/>
          <w:bCs/>
        </w:rPr>
        <w:t xml:space="preserve">K uzskata, ka pašlaik valsts pārvaldē pastāv decentralizēts mācību piedāvājums, katra iestāde izvēlas savu pakalpojumu sniedzēju un atkarībā no budžeta iespējām nodrošina nodarbināto profesionālo kompetenču paaugstināšanu. Valsts administrācijas skolas mācību piedāvājums vērsts uz maksātspējīgā mācību pieprasījuma apmierināšanu un pilnībā nenodrošina valsts pārvaldē nepieciešamo mācību organizēšanu, kā </w:t>
      </w:r>
      <w:r w:rsidRPr="00B26C87">
        <w:rPr>
          <w:rFonts w:cs="Times New Roman"/>
          <w:bCs/>
        </w:rPr>
        <w:lastRenderedPageBreak/>
        <w:t xml:space="preserve">arī nevar veicināt sistēmisku un mērķtiecīgu pieeju mācību nodrošināšanā. Uz pieprasījumu balstītā pieeja mazina iespēju nodrošināt valsts noteiktu prioritāšu īstenošanu mācībās. Vienlaicīgi </w:t>
      </w:r>
      <w:r w:rsidR="00F51EFB">
        <w:rPr>
          <w:rFonts w:cs="Times New Roman"/>
          <w:bCs/>
        </w:rPr>
        <w:t xml:space="preserve">VK </w:t>
      </w:r>
      <w:r w:rsidR="00F51EFB" w:rsidRPr="00F51EFB">
        <w:rPr>
          <w:rFonts w:cs="Times New Roman"/>
          <w:bCs/>
        </w:rPr>
        <w:t xml:space="preserve">kopīgi ar Valsts administrācijas skolu </w:t>
      </w:r>
      <w:r w:rsidRPr="00B26C87">
        <w:rPr>
          <w:rFonts w:cs="Times New Roman"/>
          <w:bCs/>
        </w:rPr>
        <w:t>strādā pie Valsts pārvald</w:t>
      </w:r>
      <w:r w:rsidR="00F51EFB">
        <w:rPr>
          <w:rFonts w:cs="Times New Roman"/>
          <w:bCs/>
        </w:rPr>
        <w:t>ē</w:t>
      </w:r>
      <w:r w:rsidRPr="00B26C87">
        <w:rPr>
          <w:rFonts w:cs="Times New Roman"/>
          <w:bCs/>
        </w:rPr>
        <w:t xml:space="preserve"> nodarbināto </w:t>
      </w:r>
      <w:r w:rsidR="00F51EFB" w:rsidRPr="006976C9">
        <w:rPr>
          <w:rFonts w:cs="Times New Roman"/>
          <w:bCs/>
        </w:rPr>
        <w:t xml:space="preserve">mācīšanās un </w:t>
      </w:r>
      <w:r w:rsidRPr="00B26C87">
        <w:rPr>
          <w:rFonts w:cs="Times New Roman"/>
          <w:bCs/>
        </w:rPr>
        <w:t xml:space="preserve">attīstības stratēģijas, </w:t>
      </w:r>
      <w:r w:rsidR="00F51EFB">
        <w:rPr>
          <w:rFonts w:cs="Times New Roman"/>
          <w:bCs/>
        </w:rPr>
        <w:t xml:space="preserve">izvirzot tādas mācīšanās prioritātes, kas atbalstīs Nacionālajā attīstības plānā iezīmētos reformu virzienus. </w:t>
      </w:r>
      <w:r w:rsidRPr="00B26C87">
        <w:rPr>
          <w:rFonts w:cs="Times New Roman"/>
          <w:bCs/>
        </w:rPr>
        <w:t>Diemžēl esoš</w:t>
      </w:r>
      <w:r w:rsidR="00F51EFB">
        <w:rPr>
          <w:rFonts w:cs="Times New Roman"/>
          <w:bCs/>
        </w:rPr>
        <w:t>ā</w:t>
      </w:r>
      <w:r w:rsidRPr="00B26C87">
        <w:rPr>
          <w:rFonts w:cs="Times New Roman"/>
          <w:bCs/>
        </w:rPr>
        <w:t xml:space="preserve"> </w:t>
      </w:r>
      <w:r w:rsidR="00F51EFB">
        <w:rPr>
          <w:rFonts w:cs="Times New Roman"/>
          <w:bCs/>
        </w:rPr>
        <w:t xml:space="preserve">finansējuma </w:t>
      </w:r>
      <w:r w:rsidRPr="00B26C87">
        <w:rPr>
          <w:rFonts w:cs="Times New Roman"/>
          <w:bCs/>
        </w:rPr>
        <w:t xml:space="preserve">ietvaros var īstenot nelielu daļu no </w:t>
      </w:r>
      <w:r w:rsidR="00F51EFB">
        <w:rPr>
          <w:rFonts w:cs="Times New Roman"/>
          <w:bCs/>
        </w:rPr>
        <w:t>paredzamajām</w:t>
      </w:r>
      <w:r w:rsidRPr="00B26C87">
        <w:rPr>
          <w:rFonts w:cs="Times New Roman"/>
          <w:bCs/>
        </w:rPr>
        <w:t xml:space="preserve"> prioritātēm</w:t>
      </w:r>
      <w:r w:rsidR="00F51EFB">
        <w:rPr>
          <w:rFonts w:cs="Times New Roman"/>
          <w:bCs/>
        </w:rPr>
        <w:t>, tāpēc nākotnē būtu pārskatāma funkcijas finansēšana</w:t>
      </w:r>
      <w:r w:rsidRPr="00B26C87">
        <w:rPr>
          <w:rFonts w:cs="Times New Roman"/>
          <w:bCs/>
        </w:rPr>
        <w:t xml:space="preserve">. Arī starp iestādēm pastāv milzīgas atšķirības mācību budžeta apjomā, kas </w:t>
      </w:r>
      <w:r w:rsidR="00F51EFB" w:rsidRPr="00B26C87">
        <w:rPr>
          <w:rFonts w:cs="Times New Roman"/>
          <w:bCs/>
        </w:rPr>
        <w:t>ne</w:t>
      </w:r>
      <w:r w:rsidR="00F51EFB">
        <w:rPr>
          <w:rFonts w:cs="Times New Roman"/>
          <w:bCs/>
        </w:rPr>
        <w:t>rada vienlīdzīgas iespējas</w:t>
      </w:r>
      <w:r w:rsidR="00F51EFB" w:rsidRPr="00B26C87">
        <w:rPr>
          <w:rFonts w:cs="Times New Roman"/>
          <w:bCs/>
        </w:rPr>
        <w:t xml:space="preserve"> </w:t>
      </w:r>
      <w:r w:rsidRPr="00B26C87">
        <w:rPr>
          <w:rFonts w:cs="Times New Roman"/>
          <w:bCs/>
        </w:rPr>
        <w:t>nodrošināt mācību vajadzību īstenošanu. Būtu svarīgi rast iespēju centralizēt</w:t>
      </w:r>
      <w:r w:rsidR="00EF5FA0">
        <w:rPr>
          <w:rFonts w:cs="Times New Roman"/>
          <w:bCs/>
        </w:rPr>
        <w:t>i finansēt</w:t>
      </w:r>
      <w:r w:rsidRPr="00B26C87">
        <w:rPr>
          <w:rFonts w:cs="Times New Roman"/>
          <w:bCs/>
        </w:rPr>
        <w:t xml:space="preserve"> </w:t>
      </w:r>
      <w:r w:rsidR="00EF5FA0">
        <w:rPr>
          <w:rFonts w:cs="Times New Roman"/>
          <w:bCs/>
        </w:rPr>
        <w:t>prioritāro tēmu apmācību valsts budžeta ietvaros</w:t>
      </w:r>
      <w:r w:rsidR="00EF5FA0" w:rsidRPr="00B26C87">
        <w:rPr>
          <w:rFonts w:cs="Times New Roman"/>
          <w:bCs/>
        </w:rPr>
        <w:t>.</w:t>
      </w:r>
      <w:r w:rsidRPr="00B26C87">
        <w:rPr>
          <w:rFonts w:cs="Times New Roman"/>
          <w:bCs/>
        </w:rPr>
        <w:t xml:space="preserve"> </w:t>
      </w:r>
      <w:r w:rsidR="00EF5FA0" w:rsidRPr="006976C9">
        <w:rPr>
          <w:rFonts w:cs="Times New Roman"/>
          <w:b/>
          <w:bCs/>
        </w:rPr>
        <w:t>VK, izstrādājot</w:t>
      </w:r>
      <w:r w:rsidR="00EF5FA0">
        <w:rPr>
          <w:rFonts w:cs="Times New Roman"/>
          <w:b/>
          <w:bCs/>
        </w:rPr>
        <w:t xml:space="preserve"> v</w:t>
      </w:r>
      <w:r w:rsidR="00EF5FA0" w:rsidRPr="006976C9">
        <w:rPr>
          <w:rFonts w:cs="Times New Roman"/>
          <w:b/>
          <w:bCs/>
        </w:rPr>
        <w:t>alsts pārvaldē nodarbināto mācīšanās un attīstības stratēģiju izvērtēt piedāvāto apmācību orientāciju uz zināšanu un prasmju attīstību, piedāvāto kursu satura aktualitāti, kā arī iespējamu prioritāro mācību tēmu apmācību centralizēšanu.</w:t>
      </w:r>
      <w:r w:rsidR="00EF5FA0" w:rsidRPr="00856063">
        <w:rPr>
          <w:rFonts w:cs="Times New Roman"/>
          <w:b/>
          <w:bCs/>
        </w:rPr>
        <w:t xml:space="preserve"> </w:t>
      </w:r>
    </w:p>
    <w:p w14:paraId="3A8BCDDF" w14:textId="22490A8B" w:rsidR="00B26C87" w:rsidRPr="00B26C87" w:rsidRDefault="00B26C87" w:rsidP="00FC5E68">
      <w:pPr>
        <w:spacing w:before="240" w:after="240"/>
        <w:jc w:val="both"/>
        <w:rPr>
          <w:rFonts w:cs="Times New Roman"/>
          <w:bCs/>
        </w:rPr>
      </w:pPr>
      <w:r w:rsidRPr="00B26C87">
        <w:rPr>
          <w:rFonts w:cs="Times New Roman"/>
          <w:bCs/>
        </w:rPr>
        <w:t>LM uzskata, ka</w:t>
      </w:r>
      <w:r w:rsidRPr="00B26C87">
        <w:rPr>
          <w:rFonts w:cs="Times New Roman"/>
          <w:b/>
          <w:bCs/>
        </w:rPr>
        <w:t xml:space="preserve"> </w:t>
      </w:r>
      <w:r w:rsidRPr="00B26C87">
        <w:rPr>
          <w:rFonts w:cs="Times New Roman"/>
          <w:bCs/>
        </w:rPr>
        <w:t xml:space="preserve">funkcijai </w:t>
      </w:r>
      <w:r w:rsidRPr="00B26C87">
        <w:rPr>
          <w:rFonts w:cs="Times New Roman"/>
          <w:bCs/>
          <w:i/>
        </w:rPr>
        <w:t xml:space="preserve">Atlīdzināt kredītprocentus personas ar invaliditāti mājokļa pielāgošanai </w:t>
      </w:r>
      <w:r w:rsidRPr="00B26C87">
        <w:rPr>
          <w:rFonts w:cs="Times New Roman"/>
          <w:bCs/>
          <w:iCs/>
        </w:rPr>
        <w:t>(05.01.00 Sociālās rehabilitācijas valsts programmas</w:t>
      </w:r>
      <w:r w:rsidRPr="00B26C87">
        <w:rPr>
          <w:rFonts w:cs="Times New Roman"/>
          <w:bCs/>
          <w:i/>
          <w:iCs/>
        </w:rPr>
        <w:t xml:space="preserve"> – </w:t>
      </w:r>
      <w:r w:rsidRPr="00B26C87">
        <w:rPr>
          <w:rFonts w:cs="Times New Roman"/>
          <w:bCs/>
        </w:rPr>
        <w:t xml:space="preserve">1 320 </w:t>
      </w:r>
      <w:r w:rsidRPr="00B26C87">
        <w:rPr>
          <w:rFonts w:cs="Times New Roman"/>
          <w:bCs/>
          <w:i/>
          <w:iCs/>
        </w:rPr>
        <w:t xml:space="preserve">euro), </w:t>
      </w:r>
      <w:r w:rsidRPr="00B26C87">
        <w:rPr>
          <w:rFonts w:cs="Times New Roman"/>
          <w:bCs/>
        </w:rPr>
        <w:t xml:space="preserve">pamatojoties uz pakalpojuma zemo pieprasījumu, nepieciešams pārskatīt pakalpojuma saturu. Ar esošo pakalpojumam pieejamo finansējumu pakalpojumu pilnveidot nav iespējams. Savukārt LM funkciju </w:t>
      </w:r>
      <w:r w:rsidRPr="00B26C87">
        <w:rPr>
          <w:rFonts w:cs="Times New Roman"/>
          <w:bCs/>
          <w:i/>
        </w:rPr>
        <w:t>Pielāgot transportlīdzekļus personām, kuras funkcionālu izmaiņu dēļ nevar vadīt parastu transportlīdzekli, bet var piedalīties ceļu satiksmē ar pielāgotu transportlīdzekli</w:t>
      </w:r>
      <w:r w:rsidRPr="00B26C87">
        <w:rPr>
          <w:rFonts w:cs="Times New Roman"/>
          <w:bCs/>
        </w:rPr>
        <w:t xml:space="preserve"> (05.37.00 Sociālās integrācijas valsts aģentūras administrēšana un profesionālās un sociālās rehabilitācijas pakalpojumu nodrošināšana - 25 150 </w:t>
      </w:r>
      <w:r w:rsidRPr="00B26C87">
        <w:rPr>
          <w:rFonts w:cs="Times New Roman"/>
          <w:bCs/>
          <w:i/>
          <w:iCs/>
        </w:rPr>
        <w:t>euro</w:t>
      </w:r>
      <w:r w:rsidRPr="00B26C87">
        <w:rPr>
          <w:rFonts w:cs="Times New Roman"/>
          <w:bCs/>
        </w:rPr>
        <w:t>)</w:t>
      </w:r>
      <w:r w:rsidRPr="00B26C87">
        <w:rPr>
          <w:rFonts w:cs="Times New Roman"/>
          <w:b/>
          <w:bCs/>
        </w:rPr>
        <w:t xml:space="preserve"> </w:t>
      </w:r>
      <w:r w:rsidRPr="00B26C87">
        <w:rPr>
          <w:rFonts w:cs="Times New Roman"/>
          <w:bCs/>
          <w:iCs/>
        </w:rPr>
        <w:t>ir iespējams nodot veikšanai citiem pakalpojuma sniedzējiem, ja tas nepieciešams un tiek izvērtēts nodošanas lietderīgums</w:t>
      </w:r>
      <w:r w:rsidRPr="00B26C87">
        <w:rPr>
          <w:rFonts w:cs="Times New Roman"/>
          <w:bCs/>
        </w:rPr>
        <w:t xml:space="preserve">. </w:t>
      </w:r>
      <w:r w:rsidRPr="00B26C87">
        <w:rPr>
          <w:rFonts w:cs="Times New Roman"/>
          <w:b/>
          <w:bCs/>
        </w:rPr>
        <w:t xml:space="preserve">LM </w:t>
      </w:r>
      <w:r w:rsidR="001603DB">
        <w:rPr>
          <w:rFonts w:cs="Times New Roman"/>
          <w:b/>
          <w:bCs/>
        </w:rPr>
        <w:t>iz</w:t>
      </w:r>
      <w:r w:rsidRPr="00B26C87">
        <w:rPr>
          <w:rFonts w:cs="Times New Roman"/>
          <w:b/>
          <w:bCs/>
        </w:rPr>
        <w:t xml:space="preserve">vērtēt </w:t>
      </w:r>
      <w:r w:rsidR="001603DB">
        <w:rPr>
          <w:rFonts w:cs="Times New Roman"/>
          <w:b/>
          <w:bCs/>
        </w:rPr>
        <w:t>minēto</w:t>
      </w:r>
      <w:r w:rsidR="001603DB" w:rsidRPr="00B26C87">
        <w:rPr>
          <w:rFonts w:cs="Times New Roman"/>
          <w:b/>
          <w:bCs/>
        </w:rPr>
        <w:t xml:space="preserve"> </w:t>
      </w:r>
      <w:r w:rsidR="00D96F20">
        <w:rPr>
          <w:rFonts w:cs="Times New Roman"/>
          <w:b/>
          <w:bCs/>
        </w:rPr>
        <w:t xml:space="preserve">funkcijas turpmāku īstenošanu </w:t>
      </w:r>
      <w:r w:rsidRPr="00B26C87">
        <w:rPr>
          <w:rFonts w:cs="Times New Roman"/>
          <w:b/>
          <w:bCs/>
        </w:rPr>
        <w:t xml:space="preserve">un </w:t>
      </w:r>
      <w:r w:rsidR="00D96F20">
        <w:rPr>
          <w:rFonts w:cs="Times New Roman"/>
          <w:b/>
          <w:bCs/>
        </w:rPr>
        <w:t>nepieciešamības gadījumā</w:t>
      </w:r>
      <w:r w:rsidR="001603DB">
        <w:rPr>
          <w:rFonts w:cs="Times New Roman"/>
          <w:b/>
          <w:bCs/>
        </w:rPr>
        <w:t xml:space="preserve"> iesniegt priekšlikumus </w:t>
      </w:r>
      <w:r w:rsidR="00D96F20" w:rsidRPr="00D96F20">
        <w:rPr>
          <w:rFonts w:cs="Times New Roman"/>
          <w:b/>
          <w:bCs/>
        </w:rPr>
        <w:t>g</w:t>
      </w:r>
      <w:r w:rsidR="005E1561">
        <w:rPr>
          <w:rFonts w:cs="Times New Roman"/>
          <w:b/>
          <w:bCs/>
        </w:rPr>
        <w:t>rozījumiem Invaliditātes likumā.</w:t>
      </w:r>
    </w:p>
    <w:p w14:paraId="2065BD8E" w14:textId="77777777" w:rsidR="00B26C87" w:rsidRPr="00B26C87" w:rsidRDefault="00B26C87" w:rsidP="003A6A97">
      <w:pPr>
        <w:spacing w:after="240"/>
        <w:jc w:val="both"/>
        <w:rPr>
          <w:rFonts w:cs="Times New Roman"/>
          <w:bCs/>
          <w:i/>
          <w:iCs/>
        </w:rPr>
      </w:pPr>
      <w:r w:rsidRPr="00B26C87">
        <w:rPr>
          <w:rFonts w:cs="Times New Roman"/>
          <w:bCs/>
        </w:rPr>
        <w:t>LM par deleģējamu uzskata</w:t>
      </w:r>
      <w:r w:rsidRPr="00B26C87">
        <w:rPr>
          <w:rFonts w:cs="Times New Roman"/>
          <w:b/>
          <w:bCs/>
        </w:rPr>
        <w:t xml:space="preserve"> </w:t>
      </w:r>
      <w:r w:rsidRPr="00B26C87">
        <w:rPr>
          <w:rFonts w:cs="Times New Roman"/>
          <w:bCs/>
        </w:rPr>
        <w:t xml:space="preserve">funkcijas </w:t>
      </w:r>
      <w:r w:rsidRPr="00B26C87">
        <w:rPr>
          <w:rFonts w:cs="Times New Roman"/>
          <w:bCs/>
          <w:i/>
        </w:rPr>
        <w:t>Sniegt atbalstu bez vecāku gādības palikušiem bērniem un adoptētiem bērniem</w:t>
      </w:r>
      <w:r w:rsidRPr="00B26C87">
        <w:rPr>
          <w:rFonts w:cs="Times New Roman"/>
          <w:bCs/>
        </w:rPr>
        <w:t xml:space="preserve"> (122 tūkst. </w:t>
      </w:r>
      <w:r w:rsidRPr="00B26C87">
        <w:rPr>
          <w:rFonts w:cs="Times New Roman"/>
          <w:bCs/>
          <w:i/>
          <w:iCs/>
        </w:rPr>
        <w:t>euro</w:t>
      </w:r>
      <w:r w:rsidRPr="00B26C87">
        <w:rPr>
          <w:rFonts w:cs="Times New Roman"/>
          <w:bCs/>
        </w:rPr>
        <w:t xml:space="preserve">) un </w:t>
      </w:r>
      <w:r w:rsidRPr="00B26C87">
        <w:rPr>
          <w:rFonts w:cs="Times New Roman"/>
          <w:bCs/>
          <w:i/>
        </w:rPr>
        <w:t xml:space="preserve">Sniegt konsultācijas un psiholoģisko atbalstu  bērniem krīzes situācijās </w:t>
      </w:r>
      <w:r w:rsidRPr="00B26C87">
        <w:rPr>
          <w:rFonts w:cs="Times New Roman"/>
          <w:bCs/>
        </w:rPr>
        <w:t>(</w:t>
      </w:r>
      <w:r w:rsidRPr="00B26C87">
        <w:rPr>
          <w:rFonts w:cs="Times New Roman"/>
          <w:bCs/>
          <w:iCs/>
        </w:rPr>
        <w:t>22.02.00 Valsts programma bērnu un ģimenes stāvokļa uzlabošanai</w:t>
      </w:r>
      <w:r w:rsidRPr="00B26C87">
        <w:rPr>
          <w:rFonts w:cs="Times New Roman"/>
          <w:bCs/>
          <w:i/>
          <w:iCs/>
        </w:rPr>
        <w:t xml:space="preserve"> – </w:t>
      </w:r>
      <w:r w:rsidRPr="00B26C87">
        <w:rPr>
          <w:rFonts w:cs="Times New Roman"/>
          <w:bCs/>
        </w:rPr>
        <w:t xml:space="preserve">10 tūkst. </w:t>
      </w:r>
      <w:r w:rsidRPr="00B26C87">
        <w:rPr>
          <w:rFonts w:cs="Times New Roman"/>
          <w:bCs/>
          <w:i/>
          <w:iCs/>
        </w:rPr>
        <w:t>euro</w:t>
      </w:r>
      <w:r w:rsidRPr="00B26C87">
        <w:rPr>
          <w:rFonts w:cs="Times New Roman"/>
          <w:bCs/>
        </w:rPr>
        <w:t>). Pirmo no tām deleģējot NVO, Ārpusģimenes aprūpes atbalsta centriem un otru funkciju deleģējot sociālo pakalpojumu sniedzējiem, kas spēj nodrošināt profesionālu speciālistu komandu, lai cietušais saņemtu profesionālu palīdzību ilgtermiņā.</w:t>
      </w:r>
    </w:p>
    <w:p w14:paraId="7A25A662" w14:textId="37AA9902" w:rsidR="00DF0A9B" w:rsidRDefault="00B26C87" w:rsidP="00DA6C88">
      <w:pPr>
        <w:spacing w:after="120"/>
        <w:jc w:val="both"/>
        <w:rPr>
          <w:rFonts w:cs="Times New Roman"/>
          <w:b/>
          <w:bCs/>
        </w:rPr>
      </w:pPr>
      <w:r w:rsidRPr="00B26C87">
        <w:rPr>
          <w:rFonts w:cs="Times New Roman"/>
          <w:bCs/>
        </w:rPr>
        <w:t xml:space="preserve">Arī funkciju </w:t>
      </w:r>
      <w:r w:rsidRPr="00B26C87">
        <w:rPr>
          <w:rFonts w:cs="Times New Roman"/>
          <w:bCs/>
          <w:i/>
        </w:rPr>
        <w:t>Izglītojošu, informatīvu un atbalsta pasākumu nodrošināšana, sekmējot bērnu  un aizgādnībā esošo personu tiesību ievērošanu</w:t>
      </w:r>
      <w:r w:rsidRPr="00B26C87">
        <w:rPr>
          <w:rFonts w:cs="Times New Roman"/>
          <w:bCs/>
        </w:rPr>
        <w:t xml:space="preserve"> (</w:t>
      </w:r>
      <w:r w:rsidRPr="00B26C87">
        <w:rPr>
          <w:rFonts w:cs="Times New Roman"/>
          <w:bCs/>
          <w:iCs/>
        </w:rPr>
        <w:t>22.01.00 Valsts bērnu tiesību aizsardzības inspekcija un bērnu uzticības tālrunis</w:t>
      </w:r>
      <w:r w:rsidRPr="00B26C87">
        <w:rPr>
          <w:rFonts w:cs="Times New Roman"/>
          <w:bCs/>
          <w:i/>
          <w:iCs/>
        </w:rPr>
        <w:t xml:space="preserve"> – </w:t>
      </w:r>
      <w:r w:rsidRPr="00B26C87">
        <w:rPr>
          <w:rFonts w:cs="Times New Roman"/>
          <w:bCs/>
        </w:rPr>
        <w:t xml:space="preserve">480 tūkst. </w:t>
      </w:r>
      <w:r w:rsidRPr="00B26C87">
        <w:rPr>
          <w:rFonts w:cs="Times New Roman"/>
          <w:bCs/>
          <w:i/>
          <w:iCs/>
        </w:rPr>
        <w:t>euro</w:t>
      </w:r>
      <w:r w:rsidRPr="00B26C87">
        <w:rPr>
          <w:rFonts w:cs="Times New Roman"/>
          <w:bCs/>
        </w:rPr>
        <w:t xml:space="preserve">) LM uzskata par pārvērtējamu, izskatot iespējamību Uzticības tālruņa deleģēšanai NVO. </w:t>
      </w:r>
      <w:r w:rsidRPr="00B26C87">
        <w:rPr>
          <w:rFonts w:cs="Times New Roman"/>
          <w:b/>
          <w:bCs/>
        </w:rPr>
        <w:t xml:space="preserve">LM </w:t>
      </w:r>
      <w:r w:rsidR="001603DB">
        <w:rPr>
          <w:rFonts w:cs="Times New Roman"/>
          <w:b/>
          <w:bCs/>
        </w:rPr>
        <w:t>iz</w:t>
      </w:r>
      <w:r w:rsidRPr="00B26C87">
        <w:rPr>
          <w:rFonts w:cs="Times New Roman"/>
          <w:b/>
          <w:bCs/>
        </w:rPr>
        <w:t xml:space="preserve">vērtēt </w:t>
      </w:r>
      <w:r w:rsidR="001603DB">
        <w:rPr>
          <w:rFonts w:cs="Times New Roman"/>
          <w:b/>
          <w:bCs/>
        </w:rPr>
        <w:t>sniegtos</w:t>
      </w:r>
      <w:r w:rsidR="001603DB" w:rsidRPr="00B26C87">
        <w:rPr>
          <w:rFonts w:cs="Times New Roman"/>
          <w:b/>
          <w:bCs/>
        </w:rPr>
        <w:t xml:space="preserve"> </w:t>
      </w:r>
      <w:r w:rsidRPr="00B26C87">
        <w:rPr>
          <w:rFonts w:cs="Times New Roman"/>
          <w:b/>
          <w:bCs/>
        </w:rPr>
        <w:t>priekšlikumus kontekstā ar TM un LM uzsākto bērnu tiesību aizsardzības jautājumu sakārtošanu.</w:t>
      </w:r>
    </w:p>
    <w:p w14:paraId="7963C342" w14:textId="316D2AC5" w:rsidR="00117495" w:rsidRDefault="00117495" w:rsidP="006028C9">
      <w:pPr>
        <w:tabs>
          <w:tab w:val="left" w:pos="3344"/>
        </w:tabs>
        <w:spacing w:after="120"/>
        <w:jc w:val="both"/>
        <w:rPr>
          <w:rFonts w:cs="Times New Roman"/>
          <w:b/>
          <w:bCs/>
        </w:rPr>
      </w:pPr>
    </w:p>
    <w:p w14:paraId="440E8947" w14:textId="1469DC70" w:rsidR="00FC5E68" w:rsidRDefault="00FC5E68" w:rsidP="006028C9">
      <w:pPr>
        <w:tabs>
          <w:tab w:val="left" w:pos="3344"/>
        </w:tabs>
        <w:spacing w:after="120"/>
        <w:jc w:val="both"/>
        <w:rPr>
          <w:rFonts w:cs="Times New Roman"/>
          <w:b/>
          <w:bCs/>
        </w:rPr>
      </w:pPr>
    </w:p>
    <w:p w14:paraId="3C3A7115" w14:textId="7797A270" w:rsidR="00FC5E68" w:rsidRDefault="00FC5E68" w:rsidP="006028C9">
      <w:pPr>
        <w:tabs>
          <w:tab w:val="left" w:pos="3344"/>
        </w:tabs>
        <w:spacing w:after="120"/>
        <w:jc w:val="both"/>
        <w:rPr>
          <w:rFonts w:cs="Times New Roman"/>
          <w:b/>
          <w:bCs/>
        </w:rPr>
      </w:pPr>
    </w:p>
    <w:p w14:paraId="06E30F6E" w14:textId="5D6E7A84" w:rsidR="00FC5E68" w:rsidRDefault="00FC5E68" w:rsidP="006028C9">
      <w:pPr>
        <w:tabs>
          <w:tab w:val="left" w:pos="3344"/>
        </w:tabs>
        <w:spacing w:after="120"/>
        <w:jc w:val="both"/>
        <w:rPr>
          <w:rFonts w:cs="Times New Roman"/>
          <w:b/>
          <w:bCs/>
        </w:rPr>
      </w:pPr>
    </w:p>
    <w:p w14:paraId="006014BE" w14:textId="77777777" w:rsidR="00FC5E68" w:rsidRPr="00DA6C88" w:rsidRDefault="00FC5E68" w:rsidP="006028C9">
      <w:pPr>
        <w:tabs>
          <w:tab w:val="left" w:pos="3344"/>
        </w:tabs>
        <w:spacing w:after="120"/>
        <w:jc w:val="both"/>
        <w:rPr>
          <w:rFonts w:cs="Times New Roman"/>
          <w:b/>
          <w:bCs/>
        </w:rPr>
      </w:pPr>
    </w:p>
    <w:p w14:paraId="03D5D53E" w14:textId="77777777" w:rsidR="008D0275" w:rsidRDefault="00544325" w:rsidP="00544325">
      <w:pPr>
        <w:pStyle w:val="Heading1"/>
      </w:pPr>
      <w:bookmarkStart w:id="29" w:name="_Toc48200645"/>
      <w:r w:rsidRPr="00544325">
        <w:lastRenderedPageBreak/>
        <w:t>NOZARES MINISTRIJU</w:t>
      </w:r>
      <w:r>
        <w:t xml:space="preserve"> </w:t>
      </w:r>
      <w:r w:rsidRPr="00544325">
        <w:t>PĀRRAUDZĪBĀ ESOŠO FINANSĒŠANAS POLITIKU ANALĪZE</w:t>
      </w:r>
      <w:bookmarkEnd w:id="29"/>
    </w:p>
    <w:p w14:paraId="3D625F39" w14:textId="77777777" w:rsidR="00D44FE6" w:rsidRDefault="00D44FE6" w:rsidP="006A15ED">
      <w:pPr>
        <w:pStyle w:val="Heading2"/>
        <w:numPr>
          <w:ilvl w:val="1"/>
          <w:numId w:val="2"/>
        </w:numPr>
      </w:pPr>
      <w:bookmarkStart w:id="30" w:name="_Toc48200646"/>
      <w:r w:rsidRPr="00D44FE6">
        <w:t>Kārtējā budžeta gadā un iepriekšējos gados piešķirtā finansējuma attīstības izdevumiem pārskatīšana</w:t>
      </w:r>
      <w:bookmarkEnd w:id="30"/>
    </w:p>
    <w:p w14:paraId="01EBF44A" w14:textId="21AC74E2" w:rsidR="00E158D6" w:rsidRPr="00E158D6" w:rsidRDefault="00E158D6" w:rsidP="00911783">
      <w:pPr>
        <w:pStyle w:val="Caption"/>
        <w:spacing w:before="0" w:line="259" w:lineRule="auto"/>
        <w:ind w:firstLine="720"/>
        <w:jc w:val="both"/>
        <w:rPr>
          <w:rFonts w:cs="Times New Roman"/>
        </w:rPr>
      </w:pPr>
      <w:r w:rsidRPr="00E158D6">
        <w:rPr>
          <w:rFonts w:cs="Times New Roman"/>
        </w:rPr>
        <w:t xml:space="preserve">Lai rastu papildu līdzekļus aktuālu PP finansēšanai 2021., 2022. un 2023. gadam, veikta iepriekš piešķirtā finansējuma PP pārskatīšana. </w:t>
      </w:r>
      <w:bookmarkStart w:id="31" w:name="_Ref14966759"/>
      <w:r w:rsidRPr="00E158D6">
        <w:rPr>
          <w:rFonts w:cs="Times New Roman"/>
        </w:rPr>
        <w:t>Izvērtējums tika veikts PP, kuriem finansējums piešķirts 2019. – 2021. gadam. Vērtēšanai netika pakļauti 2019. – 2021. gada PP, kuriem finansējums piešķirts tikai 2019. gadam vai 2019. un 2020. gadam. Izdevumu pārskatīšanai netika pakļauts ietvars 2020. – 2022.</w:t>
      </w:r>
      <w:r w:rsidR="007B55B0">
        <w:rPr>
          <w:rFonts w:cs="Times New Roman"/>
        </w:rPr>
        <w:t xml:space="preserve"> </w:t>
      </w:r>
      <w:r w:rsidRPr="00E158D6">
        <w:rPr>
          <w:rFonts w:cs="Times New Roman"/>
        </w:rPr>
        <w:t>gadam, jo pieņemtie lēmumi attiecībā uz PP ir aktuāli</w:t>
      </w:r>
      <w:r w:rsidR="002D57C1">
        <w:rPr>
          <w:rFonts w:cs="Times New Roman"/>
        </w:rPr>
        <w:t xml:space="preserve"> (</w:t>
      </w:r>
      <w:r w:rsidR="002D57C1">
        <w:rPr>
          <w:rFonts w:cs="Times New Roman"/>
        </w:rPr>
        <w:fldChar w:fldCharType="begin"/>
      </w:r>
      <w:r w:rsidR="002D57C1">
        <w:rPr>
          <w:rFonts w:cs="Times New Roman"/>
        </w:rPr>
        <w:instrText xml:space="preserve"> REF _Ref47345578 \h </w:instrText>
      </w:r>
      <w:r w:rsidR="002D57C1">
        <w:rPr>
          <w:rFonts w:cs="Times New Roman"/>
        </w:rPr>
      </w:r>
      <w:r w:rsidR="002D57C1">
        <w:rPr>
          <w:rFonts w:cs="Times New Roman"/>
        </w:rPr>
        <w:fldChar w:fldCharType="separate"/>
      </w:r>
      <w:r w:rsidR="00D96F20">
        <w:t xml:space="preserve">Attēls Nr. </w:t>
      </w:r>
      <w:r w:rsidR="00D96F20">
        <w:rPr>
          <w:noProof/>
        </w:rPr>
        <w:t>8</w:t>
      </w:r>
      <w:r w:rsidR="002D57C1">
        <w:rPr>
          <w:rFonts w:cs="Times New Roman"/>
        </w:rPr>
        <w:fldChar w:fldCharType="end"/>
      </w:r>
      <w:r w:rsidR="002D57C1">
        <w:rPr>
          <w:rFonts w:cs="Times New Roman"/>
        </w:rPr>
        <w:t>).</w:t>
      </w:r>
      <w:r w:rsidRPr="00E158D6">
        <w:rPr>
          <w:rFonts w:cs="Times New Roman"/>
        </w:rPr>
        <w:t xml:space="preserve"> </w:t>
      </w:r>
    </w:p>
    <w:p w14:paraId="5407618B" w14:textId="77777777" w:rsidR="00E158D6" w:rsidRPr="00E158D6" w:rsidRDefault="00E158D6" w:rsidP="00911783">
      <w:pPr>
        <w:spacing w:after="120"/>
        <w:ind w:firstLine="720"/>
        <w:rPr>
          <w:rFonts w:cs="Times New Roman"/>
        </w:rPr>
      </w:pPr>
      <w:r w:rsidRPr="00E158D6">
        <w:rPr>
          <w:rFonts w:cs="Times New Roman"/>
        </w:rPr>
        <w:t xml:space="preserve">Lai veiktu PP horizontālu pārskatīšanu, tika vērtētas šādas PP komponentes: </w:t>
      </w:r>
    </w:p>
    <w:p w14:paraId="3A360736" w14:textId="77777777" w:rsidR="00E158D6" w:rsidRPr="00E158D6" w:rsidRDefault="00E158D6" w:rsidP="00911783">
      <w:pPr>
        <w:numPr>
          <w:ilvl w:val="0"/>
          <w:numId w:val="12"/>
        </w:numPr>
        <w:spacing w:after="120"/>
        <w:jc w:val="both"/>
        <w:rPr>
          <w:rFonts w:cs="Times New Roman"/>
          <w:szCs w:val="22"/>
          <w:lang w:val="en-US"/>
        </w:rPr>
      </w:pPr>
      <w:r w:rsidRPr="00E158D6">
        <w:rPr>
          <w:rFonts w:cs="Times New Roman"/>
          <w:szCs w:val="22"/>
        </w:rPr>
        <w:t>elastība (piešķirtā finansējuma pārdale);</w:t>
      </w:r>
    </w:p>
    <w:p w14:paraId="45BF7ACF" w14:textId="77777777" w:rsidR="00E158D6" w:rsidRPr="00E158D6" w:rsidRDefault="00E158D6" w:rsidP="00911783">
      <w:pPr>
        <w:numPr>
          <w:ilvl w:val="0"/>
          <w:numId w:val="12"/>
        </w:numPr>
        <w:spacing w:after="120"/>
        <w:jc w:val="both"/>
        <w:rPr>
          <w:rFonts w:cs="Times New Roman"/>
          <w:szCs w:val="22"/>
          <w:lang w:val="en-US"/>
        </w:rPr>
      </w:pPr>
      <w:r w:rsidRPr="00E158D6">
        <w:rPr>
          <w:rFonts w:cs="Times New Roman"/>
          <w:szCs w:val="22"/>
        </w:rPr>
        <w:t>efektivitāte (izdevumu un rezultatīvo rādītāju izpilde);</w:t>
      </w:r>
    </w:p>
    <w:p w14:paraId="5DD72905" w14:textId="77777777" w:rsidR="00E158D6" w:rsidRPr="00E158D6" w:rsidRDefault="00E158D6" w:rsidP="00911783">
      <w:pPr>
        <w:numPr>
          <w:ilvl w:val="0"/>
          <w:numId w:val="12"/>
        </w:numPr>
        <w:spacing w:after="120"/>
        <w:jc w:val="both"/>
        <w:rPr>
          <w:rFonts w:cs="Times New Roman"/>
          <w:szCs w:val="22"/>
          <w:lang w:val="en-US"/>
        </w:rPr>
      </w:pPr>
      <w:r w:rsidRPr="00E158D6">
        <w:rPr>
          <w:rFonts w:cs="Times New Roman"/>
          <w:szCs w:val="22"/>
        </w:rPr>
        <w:t>PP aktualitāte;</w:t>
      </w:r>
    </w:p>
    <w:p w14:paraId="224D8C25" w14:textId="77777777" w:rsidR="00E158D6" w:rsidRPr="00E158D6" w:rsidRDefault="00E158D6" w:rsidP="00911783">
      <w:pPr>
        <w:numPr>
          <w:ilvl w:val="0"/>
          <w:numId w:val="12"/>
        </w:numPr>
        <w:spacing w:after="120"/>
        <w:jc w:val="both"/>
        <w:rPr>
          <w:rFonts w:cs="Times New Roman"/>
          <w:szCs w:val="22"/>
          <w:lang w:val="en-US"/>
        </w:rPr>
      </w:pPr>
      <w:r w:rsidRPr="00E158D6">
        <w:rPr>
          <w:rFonts w:cs="Times New Roman"/>
          <w:szCs w:val="22"/>
        </w:rPr>
        <w:t xml:space="preserve">sabiedrības intereses (vai PP iespējams turpināt par mazāku finansējumu);       </w:t>
      </w:r>
    </w:p>
    <w:p w14:paraId="14062D6D" w14:textId="6917E52C" w:rsidR="00E158D6" w:rsidRPr="00E158D6" w:rsidRDefault="00E158D6" w:rsidP="00911783">
      <w:pPr>
        <w:numPr>
          <w:ilvl w:val="0"/>
          <w:numId w:val="12"/>
        </w:numPr>
        <w:spacing w:after="120"/>
        <w:jc w:val="both"/>
        <w:rPr>
          <w:rFonts w:cs="Times New Roman"/>
          <w:szCs w:val="22"/>
          <w:lang w:val="en-US"/>
        </w:rPr>
      </w:pPr>
      <w:r w:rsidRPr="00E158D6">
        <w:rPr>
          <w:rFonts w:cs="Times New Roman"/>
          <w:szCs w:val="22"/>
        </w:rPr>
        <w:t xml:space="preserve">valdības loma (vai ir iekļauts </w:t>
      </w:r>
      <w:r w:rsidR="007B55B0">
        <w:rPr>
          <w:rFonts w:cs="Times New Roman"/>
          <w:szCs w:val="22"/>
        </w:rPr>
        <w:t>VRP</w:t>
      </w:r>
      <w:r w:rsidRPr="00E158D6">
        <w:rPr>
          <w:rFonts w:cs="Times New Roman"/>
          <w:szCs w:val="22"/>
        </w:rPr>
        <w:t>).</w:t>
      </w:r>
    </w:p>
    <w:p w14:paraId="4C097B19" w14:textId="77777777" w:rsidR="00DA6C88" w:rsidRPr="002D57C1" w:rsidRDefault="00E158D6" w:rsidP="00510677">
      <w:pPr>
        <w:spacing w:after="120"/>
        <w:ind w:firstLine="720"/>
        <w:jc w:val="both"/>
        <w:rPr>
          <w:rFonts w:cs="Times New Roman"/>
        </w:rPr>
      </w:pPr>
      <w:r w:rsidRPr="00E158D6">
        <w:rPr>
          <w:rFonts w:cs="Times New Roman"/>
        </w:rPr>
        <w:t>PP piešķirtais finansējums tiek vērtēts divās daļās. Sākotnējo izvērtējumu veica FM, novērtējot PP elastību un efektivitāti, savukārt nozaru ministrijas vērtēja PP aktualitāti, sabiedrības intereses un valdības lomu.</w:t>
      </w:r>
      <w:bookmarkStart w:id="32" w:name="_Ref46150334"/>
      <w:bookmarkStart w:id="33" w:name="_Ref47086770"/>
      <w:bookmarkEnd w:id="31"/>
    </w:p>
    <w:p w14:paraId="22C45962" w14:textId="13841D2B" w:rsidR="00E158D6" w:rsidRDefault="00E158D6" w:rsidP="003A6A97">
      <w:pPr>
        <w:pStyle w:val="Caption"/>
        <w:spacing w:line="259" w:lineRule="auto"/>
        <w:rPr>
          <w:rFonts w:cs="Times New Roman"/>
          <w:b/>
        </w:rPr>
      </w:pPr>
      <w:bookmarkStart w:id="34" w:name="_Ref47345578"/>
      <w:r>
        <w:t xml:space="preserve">Attēls Nr. </w:t>
      </w:r>
      <w:fldSimple w:instr=" SEQ Attēls_Nr. \* ARABIC ">
        <w:r w:rsidR="00D96F20">
          <w:rPr>
            <w:noProof/>
          </w:rPr>
          <w:t>8</w:t>
        </w:r>
      </w:fldSimple>
      <w:bookmarkEnd w:id="32"/>
      <w:bookmarkEnd w:id="33"/>
      <w:bookmarkEnd w:id="34"/>
    </w:p>
    <w:p w14:paraId="61A5BC46" w14:textId="77777777" w:rsidR="00E158D6" w:rsidRPr="00E158D6" w:rsidRDefault="00E158D6" w:rsidP="003A6A97">
      <w:pPr>
        <w:spacing w:after="120"/>
        <w:ind w:firstLine="539"/>
        <w:jc w:val="center"/>
        <w:rPr>
          <w:rFonts w:cs="Times New Roman"/>
          <w:b/>
        </w:rPr>
      </w:pPr>
      <w:r w:rsidRPr="00E158D6">
        <w:rPr>
          <w:rFonts w:cs="Times New Roman"/>
          <w:b/>
        </w:rPr>
        <w:t>Līdzšinēji piešķirtā finansējuma prioritārajiem pasākumiem pārskatīšanas pārklājums</w:t>
      </w:r>
    </w:p>
    <w:p w14:paraId="2E34A1B2" w14:textId="0A4122E9" w:rsidR="00E158D6" w:rsidRPr="00E158D6" w:rsidRDefault="00F87EF0" w:rsidP="00E158D6">
      <w:pPr>
        <w:spacing w:after="120" w:line="254" w:lineRule="auto"/>
        <w:jc w:val="center"/>
      </w:pPr>
      <w:r>
        <w:rPr>
          <w:noProof/>
          <w:lang w:eastAsia="lv-LV"/>
        </w:rPr>
        <w:drawing>
          <wp:inline distT="0" distB="0" distL="0" distR="0" wp14:anchorId="7FE50D52" wp14:editId="72739853">
            <wp:extent cx="5695950" cy="331307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01328" cy="3316203"/>
                    </a:xfrm>
                    <a:prstGeom prst="rect">
                      <a:avLst/>
                    </a:prstGeom>
                    <a:noFill/>
                  </pic:spPr>
                </pic:pic>
              </a:graphicData>
            </a:graphic>
          </wp:inline>
        </w:drawing>
      </w:r>
    </w:p>
    <w:p w14:paraId="342C0275" w14:textId="77777777" w:rsidR="00E158D6" w:rsidRPr="00E158D6" w:rsidRDefault="00E158D6" w:rsidP="00911783">
      <w:pPr>
        <w:spacing w:after="120"/>
        <w:ind w:firstLine="720"/>
        <w:jc w:val="both"/>
        <w:rPr>
          <w:rFonts w:cs="Times New Roman"/>
        </w:rPr>
      </w:pPr>
      <w:r w:rsidRPr="00E158D6">
        <w:rPr>
          <w:rFonts w:cs="Times New Roman"/>
        </w:rPr>
        <w:lastRenderedPageBreak/>
        <w:t xml:space="preserve">Kopā tika </w:t>
      </w:r>
      <w:r w:rsidR="00764A07">
        <w:rPr>
          <w:rFonts w:cs="Times New Roman"/>
        </w:rPr>
        <w:t>analizēti</w:t>
      </w:r>
      <w:r w:rsidRPr="00E158D6">
        <w:rPr>
          <w:rFonts w:cs="Times New Roman"/>
        </w:rPr>
        <w:t xml:space="preserve"> 26 PP un no tiem identificēti 3 PP, kur iespējams pārskatīt piešķirto finansējumu.</w:t>
      </w:r>
    </w:p>
    <w:p w14:paraId="1766FF59" w14:textId="77777777" w:rsidR="00E158D6" w:rsidRPr="00E158D6" w:rsidRDefault="00E158D6" w:rsidP="00911783">
      <w:pPr>
        <w:spacing w:after="120"/>
        <w:rPr>
          <w:rFonts w:cs="Times New Roman"/>
          <w:b/>
          <w:bCs/>
          <w:szCs w:val="28"/>
          <w:u w:val="single"/>
        </w:rPr>
      </w:pPr>
      <w:r w:rsidRPr="00E158D6">
        <w:rPr>
          <w:rFonts w:cs="Times New Roman"/>
          <w:b/>
          <w:bCs/>
          <w:szCs w:val="28"/>
          <w:u w:val="single"/>
        </w:rPr>
        <w:t>Prioritārie pasākumi:</w:t>
      </w:r>
    </w:p>
    <w:p w14:paraId="655EBFB0" w14:textId="77777777" w:rsidR="00E158D6" w:rsidRPr="00E158D6" w:rsidRDefault="00E158D6" w:rsidP="00911783">
      <w:pPr>
        <w:spacing w:after="120"/>
        <w:jc w:val="both"/>
        <w:rPr>
          <w:rFonts w:cs="Times New Roman"/>
          <w:b/>
          <w:bCs/>
        </w:rPr>
      </w:pPr>
      <w:r w:rsidRPr="00E158D6">
        <w:rPr>
          <w:rFonts w:cs="Times New Roman"/>
          <w:b/>
          <w:bCs/>
        </w:rPr>
        <w:t>EM – Diasporas likuma normu īstenošanai</w:t>
      </w:r>
    </w:p>
    <w:p w14:paraId="7EECB247" w14:textId="05C23DFF" w:rsidR="00E158D6" w:rsidRPr="00E158D6" w:rsidRDefault="00E158D6" w:rsidP="00911783">
      <w:pPr>
        <w:spacing w:after="120"/>
        <w:ind w:firstLine="709"/>
        <w:jc w:val="both"/>
        <w:rPr>
          <w:rFonts w:cs="Times New Roman"/>
        </w:rPr>
      </w:pPr>
      <w:r w:rsidRPr="00E158D6">
        <w:rPr>
          <w:rFonts w:cs="Times New Roman"/>
        </w:rPr>
        <w:t>EM valsts budžeta apakšprogrammā 28.00.00 Ārējās ekonomiskās politikas ieviešana 2019.-2021.</w:t>
      </w:r>
      <w:r w:rsidR="007B55B0">
        <w:rPr>
          <w:rFonts w:cs="Times New Roman"/>
        </w:rPr>
        <w:t xml:space="preserve"> </w:t>
      </w:r>
      <w:r w:rsidRPr="00E158D6">
        <w:rPr>
          <w:rFonts w:cs="Times New Roman"/>
        </w:rPr>
        <w:t>gada ietvarā piešķirts finansējums PP “Diasporas likuma normu īstenošanai” 2019.</w:t>
      </w:r>
      <w:r w:rsidR="007B55B0">
        <w:rPr>
          <w:rFonts w:cs="Times New Roman"/>
        </w:rPr>
        <w:t xml:space="preserve"> </w:t>
      </w:r>
      <w:r w:rsidRPr="00E158D6">
        <w:rPr>
          <w:rFonts w:cs="Times New Roman"/>
        </w:rPr>
        <w:t xml:space="preserve">gadam 266 725 </w:t>
      </w:r>
      <w:r w:rsidRPr="00E158D6">
        <w:rPr>
          <w:rFonts w:cs="Times New Roman"/>
          <w:i/>
          <w:iCs/>
        </w:rPr>
        <w:t>euro</w:t>
      </w:r>
      <w:r w:rsidRPr="00E158D6">
        <w:rPr>
          <w:rFonts w:cs="Times New Roman"/>
        </w:rPr>
        <w:t xml:space="preserve"> apmērā un 2020.-2021.</w:t>
      </w:r>
      <w:r w:rsidR="007B55B0">
        <w:rPr>
          <w:rFonts w:cs="Times New Roman"/>
        </w:rPr>
        <w:t xml:space="preserve"> </w:t>
      </w:r>
      <w:r w:rsidRPr="00E158D6">
        <w:rPr>
          <w:rFonts w:cs="Times New Roman"/>
        </w:rPr>
        <w:t xml:space="preserve">gadam 263 225 </w:t>
      </w:r>
      <w:r w:rsidRPr="00E158D6">
        <w:rPr>
          <w:rFonts w:cs="Times New Roman"/>
          <w:i/>
          <w:iCs/>
        </w:rPr>
        <w:t>euro</w:t>
      </w:r>
      <w:r w:rsidRPr="00E158D6">
        <w:rPr>
          <w:rFonts w:cs="Times New Roman"/>
        </w:rPr>
        <w:t xml:space="preserve"> apmērā ik gadu, lai mērķtiecīgi  identificētu, </w:t>
      </w:r>
      <w:r w:rsidRPr="007B55B0">
        <w:rPr>
          <w:rFonts w:cs="Times New Roman"/>
        </w:rPr>
        <w:t>uzrunāt</w:t>
      </w:r>
      <w:r w:rsidRPr="00F17C94">
        <w:rPr>
          <w:rFonts w:cs="Times New Roman"/>
        </w:rPr>
        <w:t>u</w:t>
      </w:r>
      <w:r w:rsidRPr="007B55B0">
        <w:rPr>
          <w:rFonts w:cs="Times New Roman"/>
        </w:rPr>
        <w:t xml:space="preserve"> un iesaistīt</w:t>
      </w:r>
      <w:r w:rsidRPr="00F17C94">
        <w:rPr>
          <w:rFonts w:cs="Times New Roman"/>
        </w:rPr>
        <w:t>u</w:t>
      </w:r>
      <w:r w:rsidRPr="007B55B0">
        <w:rPr>
          <w:rFonts w:cs="Times New Roman"/>
        </w:rPr>
        <w:t xml:space="preserve"> </w:t>
      </w:r>
      <w:r w:rsidRPr="00E158D6">
        <w:rPr>
          <w:rFonts w:cs="Times New Roman"/>
        </w:rPr>
        <w:t xml:space="preserve">diasporas pārstāvjus aktivitātēs, kas saistās ar eksporta veicināšanu, investīciju piesaisti, inovāciju attīstīšanu un tūrisma popularizēšanu.   </w:t>
      </w:r>
    </w:p>
    <w:p w14:paraId="59804AD9" w14:textId="300FF7C3" w:rsidR="00E158D6" w:rsidRPr="00E158D6" w:rsidRDefault="00E158D6" w:rsidP="00911783">
      <w:pPr>
        <w:spacing w:after="120"/>
        <w:ind w:firstLine="709"/>
        <w:jc w:val="both"/>
        <w:rPr>
          <w:rFonts w:cs="Times New Roman"/>
        </w:rPr>
      </w:pPr>
      <w:r w:rsidRPr="00E158D6">
        <w:rPr>
          <w:rFonts w:cs="Times New Roman"/>
        </w:rPr>
        <w:t>Ņemot vērā faktisko 2019.</w:t>
      </w:r>
      <w:r w:rsidR="007B55B0">
        <w:rPr>
          <w:rFonts w:cs="Times New Roman"/>
        </w:rPr>
        <w:t xml:space="preserve"> </w:t>
      </w:r>
      <w:r w:rsidRPr="00E158D6">
        <w:rPr>
          <w:rFonts w:cs="Times New Roman"/>
        </w:rPr>
        <w:t xml:space="preserve">gada izdevumu izpildi, kas attiecīgi ir par 149 399 </w:t>
      </w:r>
      <w:r w:rsidRPr="00E158D6">
        <w:rPr>
          <w:rFonts w:cs="Times New Roman"/>
          <w:i/>
          <w:iCs/>
        </w:rPr>
        <w:t>euro</w:t>
      </w:r>
      <w:r w:rsidRPr="00E158D6">
        <w:rPr>
          <w:rFonts w:cs="Times New Roman"/>
        </w:rPr>
        <w:t xml:space="preserve"> mazāka nekā plānots un faktisko 2019.</w:t>
      </w:r>
      <w:r w:rsidR="007B55B0">
        <w:rPr>
          <w:rFonts w:cs="Times New Roman"/>
        </w:rPr>
        <w:t xml:space="preserve"> </w:t>
      </w:r>
      <w:r w:rsidRPr="00E158D6">
        <w:rPr>
          <w:rFonts w:cs="Times New Roman"/>
        </w:rPr>
        <w:t>gada rezultatīvo rādītāju izpildi, kas pārsniedza plānotās rezultatīvo rādītāju vērtības, kā arī EM sniegto informāciju par 2020.</w:t>
      </w:r>
      <w:r w:rsidR="007B55B0">
        <w:rPr>
          <w:rFonts w:cs="Times New Roman"/>
        </w:rPr>
        <w:t xml:space="preserve"> </w:t>
      </w:r>
      <w:r w:rsidRPr="00E158D6">
        <w:rPr>
          <w:rFonts w:cs="Times New Roman"/>
        </w:rPr>
        <w:t xml:space="preserve">gadā potenciāli iespējamo līdzekļu ekonomiju 49 000 </w:t>
      </w:r>
      <w:r w:rsidRPr="00E158D6">
        <w:rPr>
          <w:rFonts w:cs="Times New Roman"/>
          <w:i/>
          <w:iCs/>
        </w:rPr>
        <w:t>euro</w:t>
      </w:r>
      <w:r w:rsidRPr="00E158D6">
        <w:rPr>
          <w:rFonts w:cs="Times New Roman"/>
        </w:rPr>
        <w:t xml:space="preserve"> apmērā saistībā ar ārkārtējās situācijas laikā noteiktiem ierobežojumiem, finansējums </w:t>
      </w:r>
      <w:r w:rsidRPr="00E158D6">
        <w:rPr>
          <w:rFonts w:cs="Times New Roman"/>
          <w:b/>
          <w:bCs/>
        </w:rPr>
        <w:t xml:space="preserve">49 000 </w:t>
      </w:r>
      <w:r w:rsidRPr="00E158D6">
        <w:rPr>
          <w:rFonts w:cs="Times New Roman"/>
          <w:b/>
          <w:bCs/>
          <w:i/>
          <w:iCs/>
        </w:rPr>
        <w:t>euro</w:t>
      </w:r>
      <w:r w:rsidRPr="00E158D6">
        <w:rPr>
          <w:rFonts w:cs="Times New Roman"/>
          <w:b/>
          <w:bCs/>
        </w:rPr>
        <w:t xml:space="preserve"> apmērā 2021.gadā</w:t>
      </w:r>
      <w:r w:rsidRPr="00E158D6">
        <w:rPr>
          <w:rFonts w:cs="Times New Roman"/>
        </w:rPr>
        <w:t xml:space="preserve"> ir vērtējams kā pieejamie iekšējie resursi.</w:t>
      </w:r>
    </w:p>
    <w:p w14:paraId="29C446D1" w14:textId="77777777" w:rsidR="00E158D6" w:rsidRPr="00E158D6" w:rsidRDefault="00E158D6" w:rsidP="00911783">
      <w:pPr>
        <w:spacing w:after="120"/>
        <w:rPr>
          <w:rFonts w:cs="Times New Roman"/>
          <w:b/>
        </w:rPr>
      </w:pPr>
      <w:r w:rsidRPr="00E158D6">
        <w:rPr>
          <w:rFonts w:cs="Times New Roman"/>
          <w:b/>
        </w:rPr>
        <w:t xml:space="preserve">VARAM – </w:t>
      </w:r>
      <w:r w:rsidRPr="00E158D6">
        <w:rPr>
          <w:rFonts w:eastAsia="Times New Roman" w:cs="Times New Roman"/>
          <w:b/>
          <w:lang w:eastAsia="lv-LV"/>
        </w:rPr>
        <w:t>Diasporas likuma normu īstenošanai</w:t>
      </w:r>
    </w:p>
    <w:p w14:paraId="69DD8D8D" w14:textId="313D7C07" w:rsidR="00E158D6" w:rsidRPr="00A6713B" w:rsidRDefault="00E158D6" w:rsidP="00911783">
      <w:pPr>
        <w:spacing w:after="120"/>
        <w:ind w:firstLine="709"/>
        <w:jc w:val="both"/>
        <w:rPr>
          <w:rFonts w:cs="Times New Roman"/>
        </w:rPr>
      </w:pPr>
      <w:r w:rsidRPr="00E158D6">
        <w:rPr>
          <w:rFonts w:eastAsia="Times New Roman" w:cs="Times New Roman"/>
          <w:lang w:eastAsia="lv-LV"/>
        </w:rPr>
        <w:t>VARAM valsts budžeta programmā 30.00.00 Attīstības nacionālie atbalsta instrumenti 2019.-2021.</w:t>
      </w:r>
      <w:r w:rsidR="007B55B0">
        <w:rPr>
          <w:rFonts w:eastAsia="Times New Roman" w:cs="Times New Roman"/>
          <w:lang w:eastAsia="lv-LV"/>
        </w:rPr>
        <w:t xml:space="preserve"> </w:t>
      </w:r>
      <w:r w:rsidRPr="00E158D6">
        <w:rPr>
          <w:rFonts w:eastAsia="Times New Roman" w:cs="Times New Roman"/>
          <w:lang w:eastAsia="lv-LV"/>
        </w:rPr>
        <w:t xml:space="preserve">gada ietvarā </w:t>
      </w:r>
      <w:r w:rsidRPr="00E158D6">
        <w:rPr>
          <w:rFonts w:cs="Times New Roman"/>
        </w:rPr>
        <w:t xml:space="preserve">piešķirts finansējums PP “Diasporas likuma normu īstenošanai” 2019. gadam </w:t>
      </w:r>
      <w:r w:rsidRPr="00E158D6">
        <w:rPr>
          <w:rFonts w:eastAsia="Times New Roman" w:cs="Times New Roman"/>
          <w:lang w:eastAsia="lv-LV"/>
        </w:rPr>
        <w:t xml:space="preserve">57 029 </w:t>
      </w:r>
      <w:r w:rsidRPr="00E158D6">
        <w:rPr>
          <w:rFonts w:eastAsia="Times New Roman" w:cs="Times New Roman"/>
          <w:i/>
          <w:lang w:eastAsia="lv-LV"/>
        </w:rPr>
        <w:t>euro</w:t>
      </w:r>
      <w:r w:rsidRPr="00E158D6">
        <w:rPr>
          <w:rFonts w:cs="Times New Roman"/>
        </w:rPr>
        <w:t xml:space="preserve"> apmērā un 2020.-2021.</w:t>
      </w:r>
      <w:r w:rsidR="007B55B0">
        <w:rPr>
          <w:rFonts w:cs="Times New Roman"/>
        </w:rPr>
        <w:t xml:space="preserve"> </w:t>
      </w:r>
      <w:r w:rsidRPr="00E158D6">
        <w:rPr>
          <w:rFonts w:cs="Times New Roman"/>
        </w:rPr>
        <w:t xml:space="preserve">gadam 43 529 </w:t>
      </w:r>
      <w:r w:rsidRPr="00E158D6">
        <w:rPr>
          <w:rFonts w:cs="Times New Roman"/>
          <w:i/>
          <w:iCs/>
        </w:rPr>
        <w:t>euro</w:t>
      </w:r>
      <w:r w:rsidRPr="00E158D6">
        <w:rPr>
          <w:rFonts w:cs="Times New Roman"/>
        </w:rPr>
        <w:t xml:space="preserve"> apmērā ik gadu, finansējumu paredzot Nacionālā kontaktpunkta uzturēšanai. VARAM valsts budžeta 2019.</w:t>
      </w:r>
      <w:r w:rsidR="007B55B0">
        <w:rPr>
          <w:rFonts w:cs="Times New Roman"/>
        </w:rPr>
        <w:t xml:space="preserve"> </w:t>
      </w:r>
      <w:r w:rsidRPr="00E158D6">
        <w:rPr>
          <w:rFonts w:cs="Times New Roman"/>
        </w:rPr>
        <w:t>gada analīzē norāda, ka funkcijas 2019.</w:t>
      </w:r>
      <w:r w:rsidR="007B55B0">
        <w:rPr>
          <w:rFonts w:cs="Times New Roman"/>
        </w:rPr>
        <w:t xml:space="preserve"> </w:t>
      </w:r>
      <w:r w:rsidRPr="00E158D6">
        <w:rPr>
          <w:rFonts w:cs="Times New Roman"/>
        </w:rPr>
        <w:t>gadā ir nodrošinātas  ministrijas esošās struktūrvienības darba ietvaros, kā arī sniedz informāciju, ka tika plānots izvērtēt iespēju izveidot jaunu amata vietu vai noteikt papildu pienākumus kādai no esošajām amata vietām, proporcionāli attiecinot plānoto finansējumu kontaktpunkta izveidei. Vienlaikus Diasporas finansējums tika piešķirts PP ietvaros kā valsts prioritāte, attiecīgi turpmākos gados tas nav novirzāms citiem mērķiem, bet ir novirzāms citām Diasporas aktivitātēm, kurās finansējums ir nepietiekams</w:t>
      </w:r>
      <w:r w:rsidRPr="00A6713B">
        <w:rPr>
          <w:rFonts w:cs="Times New Roman"/>
        </w:rPr>
        <w:t xml:space="preserve">. </w:t>
      </w:r>
      <w:r w:rsidR="002A3882" w:rsidRPr="00A6713B">
        <w:rPr>
          <w:rFonts w:eastAsia="Times New Roman" w:cs="Times New Roman"/>
          <w:color w:val="000000"/>
        </w:rPr>
        <w:t xml:space="preserve">2020. gada  pirmajos sešos mēnešos jau tika izmantots finansējums 10 880 </w:t>
      </w:r>
      <w:r w:rsidR="002A3882" w:rsidRPr="00A6713B">
        <w:rPr>
          <w:rFonts w:eastAsia="Times New Roman" w:cs="Times New Roman"/>
          <w:i/>
          <w:iCs/>
          <w:color w:val="000000"/>
        </w:rPr>
        <w:t>euro</w:t>
      </w:r>
      <w:r w:rsidR="002A3882" w:rsidRPr="00A6713B">
        <w:rPr>
          <w:rFonts w:eastAsia="Times New Roman" w:cs="Times New Roman"/>
          <w:color w:val="000000"/>
        </w:rPr>
        <w:t xml:space="preserve"> (50% no pārskata perioda plāna) apmērā, kas izmantots personāla izmaksām nacionālā kontaktpunkta funkciju nodrošināšanai. Ņemot vērā, ka finansējums 2020.gadā tiek izmantots jau esošajām amata vietām, piešķirot piemaksas tad plānotais finansējuma apjoms Nacionālā kontaktpunkta uzturēšanai 2021.gadā plānots 22</w:t>
      </w:r>
      <w:r w:rsidR="005E1561">
        <w:rPr>
          <w:rFonts w:eastAsia="Times New Roman" w:cs="Times New Roman"/>
          <w:color w:val="000000"/>
        </w:rPr>
        <w:t xml:space="preserve"> </w:t>
      </w:r>
      <w:r w:rsidR="002A3882" w:rsidRPr="00A6713B">
        <w:rPr>
          <w:rFonts w:eastAsia="Times New Roman" w:cs="Times New Roman"/>
          <w:color w:val="000000"/>
        </w:rPr>
        <w:t xml:space="preserve">000   </w:t>
      </w:r>
      <w:r w:rsidR="002A3882" w:rsidRPr="00A6713B">
        <w:rPr>
          <w:rFonts w:eastAsia="Times New Roman" w:cs="Times New Roman"/>
          <w:i/>
          <w:iCs/>
          <w:color w:val="000000"/>
        </w:rPr>
        <w:t>euro</w:t>
      </w:r>
      <w:r w:rsidR="002A3882" w:rsidRPr="00A6713B">
        <w:rPr>
          <w:rFonts w:eastAsia="Times New Roman" w:cs="Times New Roman"/>
          <w:color w:val="000000"/>
        </w:rPr>
        <w:t xml:space="preserve">. Līdz ar to </w:t>
      </w:r>
      <w:r w:rsidR="002A3882" w:rsidRPr="00A6713B">
        <w:rPr>
          <w:rFonts w:eastAsia="Times New Roman" w:cs="Times New Roman"/>
          <w:b/>
          <w:bCs/>
          <w:color w:val="000000"/>
        </w:rPr>
        <w:t xml:space="preserve">2021.gadā 21 529 </w:t>
      </w:r>
      <w:r w:rsidR="002A3882" w:rsidRPr="005E1561">
        <w:rPr>
          <w:rFonts w:eastAsia="Times New Roman" w:cs="Times New Roman"/>
          <w:b/>
          <w:bCs/>
          <w:i/>
          <w:color w:val="000000"/>
        </w:rPr>
        <w:t>euro</w:t>
      </w:r>
      <w:r w:rsidR="002A3882" w:rsidRPr="00A6713B">
        <w:rPr>
          <w:rFonts w:eastAsia="Times New Roman" w:cs="Times New Roman"/>
          <w:color w:val="000000"/>
        </w:rPr>
        <w:t xml:space="preserve"> ir vērtējams  kā pieejamie iekšējie resursi</w:t>
      </w:r>
      <w:r w:rsidRPr="00A6713B">
        <w:rPr>
          <w:rFonts w:cs="Times New Roman"/>
        </w:rPr>
        <w:t>.</w:t>
      </w:r>
    </w:p>
    <w:p w14:paraId="738C3AF4" w14:textId="77777777" w:rsidR="00E158D6" w:rsidRPr="00E158D6" w:rsidRDefault="00E158D6" w:rsidP="00911783">
      <w:pPr>
        <w:spacing w:after="120"/>
        <w:rPr>
          <w:rFonts w:cs="Times New Roman"/>
          <w:b/>
        </w:rPr>
      </w:pPr>
      <w:r w:rsidRPr="00E158D6">
        <w:rPr>
          <w:rFonts w:cs="Times New Roman"/>
          <w:b/>
        </w:rPr>
        <w:t xml:space="preserve">VARAM – </w:t>
      </w:r>
      <w:r w:rsidRPr="00E158D6">
        <w:rPr>
          <w:rFonts w:eastAsia="Times New Roman" w:cs="Times New Roman"/>
          <w:b/>
          <w:lang w:eastAsia="lv-LV"/>
        </w:rPr>
        <w:t>Diasporas likuma normu īstenošanai</w:t>
      </w:r>
    </w:p>
    <w:p w14:paraId="65BE8F96" w14:textId="7CA35EF3" w:rsidR="00AF2419" w:rsidRPr="00D5235A" w:rsidRDefault="00E158D6" w:rsidP="00911783">
      <w:pPr>
        <w:spacing w:after="120"/>
        <w:ind w:firstLine="709"/>
        <w:jc w:val="both"/>
        <w:rPr>
          <w:rFonts w:cs="Times New Roman"/>
        </w:rPr>
      </w:pPr>
      <w:r w:rsidRPr="00E158D6">
        <w:rPr>
          <w:rFonts w:eastAsia="Times New Roman" w:cs="Times New Roman"/>
          <w:lang w:eastAsia="lv-LV"/>
        </w:rPr>
        <w:t>VARAM valsts budžeta programmā 31.00.00 Atbalsts plānošanas reģioniem 2019.-2021.</w:t>
      </w:r>
      <w:r w:rsidR="007B55B0">
        <w:rPr>
          <w:rFonts w:eastAsia="Times New Roman" w:cs="Times New Roman"/>
          <w:lang w:eastAsia="lv-LV"/>
        </w:rPr>
        <w:t xml:space="preserve"> </w:t>
      </w:r>
      <w:r w:rsidRPr="00E158D6">
        <w:rPr>
          <w:rFonts w:eastAsia="Times New Roman" w:cs="Times New Roman"/>
          <w:lang w:eastAsia="lv-LV"/>
        </w:rPr>
        <w:t xml:space="preserve">gada ietvarā </w:t>
      </w:r>
      <w:r w:rsidRPr="00E158D6">
        <w:rPr>
          <w:rFonts w:cs="Times New Roman"/>
        </w:rPr>
        <w:t xml:space="preserve">piešķirts finansējums PP “Diasporas likuma normu īstenošanai” 2019. gadam </w:t>
      </w:r>
      <w:r w:rsidRPr="00E158D6">
        <w:rPr>
          <w:rFonts w:eastAsia="Times New Roman" w:cs="Times New Roman"/>
          <w:lang w:eastAsia="lv-LV"/>
        </w:rPr>
        <w:t>447 360 </w:t>
      </w:r>
      <w:r w:rsidRPr="00E158D6">
        <w:rPr>
          <w:rFonts w:eastAsia="Times New Roman" w:cs="Times New Roman"/>
          <w:i/>
          <w:lang w:eastAsia="lv-LV"/>
        </w:rPr>
        <w:t>euro</w:t>
      </w:r>
      <w:r w:rsidRPr="00E158D6">
        <w:rPr>
          <w:rFonts w:cs="Times New Roman"/>
        </w:rPr>
        <w:t xml:space="preserve"> apmērā un 2020.-2021.</w:t>
      </w:r>
      <w:r w:rsidR="007B55B0">
        <w:rPr>
          <w:rFonts w:cs="Times New Roman"/>
        </w:rPr>
        <w:t xml:space="preserve"> </w:t>
      </w:r>
      <w:r w:rsidRPr="00E158D6">
        <w:rPr>
          <w:rFonts w:cs="Times New Roman"/>
        </w:rPr>
        <w:t xml:space="preserve">gadam 600 000 </w:t>
      </w:r>
      <w:r w:rsidRPr="00E158D6">
        <w:rPr>
          <w:rFonts w:cs="Times New Roman"/>
          <w:i/>
          <w:iCs/>
        </w:rPr>
        <w:t>euro</w:t>
      </w:r>
      <w:r w:rsidRPr="00E158D6">
        <w:rPr>
          <w:rFonts w:cs="Times New Roman"/>
        </w:rPr>
        <w:t xml:space="preserve"> apmērā ik gadu. </w:t>
      </w:r>
      <w:r w:rsidRPr="00E158D6">
        <w:rPr>
          <w:rFonts w:eastAsia="Times New Roman" w:cs="Times New Roman"/>
          <w:lang w:eastAsia="lv-LV"/>
        </w:rPr>
        <w:t xml:space="preserve">VARAM šobrīd virza MK noteikumu projektu </w:t>
      </w:r>
      <w:r w:rsidR="007B55B0">
        <w:rPr>
          <w:rFonts w:eastAsia="Times New Roman" w:cs="Times New Roman"/>
          <w:lang w:eastAsia="lv-LV"/>
        </w:rPr>
        <w:t>“</w:t>
      </w:r>
      <w:r w:rsidRPr="00E158D6">
        <w:rPr>
          <w:rFonts w:eastAsia="Times New Roman" w:cs="Times New Roman"/>
          <w:lang w:eastAsia="lv-LV"/>
        </w:rPr>
        <w:t xml:space="preserve">Grozījumi Ministru kabineta 2018. gada 7. augusta noteikumos Nr. 496 </w:t>
      </w:r>
      <w:r w:rsidR="007B55B0">
        <w:rPr>
          <w:rFonts w:eastAsia="Times New Roman" w:cs="Times New Roman"/>
          <w:lang w:eastAsia="lv-LV"/>
        </w:rPr>
        <w:t>“</w:t>
      </w:r>
      <w:r w:rsidRPr="00E158D6">
        <w:rPr>
          <w:rFonts w:eastAsia="Times New Roman" w:cs="Times New Roman"/>
          <w:lang w:eastAsia="lv-LV"/>
        </w:rPr>
        <w:t>Remigrācijas atbalsta pasākuma īstenošanas, novērtēšanas un finansēšanas kārtība</w:t>
      </w:r>
      <w:r w:rsidR="007B55B0">
        <w:rPr>
          <w:rFonts w:eastAsia="Times New Roman" w:cs="Times New Roman"/>
          <w:lang w:eastAsia="lv-LV"/>
        </w:rPr>
        <w:t>””</w:t>
      </w:r>
      <w:r w:rsidRPr="00E158D6">
        <w:rPr>
          <w:rFonts w:eastAsia="Times New Roman" w:cs="Times New Roman"/>
          <w:lang w:eastAsia="lv-LV"/>
        </w:rPr>
        <w:t xml:space="preserve"> (VSS-178), kurā tiek paredzēts mainīt atbalsta sniegšanas formātu, kas VARAM ieskatā uzlabos finansējuma apguvi. Tomēr FM iebilst grozījumu tālākai virzībai, jo konceptuāli nav bijusi diskusija, ka atbalsta formāts būtu maināms. Vienlaikus Diasporas finansējums tika piešķirts PP ietvaros kā valsts prioritāte, attiecīgi turpmākos gados tas nav novirzāms citiem mērķiem, bet ir novirzāms citām Diasporas aktivitātēm, kurās finansējums ir </w:t>
      </w:r>
      <w:r w:rsidRPr="00E158D6">
        <w:rPr>
          <w:rFonts w:eastAsia="Times New Roman" w:cs="Times New Roman"/>
          <w:lang w:eastAsia="lv-LV"/>
        </w:rPr>
        <w:lastRenderedPageBreak/>
        <w:t>nepietiekams.</w:t>
      </w:r>
      <w:r w:rsidRPr="00E158D6">
        <w:rPr>
          <w:rFonts w:cs="Times New Roman"/>
        </w:rPr>
        <w:t xml:space="preserve"> Līdz ar to ņemot vērā neapgūto 2019. gada finansējumu, finansējums </w:t>
      </w:r>
      <w:r w:rsidRPr="00E158D6">
        <w:rPr>
          <w:rFonts w:eastAsia="Times New Roman" w:cs="Times New Roman"/>
          <w:b/>
          <w:lang w:eastAsia="lv-LV"/>
        </w:rPr>
        <w:t>181 920 </w:t>
      </w:r>
      <w:r w:rsidRPr="00E158D6">
        <w:rPr>
          <w:rFonts w:eastAsia="Times New Roman" w:cs="Times New Roman"/>
          <w:b/>
          <w:i/>
          <w:lang w:eastAsia="lv-LV"/>
        </w:rPr>
        <w:t>euro</w:t>
      </w:r>
      <w:r w:rsidRPr="00E158D6">
        <w:rPr>
          <w:rFonts w:cs="Times New Roman"/>
          <w:b/>
          <w:bCs/>
        </w:rPr>
        <w:t xml:space="preserve"> apmērā 2021.</w:t>
      </w:r>
      <w:r w:rsidR="007B55B0">
        <w:rPr>
          <w:rFonts w:cs="Times New Roman"/>
          <w:b/>
          <w:bCs/>
        </w:rPr>
        <w:t xml:space="preserve"> </w:t>
      </w:r>
      <w:r w:rsidRPr="00E158D6">
        <w:rPr>
          <w:rFonts w:cs="Times New Roman"/>
          <w:b/>
          <w:bCs/>
        </w:rPr>
        <w:t>gadā</w:t>
      </w:r>
      <w:r w:rsidRPr="00E158D6">
        <w:rPr>
          <w:rFonts w:cs="Times New Roman"/>
        </w:rPr>
        <w:t xml:space="preserve"> ir vērtējams kā pieejamie iekšējie resursi.</w:t>
      </w:r>
    </w:p>
    <w:p w14:paraId="5A974B87" w14:textId="77777777" w:rsidR="00E158D6" w:rsidRPr="00E158D6" w:rsidRDefault="00E158D6" w:rsidP="00911783">
      <w:pPr>
        <w:spacing w:after="120"/>
        <w:rPr>
          <w:rFonts w:eastAsia="Times New Roman" w:cs="Times New Roman"/>
          <w:b/>
          <w:u w:val="single"/>
          <w:lang w:eastAsia="lv-LV"/>
        </w:rPr>
      </w:pPr>
      <w:r w:rsidRPr="00E158D6">
        <w:rPr>
          <w:rFonts w:eastAsia="Times New Roman" w:cs="Times New Roman"/>
          <w:b/>
          <w:u w:val="single"/>
          <w:lang w:eastAsia="lv-LV"/>
        </w:rPr>
        <w:t>Citi pasākumi</w:t>
      </w:r>
      <w:r w:rsidR="00764A07">
        <w:rPr>
          <w:rFonts w:eastAsia="Times New Roman" w:cs="Times New Roman"/>
          <w:b/>
          <w:u w:val="single"/>
          <w:lang w:eastAsia="lv-LV"/>
        </w:rPr>
        <w:t>:</w:t>
      </w:r>
      <w:r w:rsidRPr="00E158D6">
        <w:rPr>
          <w:rFonts w:eastAsia="Times New Roman" w:cs="Times New Roman"/>
          <w:b/>
          <w:u w:val="single"/>
          <w:lang w:eastAsia="lv-LV"/>
        </w:rPr>
        <w:t xml:space="preserve"> </w:t>
      </w:r>
    </w:p>
    <w:p w14:paraId="7939524E" w14:textId="77777777" w:rsidR="00CB1CB7" w:rsidRPr="00A35A1E" w:rsidRDefault="00CB1CB7" w:rsidP="00911783">
      <w:pPr>
        <w:spacing w:after="120"/>
        <w:rPr>
          <w:rFonts w:eastAsia="Times New Roman"/>
          <w:b/>
        </w:rPr>
      </w:pPr>
      <w:r w:rsidRPr="0042616A">
        <w:rPr>
          <w:rFonts w:eastAsia="Times New Roman"/>
          <w:b/>
          <w:lang w:eastAsia="lv-LV"/>
        </w:rPr>
        <w:t xml:space="preserve">ĀM – </w:t>
      </w:r>
      <w:r>
        <w:rPr>
          <w:rFonts w:eastAsia="Times New Roman"/>
          <w:b/>
          <w:lang w:eastAsia="lv-LV"/>
        </w:rPr>
        <w:t>p</w:t>
      </w:r>
      <w:r w:rsidRPr="00FC56A4">
        <w:rPr>
          <w:rFonts w:eastAsia="Times New Roman"/>
          <w:b/>
          <w:lang w:eastAsia="lv-LV"/>
        </w:rPr>
        <w:t xml:space="preserve">ārdale no </w:t>
      </w:r>
      <w:r w:rsidRPr="0042616A">
        <w:rPr>
          <w:rFonts w:eastAsia="Times New Roman"/>
          <w:b/>
        </w:rPr>
        <w:t>iemaks</w:t>
      </w:r>
      <w:r>
        <w:rPr>
          <w:rFonts w:eastAsia="Times New Roman"/>
          <w:b/>
        </w:rPr>
        <w:t>as</w:t>
      </w:r>
      <w:r w:rsidRPr="0042616A">
        <w:rPr>
          <w:rFonts w:eastAsia="Times New Roman"/>
          <w:b/>
        </w:rPr>
        <w:t xml:space="preserve"> Eiropas Attīstības fondā (EAF)</w:t>
      </w:r>
    </w:p>
    <w:p w14:paraId="2717797E" w14:textId="32E136CE" w:rsidR="00CB1CB7" w:rsidRDefault="00CB1CB7" w:rsidP="00911783">
      <w:pPr>
        <w:spacing w:after="120"/>
        <w:ind w:firstLine="720"/>
        <w:jc w:val="both"/>
        <w:rPr>
          <w:rFonts w:eastAsia="Times New Roman"/>
        </w:rPr>
      </w:pPr>
      <w:r w:rsidRPr="00B90698">
        <w:rPr>
          <w:rFonts w:eastAsia="Times New Roman"/>
        </w:rPr>
        <w:t>Ņemot vērā iemaks</w:t>
      </w:r>
      <w:r>
        <w:rPr>
          <w:rFonts w:eastAsia="Times New Roman"/>
        </w:rPr>
        <w:t xml:space="preserve">as EAF samazinājumu, ĀM iesniedza priekšlikumu budžeta programmā 02.00.00 “Iemaksas starptautiskajās organizācijās” samazināt finansējumu </w:t>
      </w:r>
      <w:r w:rsidRPr="00F92ADF">
        <w:rPr>
          <w:rFonts w:eastAsia="Times New Roman"/>
          <w:b/>
        </w:rPr>
        <w:t>2021.</w:t>
      </w:r>
      <w:r w:rsidR="007B55B0">
        <w:rPr>
          <w:rFonts w:eastAsia="Times New Roman"/>
          <w:b/>
        </w:rPr>
        <w:t xml:space="preserve"> </w:t>
      </w:r>
      <w:r w:rsidRPr="00F92ADF">
        <w:rPr>
          <w:rFonts w:eastAsia="Times New Roman"/>
          <w:b/>
        </w:rPr>
        <w:t xml:space="preserve">gadā 1 068 495 </w:t>
      </w:r>
      <w:r w:rsidRPr="00F92ADF">
        <w:rPr>
          <w:rFonts w:eastAsia="Times New Roman"/>
          <w:b/>
          <w:i/>
        </w:rPr>
        <w:t xml:space="preserve">euro </w:t>
      </w:r>
      <w:r w:rsidRPr="00F92ADF">
        <w:rPr>
          <w:rFonts w:eastAsia="Times New Roman"/>
          <w:b/>
        </w:rPr>
        <w:t>apmērā</w:t>
      </w:r>
      <w:r w:rsidRPr="00634ADB">
        <w:rPr>
          <w:rFonts w:eastAsia="Times New Roman"/>
        </w:rPr>
        <w:t>, 2022.</w:t>
      </w:r>
      <w:r w:rsidR="007B55B0">
        <w:rPr>
          <w:rFonts w:eastAsia="Times New Roman"/>
        </w:rPr>
        <w:t xml:space="preserve"> </w:t>
      </w:r>
      <w:r w:rsidRPr="00634ADB">
        <w:rPr>
          <w:rFonts w:eastAsia="Times New Roman"/>
        </w:rPr>
        <w:t xml:space="preserve">gadā 1 072 758 </w:t>
      </w:r>
      <w:r w:rsidRPr="00144C26">
        <w:rPr>
          <w:rFonts w:eastAsia="Times New Roman"/>
          <w:i/>
        </w:rPr>
        <w:t>euro</w:t>
      </w:r>
      <w:r w:rsidRPr="00634ADB">
        <w:rPr>
          <w:rFonts w:eastAsia="Times New Roman"/>
        </w:rPr>
        <w:t xml:space="preserve"> </w:t>
      </w:r>
      <w:r>
        <w:rPr>
          <w:rFonts w:eastAsia="Times New Roman"/>
        </w:rPr>
        <w:t>apmērā</w:t>
      </w:r>
      <w:r w:rsidRPr="00634ADB">
        <w:rPr>
          <w:rFonts w:eastAsia="Times New Roman"/>
        </w:rPr>
        <w:t xml:space="preserve"> un 2023.</w:t>
      </w:r>
      <w:r w:rsidR="00D0745F">
        <w:rPr>
          <w:rFonts w:eastAsia="Times New Roman"/>
        </w:rPr>
        <w:t xml:space="preserve"> </w:t>
      </w:r>
      <w:r w:rsidRPr="00634ADB">
        <w:rPr>
          <w:rFonts w:eastAsia="Times New Roman"/>
        </w:rPr>
        <w:t>gadā un turpmāk 1</w:t>
      </w:r>
      <w:r w:rsidR="007B55B0">
        <w:rPr>
          <w:rFonts w:eastAsia="Times New Roman"/>
        </w:rPr>
        <w:t> </w:t>
      </w:r>
      <w:r w:rsidRPr="00634ADB">
        <w:rPr>
          <w:rFonts w:eastAsia="Times New Roman"/>
        </w:rPr>
        <w:t xml:space="preserve">035 792 </w:t>
      </w:r>
      <w:r w:rsidRPr="00144C26">
        <w:rPr>
          <w:rFonts w:eastAsia="Times New Roman"/>
          <w:i/>
        </w:rPr>
        <w:t>euro</w:t>
      </w:r>
      <w:r>
        <w:rPr>
          <w:rFonts w:eastAsia="Times New Roman"/>
          <w:i/>
        </w:rPr>
        <w:t xml:space="preserve"> </w:t>
      </w:r>
      <w:r>
        <w:rPr>
          <w:rFonts w:eastAsia="Times New Roman"/>
        </w:rPr>
        <w:t>apmērā ik gadu un novirzīt šādu 2021.</w:t>
      </w:r>
      <w:r w:rsidR="00D0745F">
        <w:rPr>
          <w:rFonts w:eastAsia="Times New Roman"/>
        </w:rPr>
        <w:t xml:space="preserve"> </w:t>
      </w:r>
      <w:r>
        <w:rPr>
          <w:rFonts w:eastAsia="Times New Roman"/>
        </w:rPr>
        <w:t>gada PP īstenošanai:</w:t>
      </w:r>
    </w:p>
    <w:p w14:paraId="4A9C93B1" w14:textId="4C104571" w:rsidR="00CB1CB7" w:rsidRPr="00457CEB" w:rsidRDefault="00CB1CB7" w:rsidP="00911783">
      <w:pPr>
        <w:widowControl w:val="0"/>
        <w:numPr>
          <w:ilvl w:val="0"/>
          <w:numId w:val="13"/>
        </w:numPr>
        <w:suppressAutoHyphens/>
        <w:spacing w:after="120"/>
        <w:jc w:val="both"/>
        <w:rPr>
          <w:iCs/>
        </w:rPr>
      </w:pPr>
      <w:r w:rsidRPr="00457CEB">
        <w:rPr>
          <w:iCs/>
        </w:rPr>
        <w:t>“</w:t>
      </w:r>
      <w:r w:rsidRPr="00772586">
        <w:rPr>
          <w:iCs/>
        </w:rPr>
        <w:t>Latvijas Republikas diplomātisko un konsulāro pārstāvniecību telpu, drošības sistēmu un materiā</w:t>
      </w:r>
      <w:r>
        <w:rPr>
          <w:iCs/>
        </w:rPr>
        <w:t>ltehniskais nodrošinājums</w:t>
      </w:r>
      <w:r w:rsidRPr="00457CEB">
        <w:rPr>
          <w:iCs/>
        </w:rPr>
        <w:t>” 20</w:t>
      </w:r>
      <w:r>
        <w:rPr>
          <w:iCs/>
        </w:rPr>
        <w:t>21</w:t>
      </w:r>
      <w:r w:rsidRPr="00457CEB">
        <w:rPr>
          <w:iCs/>
        </w:rPr>
        <w:t>.</w:t>
      </w:r>
      <w:r w:rsidR="00D0745F">
        <w:rPr>
          <w:iCs/>
        </w:rPr>
        <w:t xml:space="preserve"> </w:t>
      </w:r>
      <w:r w:rsidRPr="00457CEB">
        <w:rPr>
          <w:iCs/>
        </w:rPr>
        <w:t>gadā</w:t>
      </w:r>
      <w:r>
        <w:rPr>
          <w:iCs/>
        </w:rPr>
        <w:t xml:space="preserve"> un </w:t>
      </w:r>
      <w:r w:rsidRPr="007F65D4">
        <w:rPr>
          <w:iCs/>
        </w:rPr>
        <w:t xml:space="preserve">turpmāk katru gadu </w:t>
      </w:r>
      <w:r w:rsidRPr="00772586">
        <w:rPr>
          <w:iCs/>
        </w:rPr>
        <w:t>480</w:t>
      </w:r>
      <w:r>
        <w:rPr>
          <w:iCs/>
        </w:rPr>
        <w:t xml:space="preserve"> </w:t>
      </w:r>
      <w:r w:rsidRPr="00772586">
        <w:rPr>
          <w:iCs/>
        </w:rPr>
        <w:t>000</w:t>
      </w:r>
      <w:r>
        <w:rPr>
          <w:iCs/>
        </w:rPr>
        <w:t xml:space="preserve"> </w:t>
      </w:r>
      <w:r w:rsidRPr="00BD2DB3">
        <w:rPr>
          <w:i/>
          <w:iCs/>
        </w:rPr>
        <w:t>euro</w:t>
      </w:r>
      <w:r>
        <w:rPr>
          <w:iCs/>
        </w:rPr>
        <w:t xml:space="preserve"> apmērā</w:t>
      </w:r>
      <w:r w:rsidRPr="00457CEB">
        <w:rPr>
          <w:iCs/>
        </w:rPr>
        <w:t>;</w:t>
      </w:r>
    </w:p>
    <w:p w14:paraId="73DABAA0" w14:textId="227E8099" w:rsidR="00CB1CB7" w:rsidRDefault="00CB1CB7" w:rsidP="00911783">
      <w:pPr>
        <w:widowControl w:val="0"/>
        <w:numPr>
          <w:ilvl w:val="0"/>
          <w:numId w:val="13"/>
        </w:numPr>
        <w:suppressAutoHyphens/>
        <w:spacing w:after="120"/>
        <w:jc w:val="both"/>
        <w:rPr>
          <w:iCs/>
        </w:rPr>
      </w:pPr>
      <w:r>
        <w:rPr>
          <w:iCs/>
        </w:rPr>
        <w:t>“</w:t>
      </w:r>
      <w:r w:rsidRPr="00BD2DB3">
        <w:rPr>
          <w:iCs/>
        </w:rPr>
        <w:t>Informācijas un komunikāciju tehnoloģiju funkcionalitātes nodrošināšana pieaugošo kiberdraudu apstākļos</w:t>
      </w:r>
      <w:r>
        <w:rPr>
          <w:iCs/>
        </w:rPr>
        <w:t xml:space="preserve">” </w:t>
      </w:r>
      <w:r w:rsidRPr="00457CEB">
        <w:rPr>
          <w:iCs/>
        </w:rPr>
        <w:t>20</w:t>
      </w:r>
      <w:r>
        <w:rPr>
          <w:iCs/>
        </w:rPr>
        <w:t>21</w:t>
      </w:r>
      <w:r w:rsidRPr="00457CEB">
        <w:rPr>
          <w:iCs/>
        </w:rPr>
        <w:t>.</w:t>
      </w:r>
      <w:r w:rsidR="00D0745F">
        <w:rPr>
          <w:iCs/>
        </w:rPr>
        <w:t xml:space="preserve"> </w:t>
      </w:r>
      <w:r w:rsidRPr="00457CEB">
        <w:rPr>
          <w:iCs/>
        </w:rPr>
        <w:t>gadā</w:t>
      </w:r>
      <w:r>
        <w:rPr>
          <w:iCs/>
        </w:rPr>
        <w:t xml:space="preserve"> </w:t>
      </w:r>
      <w:r w:rsidRPr="00772586">
        <w:rPr>
          <w:iCs/>
        </w:rPr>
        <w:t>588</w:t>
      </w:r>
      <w:r>
        <w:rPr>
          <w:iCs/>
        </w:rPr>
        <w:t xml:space="preserve"> </w:t>
      </w:r>
      <w:r w:rsidRPr="00772586">
        <w:rPr>
          <w:iCs/>
        </w:rPr>
        <w:t>495</w:t>
      </w:r>
      <w:r w:rsidRPr="00457CEB">
        <w:rPr>
          <w:iCs/>
        </w:rPr>
        <w:t xml:space="preserve"> </w:t>
      </w:r>
      <w:r w:rsidRPr="00457CEB">
        <w:rPr>
          <w:i/>
          <w:iCs/>
        </w:rPr>
        <w:t>euro</w:t>
      </w:r>
      <w:r w:rsidRPr="00457CEB">
        <w:rPr>
          <w:iCs/>
        </w:rPr>
        <w:t xml:space="preserve"> apmērā</w:t>
      </w:r>
      <w:r>
        <w:rPr>
          <w:iCs/>
        </w:rPr>
        <w:t>,</w:t>
      </w:r>
      <w:r w:rsidRPr="00B27917">
        <w:rPr>
          <w:iCs/>
        </w:rPr>
        <w:t xml:space="preserve"> </w:t>
      </w:r>
      <w:r>
        <w:rPr>
          <w:iCs/>
        </w:rPr>
        <w:t>2022.</w:t>
      </w:r>
      <w:r w:rsidR="00D0745F">
        <w:rPr>
          <w:iCs/>
        </w:rPr>
        <w:t xml:space="preserve"> </w:t>
      </w:r>
      <w:r>
        <w:rPr>
          <w:iCs/>
        </w:rPr>
        <w:t xml:space="preserve">gadā 592 758 </w:t>
      </w:r>
      <w:r w:rsidRPr="00772586">
        <w:rPr>
          <w:i/>
          <w:iCs/>
        </w:rPr>
        <w:t>euro</w:t>
      </w:r>
      <w:r>
        <w:rPr>
          <w:iCs/>
        </w:rPr>
        <w:t xml:space="preserve"> </w:t>
      </w:r>
      <w:r w:rsidRPr="00457CEB">
        <w:rPr>
          <w:iCs/>
        </w:rPr>
        <w:t>apmērā</w:t>
      </w:r>
      <w:r>
        <w:rPr>
          <w:iCs/>
        </w:rPr>
        <w:t>, 2023.</w:t>
      </w:r>
      <w:r w:rsidR="00D0745F">
        <w:rPr>
          <w:iCs/>
        </w:rPr>
        <w:t xml:space="preserve"> </w:t>
      </w:r>
      <w:r>
        <w:rPr>
          <w:iCs/>
        </w:rPr>
        <w:t xml:space="preserve">gadā un </w:t>
      </w:r>
      <w:r w:rsidRPr="007F65D4">
        <w:rPr>
          <w:iCs/>
        </w:rPr>
        <w:t xml:space="preserve">turpmāk katru gadu </w:t>
      </w:r>
      <w:r>
        <w:rPr>
          <w:iCs/>
        </w:rPr>
        <w:t xml:space="preserve">555 792 </w:t>
      </w:r>
      <w:r w:rsidRPr="00BD2DB3">
        <w:rPr>
          <w:i/>
          <w:iCs/>
        </w:rPr>
        <w:t>euro</w:t>
      </w:r>
      <w:r>
        <w:rPr>
          <w:iCs/>
        </w:rPr>
        <w:t xml:space="preserve"> apmērā.</w:t>
      </w:r>
    </w:p>
    <w:p w14:paraId="571758C4" w14:textId="7C11B0EA" w:rsidR="004B7D98" w:rsidRPr="004B7D98" w:rsidRDefault="004B7D98" w:rsidP="005E1561">
      <w:pPr>
        <w:spacing w:before="120" w:line="240" w:lineRule="auto"/>
        <w:jc w:val="both"/>
        <w:rPr>
          <w:rFonts w:cs="Times New Roman"/>
          <w:b/>
        </w:rPr>
      </w:pPr>
      <w:r w:rsidRPr="004B7D98">
        <w:rPr>
          <w:b/>
        </w:rPr>
        <w:t>FM -</w:t>
      </w:r>
      <w:r>
        <w:t xml:space="preserve"> </w:t>
      </w:r>
      <w:r>
        <w:rPr>
          <w:rFonts w:cs="Times New Roman"/>
          <w:b/>
        </w:rPr>
        <w:t xml:space="preserve">Valsts parāda izdevumu apmēra </w:t>
      </w:r>
      <w:r w:rsidR="003302F5">
        <w:rPr>
          <w:rFonts w:cs="Times New Roman"/>
          <w:b/>
        </w:rPr>
        <w:t xml:space="preserve">un grāmatvedības centralizācijas izdevumu </w:t>
      </w:r>
      <w:r>
        <w:rPr>
          <w:rFonts w:cs="Times New Roman"/>
          <w:b/>
        </w:rPr>
        <w:t>pārskatīšana</w:t>
      </w:r>
    </w:p>
    <w:p w14:paraId="3F0FAB8B" w14:textId="327E4A23" w:rsidR="004B7D98" w:rsidRDefault="004B7D98" w:rsidP="00904F26">
      <w:pPr>
        <w:spacing w:after="0" w:line="254" w:lineRule="auto"/>
        <w:jc w:val="both"/>
      </w:pPr>
      <w:r>
        <w:t>FM</w:t>
      </w:r>
      <w:r w:rsidR="00904F26">
        <w:t>,</w:t>
      </w:r>
      <w:r>
        <w:t xml:space="preserve"> veicot 2021. -2023. gada bāzē plānoto izdevumu pārskatīšanu, ir identificējusi iespēju samazināt šādus izdevumus:</w:t>
      </w:r>
    </w:p>
    <w:p w14:paraId="1EF59695" w14:textId="50E305B5" w:rsidR="004B7D98" w:rsidRDefault="004B7D98" w:rsidP="00904F26">
      <w:pPr>
        <w:pStyle w:val="ListParagraph"/>
        <w:numPr>
          <w:ilvl w:val="0"/>
          <w:numId w:val="42"/>
        </w:numPr>
        <w:spacing w:after="0" w:line="254" w:lineRule="auto"/>
        <w:contextualSpacing w:val="0"/>
        <w:jc w:val="both"/>
      </w:pPr>
      <w:r>
        <w:t>valsts parāda apkalpošanas izdevumus budžeta apakšprogrammā 3</w:t>
      </w:r>
      <w:r w:rsidR="00797121">
        <w:t xml:space="preserve">1.02.00 “Valsts parāda vadība” </w:t>
      </w:r>
      <w:r>
        <w:t>2021. gadā</w:t>
      </w:r>
      <w:r w:rsidR="006C1255">
        <w:t xml:space="preserve"> un turpmāk ik gadu</w:t>
      </w:r>
      <w:r>
        <w:t xml:space="preserve"> – par 22 000 000 </w:t>
      </w:r>
      <w:r>
        <w:rPr>
          <w:i/>
          <w:iCs/>
        </w:rPr>
        <w:t>euro</w:t>
      </w:r>
      <w:r>
        <w:t>.</w:t>
      </w:r>
      <w:r w:rsidR="00904F26">
        <w:t xml:space="preserve"> </w:t>
      </w:r>
      <w:r>
        <w:t xml:space="preserve">Neskatoties uz ievērojamu prognozēto aizņemšanās apjomu pieaugumu vidējā termiņā, ko izraisīja Covid-19 uzliesmojuma seku mazināšanai un ekonomikas atbalstam veicamo un plānoto pasākumu finansēšanas nepieciešamība, iespēju samazināt vidējā termiņā plānotos procentu izdevumus nodrošināja </w:t>
      </w:r>
      <w:r w:rsidR="006C1255" w:rsidRPr="00F11119">
        <w:t>papildus stimulējošo monetārās politikas pasākumu</w:t>
      </w:r>
      <w:r>
        <w:t xml:space="preserve"> ietekmē vērojamas lejupvērstās procentu likmju tendences, kā arī </w:t>
      </w:r>
      <w:r w:rsidR="006C1255">
        <w:t xml:space="preserve">veiktā </w:t>
      </w:r>
      <w:r>
        <w:t xml:space="preserve">aizņemšanās 2020. gadā uz īsākiem, nekā sākotnēji plānots, termiņiem un ar zemām </w:t>
      </w:r>
      <w:r w:rsidR="006C1255">
        <w:t xml:space="preserve">(tuvu nullei) </w:t>
      </w:r>
      <w:r>
        <w:t>procentu likmēm</w:t>
      </w:r>
      <w:r w:rsidR="006C1255">
        <w:t xml:space="preserve">, </w:t>
      </w:r>
      <w:r w:rsidR="006C1255" w:rsidRPr="00F11119">
        <w:t>tādējādi ar iespējami zemākām aizņemšanās izmaksām nodrošinot finansējumu valdības lēmumiem ārkārtas situācijā</w:t>
      </w:r>
      <w:r>
        <w:t xml:space="preserve">. Covid-19 ietekmē vērojamas būtiskas izmaiņas procentu likmju dinamikā un prognozējams, ka ekonomikas </w:t>
      </w:r>
      <w:r w:rsidR="006C1255">
        <w:t>stabilizēšanai</w:t>
      </w:r>
      <w:r>
        <w:t xml:space="preserve"> un atbalsta</w:t>
      </w:r>
      <w:r w:rsidR="006C1255">
        <w:t>m</w:t>
      </w:r>
      <w:r>
        <w:t xml:space="preserve"> </w:t>
      </w:r>
      <w:r w:rsidR="006C1255">
        <w:t xml:space="preserve">veicamie monetārās politikas </w:t>
      </w:r>
      <w:r>
        <w:t>pasākumi procentu likmes ilgstoši uzturēs zemos līmeņos. Vidējā termiņā, līdzīgi kā iepriekšējos gados, aizņemšanos plānots nodrošināt galvenokārt ar publiskām ilgtermiņa etalona eiroobligāciju emisijām, uzturot pēc iespējas plašākas un elastīgākas finansiāli izdevīgākā aizņemšanās instrumenta izvēles iespējas</w:t>
      </w:r>
      <w:r w:rsidR="006C1255">
        <w:t>, kā arī izmantot finansiāli izdevīgas aizņemšanās iespējas no starptautiskajām institūcijām,</w:t>
      </w:r>
      <w:r>
        <w:t xml:space="preserve"> lai arī </w:t>
      </w:r>
      <w:r w:rsidR="006C1255">
        <w:t>turpmāk</w:t>
      </w:r>
      <w:r>
        <w:t xml:space="preserve"> veiktu valsts budžeta izpildei un parāda pārfinansēšanai nepieciešamo resursu piesaisti ar labvēlīgiem nosacījumiem;</w:t>
      </w:r>
    </w:p>
    <w:p w14:paraId="4E9E8CB9" w14:textId="77777777" w:rsidR="004B7D98" w:rsidRDefault="004B7D98" w:rsidP="00904F26">
      <w:pPr>
        <w:pStyle w:val="ListParagraph"/>
        <w:numPr>
          <w:ilvl w:val="0"/>
          <w:numId w:val="42"/>
        </w:numPr>
        <w:spacing w:after="0" w:line="254" w:lineRule="auto"/>
        <w:contextualSpacing w:val="0"/>
        <w:jc w:val="both"/>
      </w:pPr>
      <w:r>
        <w:t xml:space="preserve">grāmatvedības uzskaites pakalpojuma nodrošināšanai citām iestādēm paredzētos izdevumus budžeta apakšprogrammā 31.01.00 “Budžeta izpilde”, veicot strukturālas izmaiņas Valsts kases Grāmatvedības uzskaites pakalpojuma departamentā un pārskatot pakalpojuma sniegšanai nepieciešamo darbinieku skaitu, 2021. gadā un turpmāk ik gadu – 437 234 </w:t>
      </w:r>
      <w:r>
        <w:rPr>
          <w:i/>
          <w:iCs/>
        </w:rPr>
        <w:t>euro</w:t>
      </w:r>
      <w:r>
        <w:t>.</w:t>
      </w:r>
    </w:p>
    <w:p w14:paraId="2F8B8E1D" w14:textId="45CFE42D" w:rsidR="006C1255" w:rsidRPr="00C83EEF" w:rsidRDefault="006C1255" w:rsidP="006C1255">
      <w:pPr>
        <w:spacing w:before="120" w:after="120"/>
        <w:jc w:val="both"/>
        <w:rPr>
          <w:rFonts w:eastAsia="Times New Roman"/>
          <w:lang w:eastAsia="lv-LV"/>
        </w:rPr>
      </w:pPr>
      <w:r w:rsidRPr="00C83EEF">
        <w:rPr>
          <w:rFonts w:eastAsia="Times New Roman"/>
          <w:lang w:eastAsia="lv-LV"/>
        </w:rPr>
        <w:t>Vienlaikus FM piedāvā novirzīt no izdevumu pārskatīšanā</w:t>
      </w:r>
      <w:r>
        <w:rPr>
          <w:rFonts w:eastAsia="Times New Roman"/>
          <w:lang w:eastAsia="lv-LV"/>
        </w:rPr>
        <w:t xml:space="preserve"> identificētajiem resursiem 2021</w:t>
      </w:r>
      <w:r w:rsidRPr="00C83EEF">
        <w:rPr>
          <w:rFonts w:eastAsia="Times New Roman"/>
          <w:lang w:eastAsia="lv-LV"/>
        </w:rPr>
        <w:t>.</w:t>
      </w:r>
      <w:r>
        <w:rPr>
          <w:rFonts w:eastAsia="Times New Roman"/>
          <w:lang w:eastAsia="lv-LV"/>
        </w:rPr>
        <w:t> gadā – 9 319 093</w:t>
      </w:r>
      <w:r w:rsidRPr="00C83EEF">
        <w:rPr>
          <w:rFonts w:eastAsia="Times New Roman"/>
          <w:lang w:eastAsia="lv-LV"/>
        </w:rPr>
        <w:t xml:space="preserve"> </w:t>
      </w:r>
      <w:r w:rsidRPr="002F0CF5">
        <w:rPr>
          <w:rFonts w:eastAsia="Times New Roman"/>
          <w:i/>
          <w:lang w:eastAsia="lv-LV"/>
        </w:rPr>
        <w:t>euro</w:t>
      </w:r>
      <w:r>
        <w:rPr>
          <w:rFonts w:eastAsia="Times New Roman"/>
          <w:lang w:eastAsia="lv-LV"/>
        </w:rPr>
        <w:t>, 2022</w:t>
      </w:r>
      <w:r w:rsidRPr="00C83EEF">
        <w:rPr>
          <w:rFonts w:eastAsia="Times New Roman"/>
          <w:lang w:eastAsia="lv-LV"/>
        </w:rPr>
        <w:t>.</w:t>
      </w:r>
      <w:r>
        <w:rPr>
          <w:rFonts w:eastAsia="Times New Roman"/>
          <w:lang w:eastAsia="lv-LV"/>
        </w:rPr>
        <w:t> </w:t>
      </w:r>
      <w:r w:rsidRPr="00C83EEF">
        <w:rPr>
          <w:rFonts w:eastAsia="Times New Roman"/>
          <w:lang w:eastAsia="lv-LV"/>
        </w:rPr>
        <w:t xml:space="preserve">gadā – </w:t>
      </w:r>
      <w:r>
        <w:rPr>
          <w:rFonts w:eastAsia="Times New Roman"/>
          <w:lang w:eastAsia="lv-LV"/>
        </w:rPr>
        <w:t>11 016 890</w:t>
      </w:r>
      <w:r w:rsidRPr="00C83EEF">
        <w:rPr>
          <w:rFonts w:eastAsia="Times New Roman"/>
          <w:lang w:eastAsia="lv-LV"/>
        </w:rPr>
        <w:t xml:space="preserve"> </w:t>
      </w:r>
      <w:r w:rsidRPr="002F0CF5">
        <w:rPr>
          <w:rFonts w:eastAsia="Times New Roman"/>
          <w:i/>
          <w:lang w:eastAsia="lv-LV"/>
        </w:rPr>
        <w:t>euro</w:t>
      </w:r>
      <w:r w:rsidRPr="00C83EEF">
        <w:rPr>
          <w:rFonts w:eastAsia="Times New Roman"/>
          <w:lang w:eastAsia="lv-LV"/>
        </w:rPr>
        <w:t>, 202</w:t>
      </w:r>
      <w:r>
        <w:rPr>
          <w:rFonts w:eastAsia="Times New Roman"/>
          <w:lang w:eastAsia="lv-LV"/>
        </w:rPr>
        <w:t>3</w:t>
      </w:r>
      <w:r w:rsidRPr="00C83EEF">
        <w:rPr>
          <w:rFonts w:eastAsia="Times New Roman"/>
          <w:lang w:eastAsia="lv-LV"/>
        </w:rPr>
        <w:t>.</w:t>
      </w:r>
      <w:r>
        <w:rPr>
          <w:rFonts w:eastAsia="Times New Roman"/>
          <w:lang w:eastAsia="lv-LV"/>
        </w:rPr>
        <w:t> </w:t>
      </w:r>
      <w:r w:rsidRPr="00C83EEF">
        <w:rPr>
          <w:rFonts w:eastAsia="Times New Roman"/>
          <w:lang w:eastAsia="lv-LV"/>
        </w:rPr>
        <w:t xml:space="preserve">gadā – </w:t>
      </w:r>
      <w:r>
        <w:rPr>
          <w:rFonts w:eastAsia="Times New Roman"/>
          <w:lang w:eastAsia="lv-LV"/>
        </w:rPr>
        <w:t>9 185 972</w:t>
      </w:r>
      <w:r w:rsidRPr="00C83EEF">
        <w:rPr>
          <w:rFonts w:eastAsia="Times New Roman"/>
          <w:lang w:eastAsia="lv-LV"/>
        </w:rPr>
        <w:t xml:space="preserve"> </w:t>
      </w:r>
      <w:r w:rsidRPr="002F0CF5">
        <w:rPr>
          <w:rFonts w:eastAsia="Times New Roman"/>
          <w:i/>
          <w:lang w:eastAsia="lv-LV"/>
        </w:rPr>
        <w:t>euro</w:t>
      </w:r>
      <w:r>
        <w:rPr>
          <w:rFonts w:eastAsia="Times New Roman"/>
          <w:lang w:eastAsia="lv-LV"/>
        </w:rPr>
        <w:t xml:space="preserve">, </w:t>
      </w:r>
      <w:r w:rsidRPr="00C83EEF">
        <w:rPr>
          <w:rFonts w:eastAsia="Times New Roman"/>
          <w:lang w:eastAsia="lv-LV"/>
        </w:rPr>
        <w:lastRenderedPageBreak/>
        <w:t>202</w:t>
      </w:r>
      <w:r>
        <w:rPr>
          <w:rFonts w:eastAsia="Times New Roman"/>
          <w:lang w:eastAsia="lv-LV"/>
        </w:rPr>
        <w:t>4</w:t>
      </w:r>
      <w:r w:rsidRPr="00C83EEF">
        <w:rPr>
          <w:rFonts w:eastAsia="Times New Roman"/>
          <w:lang w:eastAsia="lv-LV"/>
        </w:rPr>
        <w:t>.</w:t>
      </w:r>
      <w:r>
        <w:rPr>
          <w:rFonts w:eastAsia="Times New Roman"/>
          <w:lang w:eastAsia="lv-LV"/>
        </w:rPr>
        <w:t> </w:t>
      </w:r>
      <w:r w:rsidRPr="00C83EEF">
        <w:rPr>
          <w:rFonts w:eastAsia="Times New Roman"/>
          <w:lang w:eastAsia="lv-LV"/>
        </w:rPr>
        <w:t xml:space="preserve">gadā – </w:t>
      </w:r>
      <w:r>
        <w:rPr>
          <w:rFonts w:eastAsia="Times New Roman"/>
          <w:lang w:eastAsia="lv-LV"/>
        </w:rPr>
        <w:t>7</w:t>
      </w:r>
      <w:r w:rsidR="00C93791">
        <w:rPr>
          <w:rFonts w:eastAsia="Times New Roman"/>
          <w:lang w:eastAsia="lv-LV"/>
        </w:rPr>
        <w:t xml:space="preserve"> 505 611 </w:t>
      </w:r>
      <w:r w:rsidRPr="000035E8">
        <w:rPr>
          <w:rFonts w:eastAsia="Times New Roman"/>
          <w:i/>
          <w:lang w:eastAsia="lv-LV"/>
        </w:rPr>
        <w:t>euro</w:t>
      </w:r>
      <w:r>
        <w:rPr>
          <w:rFonts w:eastAsia="Times New Roman"/>
          <w:lang w:eastAsia="lv-LV"/>
        </w:rPr>
        <w:t>,</w:t>
      </w:r>
      <w:r w:rsidRPr="00BF026D">
        <w:rPr>
          <w:rFonts w:eastAsia="Times New Roman"/>
          <w:lang w:eastAsia="lv-LV"/>
        </w:rPr>
        <w:t xml:space="preserve"> </w:t>
      </w:r>
      <w:r w:rsidRPr="00C83EEF">
        <w:rPr>
          <w:rFonts w:eastAsia="Times New Roman"/>
          <w:lang w:eastAsia="lv-LV"/>
        </w:rPr>
        <w:t>202</w:t>
      </w:r>
      <w:r>
        <w:rPr>
          <w:rFonts w:eastAsia="Times New Roman"/>
          <w:lang w:eastAsia="lv-LV"/>
        </w:rPr>
        <w:t>5</w:t>
      </w:r>
      <w:r w:rsidRPr="00C83EEF">
        <w:rPr>
          <w:rFonts w:eastAsia="Times New Roman"/>
          <w:lang w:eastAsia="lv-LV"/>
        </w:rPr>
        <w:t>.</w:t>
      </w:r>
      <w:r>
        <w:rPr>
          <w:rFonts w:eastAsia="Times New Roman"/>
          <w:lang w:eastAsia="lv-LV"/>
        </w:rPr>
        <w:t> </w:t>
      </w:r>
      <w:r w:rsidRPr="00C83EEF">
        <w:rPr>
          <w:rFonts w:eastAsia="Times New Roman"/>
          <w:lang w:eastAsia="lv-LV"/>
        </w:rPr>
        <w:t xml:space="preserve">gadā – </w:t>
      </w:r>
      <w:r w:rsidR="00C93791">
        <w:rPr>
          <w:rFonts w:eastAsia="Times New Roman"/>
          <w:lang w:eastAsia="lv-LV"/>
        </w:rPr>
        <w:t xml:space="preserve">5 351 005 </w:t>
      </w:r>
      <w:r w:rsidRPr="000035E8">
        <w:rPr>
          <w:rFonts w:eastAsia="Times New Roman"/>
          <w:i/>
          <w:lang w:eastAsia="lv-LV"/>
        </w:rPr>
        <w:t>euro</w:t>
      </w:r>
      <w:r w:rsidRPr="00C83EEF">
        <w:rPr>
          <w:rFonts w:eastAsia="Times New Roman"/>
          <w:lang w:eastAsia="lv-LV"/>
        </w:rPr>
        <w:t xml:space="preserve"> un turpmāk ik </w:t>
      </w:r>
      <w:r w:rsidRPr="00D842B1">
        <w:rPr>
          <w:rFonts w:eastAsia="Times New Roman"/>
          <w:lang w:eastAsia="lv-LV"/>
        </w:rPr>
        <w:t xml:space="preserve">gadu </w:t>
      </w:r>
      <w:r>
        <w:rPr>
          <w:rFonts w:eastAsia="Times New Roman"/>
          <w:lang w:eastAsia="lv-LV"/>
        </w:rPr>
        <w:t>4</w:t>
      </w:r>
      <w:r w:rsidRPr="00D842B1">
        <w:rPr>
          <w:rFonts w:eastAsia="Times New Roman"/>
          <w:lang w:eastAsia="lv-LV"/>
        </w:rPr>
        <w:t> </w:t>
      </w:r>
      <w:r w:rsidR="00C93791">
        <w:rPr>
          <w:rFonts w:eastAsia="Times New Roman"/>
          <w:lang w:eastAsia="lv-LV"/>
        </w:rPr>
        <w:t>144</w:t>
      </w:r>
      <w:r w:rsidRPr="00D842B1">
        <w:rPr>
          <w:rFonts w:eastAsia="Times New Roman"/>
          <w:lang w:eastAsia="lv-LV"/>
        </w:rPr>
        <w:t> </w:t>
      </w:r>
      <w:r w:rsidR="00C93791">
        <w:rPr>
          <w:rFonts w:eastAsia="Times New Roman"/>
          <w:lang w:eastAsia="lv-LV"/>
        </w:rPr>
        <w:t>505</w:t>
      </w:r>
      <w:r w:rsidRPr="00C83EEF">
        <w:rPr>
          <w:rFonts w:eastAsia="Times New Roman"/>
          <w:lang w:eastAsia="lv-LV"/>
        </w:rPr>
        <w:t xml:space="preserve"> </w:t>
      </w:r>
      <w:r w:rsidRPr="002F0CF5">
        <w:rPr>
          <w:rFonts w:eastAsia="Times New Roman"/>
          <w:i/>
          <w:lang w:eastAsia="lv-LV"/>
        </w:rPr>
        <w:t>euro</w:t>
      </w:r>
      <w:r w:rsidRPr="00C83EEF">
        <w:rPr>
          <w:rFonts w:eastAsia="Times New Roman"/>
          <w:lang w:eastAsia="lv-LV"/>
        </w:rPr>
        <w:t xml:space="preserve"> apmērā šādu resorā aktuālu pasākumu īstenošanai:</w:t>
      </w:r>
    </w:p>
    <w:p w14:paraId="17D7CDB2" w14:textId="77777777" w:rsidR="006C1255" w:rsidRPr="002F0CF5" w:rsidRDefault="006C1255" w:rsidP="006C1255">
      <w:pPr>
        <w:pStyle w:val="ListParagraph"/>
        <w:numPr>
          <w:ilvl w:val="0"/>
          <w:numId w:val="43"/>
        </w:numPr>
        <w:spacing w:after="120"/>
        <w:ind w:left="426" w:hanging="426"/>
        <w:jc w:val="both"/>
        <w:rPr>
          <w:rFonts w:eastAsia="Times New Roman"/>
          <w:lang w:eastAsia="lv-LV"/>
        </w:rPr>
      </w:pPr>
      <w:r w:rsidRPr="002F0CF5">
        <w:rPr>
          <w:rFonts w:eastAsia="Times New Roman"/>
          <w:lang w:eastAsia="lv-LV"/>
        </w:rPr>
        <w:t xml:space="preserve">Valsts parāda un naudas līdzekļu vadības procesa digitālajai transformācijai, lai atbilstoši EK Strukturālo reformu atbalsta dienesta ieteikumiem veiktu valsts parāda un naudas līdzekļu vadības procesu pilnveidošanu ar jaunāko IT risinājumu palīdzību. Valsts parāda un naudas līdzekļu vadības procesa digitālajai transformācijai 2021. gadā nepieciešami 87 480 </w:t>
      </w:r>
      <w:r w:rsidRPr="002F0CF5">
        <w:rPr>
          <w:rFonts w:eastAsia="Times New Roman"/>
          <w:i/>
          <w:lang w:eastAsia="lv-LV"/>
        </w:rPr>
        <w:t>euro</w:t>
      </w:r>
      <w:r w:rsidRPr="002F0CF5">
        <w:rPr>
          <w:rFonts w:eastAsia="Times New Roman"/>
          <w:lang w:eastAsia="lv-LV"/>
        </w:rPr>
        <w:t xml:space="preserve"> un 2022. gadā – 92 520 </w:t>
      </w:r>
      <w:r w:rsidRPr="002F0CF5">
        <w:rPr>
          <w:rFonts w:eastAsia="Times New Roman"/>
          <w:i/>
          <w:lang w:eastAsia="lv-LV"/>
        </w:rPr>
        <w:t>euro</w:t>
      </w:r>
      <w:r w:rsidRPr="002F0CF5">
        <w:rPr>
          <w:rFonts w:eastAsia="Times New Roman"/>
          <w:lang w:eastAsia="lv-LV"/>
        </w:rPr>
        <w:t>;</w:t>
      </w:r>
    </w:p>
    <w:p w14:paraId="4CFAF35D" w14:textId="77777777" w:rsidR="006C1255" w:rsidRPr="002F0CF5" w:rsidRDefault="006C1255" w:rsidP="006C1255">
      <w:pPr>
        <w:pStyle w:val="ListParagraph"/>
        <w:numPr>
          <w:ilvl w:val="0"/>
          <w:numId w:val="43"/>
        </w:numPr>
        <w:spacing w:after="120"/>
        <w:ind w:left="426" w:hanging="426"/>
        <w:jc w:val="both"/>
        <w:rPr>
          <w:rFonts w:eastAsia="Times New Roman"/>
          <w:lang w:eastAsia="lv-LV"/>
        </w:rPr>
      </w:pPr>
      <w:r w:rsidRPr="002F0CF5">
        <w:rPr>
          <w:rFonts w:eastAsia="Times New Roman"/>
          <w:lang w:eastAsia="lv-LV"/>
        </w:rPr>
        <w:t xml:space="preserve">Valsts kases IT pasākumu </w:t>
      </w:r>
      <w:r>
        <w:rPr>
          <w:rFonts w:eastAsia="Times New Roman"/>
          <w:lang w:eastAsia="lv-LV"/>
        </w:rPr>
        <w:t>īstenošanai</w:t>
      </w:r>
      <w:r w:rsidRPr="002F0CF5">
        <w:rPr>
          <w:rFonts w:eastAsia="Times New Roman"/>
          <w:lang w:eastAsia="lv-LV"/>
        </w:rPr>
        <w:t xml:space="preserve">, lai nodrošinātu </w:t>
      </w:r>
      <w:r>
        <w:rPr>
          <w:rFonts w:eastAsia="Times New Roman"/>
          <w:lang w:eastAsia="lv-LV"/>
        </w:rPr>
        <w:t xml:space="preserve">valsts maksājumu sistēmas drošumu (maksājumu skrīningu, sadarbībā ar Finanšu izlūkošanas dienestu atklātu aizdomīgu darījumu shēmas un </w:t>
      </w:r>
      <w:r w:rsidRPr="003A39DA">
        <w:rPr>
          <w:rFonts w:eastAsia="Times New Roman"/>
          <w:lang w:eastAsia="lv-LV"/>
        </w:rPr>
        <w:t>stiprinātu IT sistēmu aizsardzību pret kiberuzbrukumiem</w:t>
      </w:r>
      <w:r>
        <w:rPr>
          <w:rFonts w:eastAsia="Times New Roman"/>
          <w:lang w:eastAsia="lv-LV"/>
        </w:rPr>
        <w:t xml:space="preserve">), turpinātu </w:t>
      </w:r>
      <w:r w:rsidRPr="00494170">
        <w:rPr>
          <w:rFonts w:eastAsia="Times New Roman"/>
          <w:lang w:eastAsia="lv-LV"/>
        </w:rPr>
        <w:t>procesu digitalizāciju</w:t>
      </w:r>
      <w:r w:rsidRPr="002F0CF5">
        <w:rPr>
          <w:rFonts w:eastAsia="Times New Roman"/>
          <w:lang w:eastAsia="lv-LV"/>
        </w:rPr>
        <w:t xml:space="preserve">, </w:t>
      </w:r>
      <w:r>
        <w:rPr>
          <w:rFonts w:eastAsia="Times New Roman"/>
          <w:lang w:eastAsia="lv-LV"/>
        </w:rPr>
        <w:t xml:space="preserve">veidotu jaunus </w:t>
      </w:r>
      <w:r w:rsidRPr="002F0CF5">
        <w:rPr>
          <w:rFonts w:eastAsia="Times New Roman"/>
          <w:lang w:eastAsia="lv-LV"/>
        </w:rPr>
        <w:t>elektroniski sniegto</w:t>
      </w:r>
      <w:r>
        <w:rPr>
          <w:rFonts w:eastAsia="Times New Roman"/>
          <w:lang w:eastAsia="lv-LV"/>
        </w:rPr>
        <w:t>s</w:t>
      </w:r>
      <w:r w:rsidRPr="002F0CF5">
        <w:rPr>
          <w:rFonts w:eastAsia="Times New Roman"/>
          <w:lang w:eastAsia="lv-LV"/>
        </w:rPr>
        <w:t xml:space="preserve"> pakalpojumu</w:t>
      </w:r>
      <w:r>
        <w:rPr>
          <w:rFonts w:eastAsia="Times New Roman"/>
          <w:lang w:eastAsia="lv-LV"/>
        </w:rPr>
        <w:t xml:space="preserve">s un </w:t>
      </w:r>
      <w:r w:rsidRPr="002F0CF5">
        <w:rPr>
          <w:rFonts w:eastAsia="Times New Roman"/>
          <w:lang w:eastAsia="lv-LV"/>
        </w:rPr>
        <w:t>nodrošinātu mobilo tehnoloģiju atbalstu</w:t>
      </w:r>
      <w:r>
        <w:rPr>
          <w:rFonts w:eastAsia="Times New Roman"/>
          <w:lang w:eastAsia="lv-LV"/>
        </w:rPr>
        <w:t xml:space="preserve"> elektronizētajos pakalpojumos</w:t>
      </w:r>
      <w:r w:rsidRPr="002F0CF5">
        <w:rPr>
          <w:rFonts w:eastAsia="Times New Roman"/>
          <w:lang w:eastAsia="lv-LV"/>
        </w:rPr>
        <w:t>. Pasākuma īstenošanai nepieciešams finansējums 2021.</w:t>
      </w:r>
      <w:r>
        <w:rPr>
          <w:rFonts w:eastAsia="Times New Roman"/>
          <w:lang w:eastAsia="lv-LV"/>
        </w:rPr>
        <w:t> </w:t>
      </w:r>
      <w:r w:rsidRPr="002F0CF5">
        <w:rPr>
          <w:rFonts w:eastAsia="Times New Roman"/>
          <w:lang w:eastAsia="lv-LV"/>
        </w:rPr>
        <w:t xml:space="preserve">gadā un turpmāk ik gadu 609 090 </w:t>
      </w:r>
      <w:r w:rsidRPr="002F0CF5">
        <w:rPr>
          <w:rFonts w:eastAsia="Times New Roman"/>
          <w:i/>
          <w:lang w:eastAsia="lv-LV"/>
        </w:rPr>
        <w:t>euro</w:t>
      </w:r>
      <w:r w:rsidRPr="002F0CF5">
        <w:rPr>
          <w:rFonts w:eastAsia="Times New Roman"/>
          <w:lang w:eastAsia="lv-LV"/>
        </w:rPr>
        <w:t>;</w:t>
      </w:r>
    </w:p>
    <w:p w14:paraId="52571E7C" w14:textId="77777777" w:rsidR="006C1255" w:rsidRPr="002F0CF5" w:rsidRDefault="006C1255" w:rsidP="006C1255">
      <w:pPr>
        <w:pStyle w:val="ListParagraph"/>
        <w:numPr>
          <w:ilvl w:val="0"/>
          <w:numId w:val="43"/>
        </w:numPr>
        <w:spacing w:after="120"/>
        <w:ind w:left="426" w:hanging="426"/>
        <w:jc w:val="both"/>
        <w:rPr>
          <w:rFonts w:eastAsia="Times New Roman"/>
          <w:lang w:eastAsia="lv-LV"/>
        </w:rPr>
      </w:pPr>
      <w:r w:rsidRPr="002F0CF5">
        <w:rPr>
          <w:rFonts w:eastAsia="Times New Roman"/>
          <w:lang w:eastAsia="lv-LV"/>
        </w:rPr>
        <w:t xml:space="preserve">FM stratēģisko mērķu īstenošanai, </w:t>
      </w:r>
      <w:r>
        <w:rPr>
          <w:rFonts w:eastAsia="Times New Roman"/>
          <w:lang w:eastAsia="lv-LV"/>
        </w:rPr>
        <w:t>t.sk.,</w:t>
      </w:r>
      <w:r w:rsidRPr="002F0CF5">
        <w:rPr>
          <w:rFonts w:eastAsia="Times New Roman"/>
          <w:lang w:eastAsia="lv-LV"/>
        </w:rPr>
        <w:t xml:space="preserve"> lai: (i) veicinātu PPP investīciju projektu īstenošanu Latvijā kā alternatīvu risinājumu investīciju projektu īstenošanā, paredzot CFLA nodrošināt PPP projektu sagatavošanai nepieciešamos rīkus</w:t>
      </w:r>
      <w:r w:rsidRPr="00B941A9">
        <w:t xml:space="preserve"> </w:t>
      </w:r>
      <w:r w:rsidRPr="002F0CF5">
        <w:rPr>
          <w:rFonts w:eastAsia="Times New Roman"/>
          <w:lang w:eastAsia="lv-LV"/>
        </w:rPr>
        <w:t xml:space="preserve">– finanšu un ekonomisko aprēķinu modeļus biežāk pieprasīto PPP projektu veidiem, ieviest standartizētus iepirkuma dokumentu paraugus un sniegt plašāku konsultatīvo atbalstu PPP projektu iniciatoriem, (ii) optimizētu VID IT risinājumus, veicot informācijas sistēmu un IKT infrastruktūras risinājumu auditu un (iii) nodrošinātu konkurētspējīgu un motivējošu atalgojumu VID un FM stratēģisko funkciju veicējiem. Pasākuma īstenošanai nepieciešams finansējums 2021. gadā – 679 966 </w:t>
      </w:r>
      <w:r w:rsidRPr="002F0CF5">
        <w:rPr>
          <w:rFonts w:eastAsia="Times New Roman"/>
          <w:i/>
          <w:lang w:eastAsia="lv-LV"/>
        </w:rPr>
        <w:t>euro</w:t>
      </w:r>
      <w:r w:rsidRPr="002F0CF5">
        <w:rPr>
          <w:rFonts w:eastAsia="Times New Roman"/>
          <w:lang w:eastAsia="lv-LV"/>
        </w:rPr>
        <w:t xml:space="preserve">, 2022. gadā – 685 966 </w:t>
      </w:r>
      <w:r w:rsidRPr="002F0CF5">
        <w:rPr>
          <w:rFonts w:eastAsia="Times New Roman"/>
          <w:i/>
          <w:lang w:eastAsia="lv-LV"/>
        </w:rPr>
        <w:t>euro</w:t>
      </w:r>
      <w:r w:rsidRPr="002F0CF5">
        <w:rPr>
          <w:rFonts w:eastAsia="Times New Roman"/>
          <w:lang w:eastAsia="lv-LV"/>
        </w:rPr>
        <w:t xml:space="preserve">, 2023. gadā un turpmāk ik gadu– 535 966 </w:t>
      </w:r>
      <w:r w:rsidRPr="002F0CF5">
        <w:rPr>
          <w:rFonts w:eastAsia="Times New Roman"/>
          <w:i/>
          <w:lang w:eastAsia="lv-LV"/>
        </w:rPr>
        <w:t>euro</w:t>
      </w:r>
      <w:r w:rsidRPr="002F0CF5">
        <w:rPr>
          <w:rFonts w:eastAsia="Times New Roman"/>
          <w:lang w:eastAsia="lv-LV"/>
        </w:rPr>
        <w:t>;</w:t>
      </w:r>
    </w:p>
    <w:p w14:paraId="733963DE" w14:textId="77777777" w:rsidR="006C1255" w:rsidRPr="002F0CF5" w:rsidRDefault="006C1255" w:rsidP="006C1255">
      <w:pPr>
        <w:pStyle w:val="ListParagraph"/>
        <w:numPr>
          <w:ilvl w:val="0"/>
          <w:numId w:val="43"/>
        </w:numPr>
        <w:spacing w:after="120"/>
        <w:ind w:left="426" w:hanging="426"/>
        <w:jc w:val="both"/>
        <w:rPr>
          <w:rFonts w:eastAsia="Times New Roman"/>
          <w:lang w:eastAsia="lv-LV"/>
        </w:rPr>
      </w:pPr>
      <w:r w:rsidRPr="002F0CF5">
        <w:rPr>
          <w:rFonts w:eastAsia="Times New Roman"/>
          <w:lang w:eastAsia="lv-LV"/>
        </w:rPr>
        <w:t xml:space="preserve">Pasaules Bankas Ziemeļu un Baltijas valstu grupas sanāksmes organizēšanai 2021. gadā par 7 045 </w:t>
      </w:r>
      <w:r w:rsidRPr="002F0CF5">
        <w:rPr>
          <w:rFonts w:eastAsia="Times New Roman"/>
          <w:i/>
          <w:lang w:eastAsia="lv-LV"/>
        </w:rPr>
        <w:t>euro,</w:t>
      </w:r>
      <w:r w:rsidRPr="002F0CF5">
        <w:rPr>
          <w:rFonts w:eastAsia="Times New Roman"/>
          <w:lang w:eastAsia="lv-LV"/>
        </w:rPr>
        <w:t xml:space="preserve"> lai rotācijas kārtībā Latvija nodrošinātu sanāksmes organizēšanu;</w:t>
      </w:r>
    </w:p>
    <w:p w14:paraId="7BB94045" w14:textId="77777777" w:rsidR="006C1255" w:rsidRPr="002F0CF5" w:rsidRDefault="006C1255" w:rsidP="006C1255">
      <w:pPr>
        <w:pStyle w:val="ListParagraph"/>
        <w:numPr>
          <w:ilvl w:val="0"/>
          <w:numId w:val="43"/>
        </w:numPr>
        <w:spacing w:after="120"/>
        <w:ind w:left="426" w:hanging="426"/>
        <w:jc w:val="both"/>
        <w:rPr>
          <w:rFonts w:eastAsia="Times New Roman"/>
          <w:lang w:eastAsia="lv-LV"/>
        </w:rPr>
      </w:pPr>
      <w:r w:rsidRPr="002F0CF5">
        <w:rPr>
          <w:rFonts w:eastAsia="Times New Roman"/>
          <w:lang w:eastAsia="lv-LV"/>
        </w:rPr>
        <w:t xml:space="preserve">Informatīva semināra par starptautisko finanšu institūciju atbalsta iespējām organizēšanai 2021. gadā par 4 700 </w:t>
      </w:r>
      <w:r w:rsidRPr="002F0CF5">
        <w:rPr>
          <w:rFonts w:eastAsia="Times New Roman"/>
          <w:i/>
          <w:lang w:eastAsia="lv-LV"/>
        </w:rPr>
        <w:t>euro</w:t>
      </w:r>
      <w:r w:rsidRPr="002F0CF5">
        <w:rPr>
          <w:rFonts w:eastAsia="Times New Roman"/>
          <w:lang w:eastAsia="lv-LV"/>
        </w:rPr>
        <w:t>, lai nodrošinātu Latvijas publiskā un privātā sektora informētību par starptautisko finanšu institūciju  piedāvātajām atbalsta iespējām;</w:t>
      </w:r>
    </w:p>
    <w:p w14:paraId="0CE38464" w14:textId="77777777" w:rsidR="006C1255" w:rsidRPr="002F0CF5" w:rsidRDefault="006C1255" w:rsidP="006C1255">
      <w:pPr>
        <w:pStyle w:val="ListParagraph"/>
        <w:numPr>
          <w:ilvl w:val="0"/>
          <w:numId w:val="43"/>
        </w:numPr>
        <w:spacing w:after="120"/>
        <w:ind w:left="426" w:hanging="426"/>
        <w:jc w:val="both"/>
        <w:rPr>
          <w:rFonts w:eastAsia="Times New Roman"/>
          <w:lang w:eastAsia="lv-LV"/>
        </w:rPr>
      </w:pPr>
      <w:r w:rsidRPr="002F0CF5">
        <w:rPr>
          <w:rFonts w:eastAsia="Times New Roman"/>
          <w:lang w:eastAsia="lv-LV"/>
        </w:rPr>
        <w:t xml:space="preserve">Nomas maksu pieauguma segšanai par VNĪ iznomātajām telpām, par kurām resori (Latvijas Republikas Prokuratūra, Nacionālā elektronisko plašsaziņas līdzekļu padome, Valsts Prezidenta kanceleja, Centrālā vēlēšanu komisija, TM un VM) iesnieguši prioritāro pasākumu pieteikumus. Pasākuma īstenošanai nepieciešams finansējums 2021. gadā un turpmāk ik gadu 1 023 887 </w:t>
      </w:r>
      <w:r w:rsidRPr="002F0CF5">
        <w:rPr>
          <w:rFonts w:eastAsia="Times New Roman"/>
          <w:i/>
          <w:lang w:eastAsia="lv-LV"/>
        </w:rPr>
        <w:t>euro</w:t>
      </w:r>
      <w:r w:rsidRPr="002F0CF5">
        <w:rPr>
          <w:rFonts w:eastAsia="Times New Roman"/>
          <w:lang w:eastAsia="lv-LV"/>
        </w:rPr>
        <w:t xml:space="preserve"> (Latvijas Republikas Prokuratūras budžetā 41 063 </w:t>
      </w:r>
      <w:r w:rsidRPr="002F0CF5">
        <w:rPr>
          <w:rFonts w:eastAsia="Times New Roman"/>
          <w:i/>
          <w:lang w:eastAsia="lv-LV"/>
        </w:rPr>
        <w:t>euro</w:t>
      </w:r>
      <w:r w:rsidRPr="002F0CF5">
        <w:rPr>
          <w:rFonts w:eastAsia="Times New Roman"/>
          <w:lang w:eastAsia="lv-LV"/>
        </w:rPr>
        <w:t xml:space="preserve">, Nacionālā elektronisko plašsaziņas līdzekļu padomes budžetā 8 135 </w:t>
      </w:r>
      <w:r w:rsidRPr="002F0CF5">
        <w:rPr>
          <w:rFonts w:eastAsia="Times New Roman"/>
          <w:i/>
          <w:lang w:eastAsia="lv-LV"/>
        </w:rPr>
        <w:t>euro</w:t>
      </w:r>
      <w:r w:rsidRPr="002F0CF5">
        <w:rPr>
          <w:rFonts w:eastAsia="Times New Roman"/>
          <w:lang w:eastAsia="lv-LV"/>
        </w:rPr>
        <w:t xml:space="preserve">, Valsts Prezidenta kancelejas budžetā 30 076 </w:t>
      </w:r>
      <w:r w:rsidRPr="002F0CF5">
        <w:rPr>
          <w:rFonts w:eastAsia="Times New Roman"/>
          <w:i/>
          <w:lang w:eastAsia="lv-LV"/>
        </w:rPr>
        <w:t>euro</w:t>
      </w:r>
      <w:r w:rsidRPr="002F0CF5">
        <w:rPr>
          <w:rFonts w:eastAsia="Times New Roman"/>
          <w:lang w:eastAsia="lv-LV"/>
        </w:rPr>
        <w:t xml:space="preserve">, Centrālā vēlēšanu komisijas budžetā 12 716 </w:t>
      </w:r>
      <w:r w:rsidRPr="002F0CF5">
        <w:rPr>
          <w:rFonts w:eastAsia="Times New Roman"/>
          <w:i/>
          <w:lang w:eastAsia="lv-LV"/>
        </w:rPr>
        <w:t>euro</w:t>
      </w:r>
      <w:r w:rsidRPr="002F0CF5">
        <w:rPr>
          <w:rFonts w:eastAsia="Times New Roman"/>
          <w:lang w:eastAsia="lv-LV"/>
        </w:rPr>
        <w:t xml:space="preserve">, TM budžetā 142 962 </w:t>
      </w:r>
      <w:r w:rsidRPr="002F0CF5">
        <w:rPr>
          <w:rFonts w:eastAsia="Times New Roman"/>
          <w:i/>
          <w:lang w:eastAsia="lv-LV"/>
        </w:rPr>
        <w:t>euro</w:t>
      </w:r>
      <w:r w:rsidRPr="002F0CF5">
        <w:rPr>
          <w:rFonts w:eastAsia="Times New Roman"/>
          <w:lang w:eastAsia="lv-LV"/>
        </w:rPr>
        <w:t xml:space="preserve"> un VM budžetā 788 935 </w:t>
      </w:r>
      <w:r w:rsidRPr="002F0CF5">
        <w:rPr>
          <w:rFonts w:eastAsia="Times New Roman"/>
          <w:i/>
          <w:lang w:eastAsia="lv-LV"/>
        </w:rPr>
        <w:t>euro</w:t>
      </w:r>
      <w:r w:rsidRPr="002F0CF5">
        <w:rPr>
          <w:rFonts w:eastAsia="Times New Roman"/>
          <w:lang w:eastAsia="lv-LV"/>
        </w:rPr>
        <w:t>);</w:t>
      </w:r>
    </w:p>
    <w:p w14:paraId="0F5AA468" w14:textId="77777777" w:rsidR="006C1255" w:rsidRPr="002F0CF5" w:rsidRDefault="006C1255" w:rsidP="006C1255">
      <w:pPr>
        <w:pStyle w:val="ListParagraph"/>
        <w:numPr>
          <w:ilvl w:val="0"/>
          <w:numId w:val="43"/>
        </w:numPr>
        <w:spacing w:after="120"/>
        <w:ind w:left="426" w:hanging="426"/>
        <w:jc w:val="both"/>
        <w:rPr>
          <w:rFonts w:eastAsia="Times New Roman"/>
          <w:lang w:eastAsia="lv-LV"/>
        </w:rPr>
      </w:pPr>
      <w:r w:rsidRPr="002F0CF5">
        <w:rPr>
          <w:rFonts w:eastAsia="Times New Roman"/>
          <w:lang w:eastAsia="lv-LV"/>
        </w:rPr>
        <w:t xml:space="preserve">Nomas attiecību nodibināšanai starp VNĪ un KM iestādēm (Latvijas Nacionālo arhīvu, Latvijas nacionālo mākslas muzeju un Staņislava Broka Daugavpils Mūzikas vidusskolu) par telpām nekustamajos īpašumos, kuru atjaunošanā ieguldīti ERAF līdzekļi, lai nodrošinātu šo īpašumu saglabāšanu un veiktu uzkrājumus remontdarbiem nākotnē. Pasākuma īstenošanai KM budžetā nepieciešams finansējums </w:t>
      </w:r>
      <w:r>
        <w:rPr>
          <w:rFonts w:eastAsia="Times New Roman"/>
          <w:lang w:eastAsia="lv-LV"/>
        </w:rPr>
        <w:t>2021. </w:t>
      </w:r>
      <w:r w:rsidRPr="002F0CF5">
        <w:rPr>
          <w:rFonts w:eastAsia="Times New Roman"/>
          <w:lang w:eastAsia="lv-LV"/>
        </w:rPr>
        <w:t xml:space="preserve">gadā un turpmāk ik gadu 1 617 503 </w:t>
      </w:r>
      <w:r w:rsidRPr="002F0CF5">
        <w:rPr>
          <w:rFonts w:eastAsia="Times New Roman"/>
          <w:i/>
          <w:lang w:eastAsia="lv-LV"/>
        </w:rPr>
        <w:t>euro</w:t>
      </w:r>
      <w:r w:rsidRPr="002F0CF5">
        <w:rPr>
          <w:rFonts w:eastAsia="Times New Roman"/>
          <w:lang w:eastAsia="lv-LV"/>
        </w:rPr>
        <w:t>;</w:t>
      </w:r>
    </w:p>
    <w:p w14:paraId="2361E67A" w14:textId="77777777" w:rsidR="006C1255" w:rsidRPr="002F0CF5" w:rsidRDefault="006C1255" w:rsidP="006C1255">
      <w:pPr>
        <w:pStyle w:val="ListParagraph"/>
        <w:numPr>
          <w:ilvl w:val="0"/>
          <w:numId w:val="43"/>
        </w:numPr>
        <w:spacing w:after="120"/>
        <w:ind w:left="426" w:hanging="426"/>
        <w:jc w:val="both"/>
        <w:rPr>
          <w:rFonts w:eastAsia="Times New Roman"/>
          <w:lang w:eastAsia="lv-LV"/>
        </w:rPr>
      </w:pPr>
      <w:r>
        <w:rPr>
          <w:rFonts w:eastAsia="Times New Roman"/>
          <w:lang w:eastAsia="lv-LV"/>
        </w:rPr>
        <w:t xml:space="preserve">Valsts ēku remontdarbu veikšanai, lai: (i) robežšķērsošanas vietās “Silene” un “Pāternieki” 2021. gadā pabeigtu šo robežšķērsošanas vietu attīstības I posmā plānotos darbus, vienlaikus rodot iespēju samazināt 2020. gada budžetā nepieciešamo finansējumu par 600 000 </w:t>
      </w:r>
      <w:r w:rsidRPr="002F0CF5">
        <w:rPr>
          <w:rFonts w:eastAsia="Times New Roman"/>
          <w:i/>
          <w:lang w:eastAsia="lv-LV"/>
        </w:rPr>
        <w:t>euro</w:t>
      </w:r>
      <w:r>
        <w:rPr>
          <w:rFonts w:eastAsia="Times New Roman"/>
          <w:lang w:eastAsia="lv-LV"/>
        </w:rPr>
        <w:t xml:space="preserve">; (ii) ēkās Rīgā, Brīvības bulvārī 36 veiktu nepieciešamos remontdarbus (jumta seguma nomaiņa, ieejas mezgla no Tērbatas ielas puses atjaunošana, pagraba </w:t>
      </w:r>
      <w:r>
        <w:rPr>
          <w:rFonts w:eastAsia="Times New Roman"/>
          <w:lang w:eastAsia="lv-LV"/>
        </w:rPr>
        <w:lastRenderedPageBreak/>
        <w:t xml:space="preserve">pārsegumu pastiprināšana) un (iii) ēkās Rīgā, Smilšu ielā 1 veiktu nepieciešamos remontdarbus un infrastruktūras uzlabošanu (t.sk. ēku fasāžu atjaunošana, pagalma pārseguma pastiprināšana, apkures sistēmas atjaunošana, elektroapgādes nodrošināšana, telpu pielāgošana). </w:t>
      </w:r>
      <w:r w:rsidRPr="002F0CF5">
        <w:rPr>
          <w:rFonts w:eastAsia="Times New Roman"/>
          <w:lang w:eastAsia="lv-LV"/>
        </w:rPr>
        <w:t xml:space="preserve">Pasākuma īstenošanai nepieciešams finansējums </w:t>
      </w:r>
      <w:r w:rsidRPr="00CE1D95">
        <w:rPr>
          <w:rFonts w:eastAsia="Times New Roman"/>
          <w:lang w:eastAsia="lv-LV"/>
        </w:rPr>
        <w:t xml:space="preserve">2021. gadā – </w:t>
      </w:r>
      <w:r>
        <w:rPr>
          <w:rFonts w:eastAsia="Times New Roman"/>
          <w:lang w:eastAsia="lv-LV"/>
        </w:rPr>
        <w:t>2 380 666</w:t>
      </w:r>
      <w:r w:rsidRPr="00CE1D95">
        <w:rPr>
          <w:rFonts w:eastAsia="Times New Roman"/>
          <w:lang w:eastAsia="lv-LV"/>
        </w:rPr>
        <w:t xml:space="preserve"> </w:t>
      </w:r>
      <w:r w:rsidRPr="00CE1D95">
        <w:rPr>
          <w:rFonts w:eastAsia="Times New Roman"/>
          <w:i/>
          <w:lang w:eastAsia="lv-LV"/>
        </w:rPr>
        <w:t>euro</w:t>
      </w:r>
      <w:r w:rsidRPr="00CE1D95">
        <w:rPr>
          <w:rFonts w:eastAsia="Times New Roman"/>
          <w:lang w:eastAsia="lv-LV"/>
        </w:rPr>
        <w:t xml:space="preserve">, 2022. gadā – </w:t>
      </w:r>
      <w:r>
        <w:rPr>
          <w:rFonts w:eastAsia="Times New Roman"/>
          <w:lang w:eastAsia="lv-LV"/>
        </w:rPr>
        <w:t>2 085 846</w:t>
      </w:r>
      <w:r w:rsidRPr="00CE1D95">
        <w:rPr>
          <w:rFonts w:eastAsia="Times New Roman"/>
          <w:lang w:eastAsia="lv-LV"/>
        </w:rPr>
        <w:t xml:space="preserve"> </w:t>
      </w:r>
      <w:r w:rsidRPr="00CE1D95">
        <w:rPr>
          <w:rFonts w:eastAsia="Times New Roman"/>
          <w:i/>
          <w:lang w:eastAsia="lv-LV"/>
        </w:rPr>
        <w:t>euro</w:t>
      </w:r>
      <w:r>
        <w:rPr>
          <w:rFonts w:eastAsia="Times New Roman"/>
          <w:lang w:eastAsia="lv-LV"/>
        </w:rPr>
        <w:t xml:space="preserve">, 2023. gadā </w:t>
      </w:r>
      <w:r w:rsidRPr="00CE1D95">
        <w:rPr>
          <w:rFonts w:eastAsia="Times New Roman"/>
          <w:lang w:eastAsia="lv-LV"/>
        </w:rPr>
        <w:t xml:space="preserve">– </w:t>
      </w:r>
      <w:r>
        <w:rPr>
          <w:rFonts w:eastAsia="Times New Roman"/>
          <w:lang w:eastAsia="lv-LV"/>
        </w:rPr>
        <w:t>966 935</w:t>
      </w:r>
      <w:r w:rsidRPr="00CE1D95">
        <w:rPr>
          <w:rFonts w:eastAsia="Times New Roman"/>
          <w:lang w:eastAsia="lv-LV"/>
        </w:rPr>
        <w:t xml:space="preserve"> </w:t>
      </w:r>
      <w:r w:rsidRPr="00CE1D95">
        <w:rPr>
          <w:rFonts w:eastAsia="Times New Roman"/>
          <w:i/>
          <w:lang w:eastAsia="lv-LV"/>
        </w:rPr>
        <w:t>euro</w:t>
      </w:r>
      <w:r w:rsidRPr="000E4A52">
        <w:rPr>
          <w:rFonts w:eastAsia="Times New Roman"/>
          <w:lang w:eastAsia="lv-LV"/>
        </w:rPr>
        <w:t xml:space="preserve"> </w:t>
      </w:r>
      <w:r w:rsidRPr="00CE1D95">
        <w:rPr>
          <w:rFonts w:eastAsia="Times New Roman"/>
          <w:lang w:eastAsia="lv-LV"/>
        </w:rPr>
        <w:t>un</w:t>
      </w:r>
      <w:r>
        <w:rPr>
          <w:rFonts w:eastAsia="Times New Roman"/>
          <w:lang w:eastAsia="lv-LV"/>
        </w:rPr>
        <w:t xml:space="preserve"> 2024. gadā </w:t>
      </w:r>
      <w:r w:rsidRPr="00CE1D95">
        <w:rPr>
          <w:rFonts w:eastAsia="Times New Roman"/>
          <w:lang w:eastAsia="lv-LV"/>
        </w:rPr>
        <w:t xml:space="preserve">– </w:t>
      </w:r>
      <w:r>
        <w:rPr>
          <w:rFonts w:eastAsia="Times New Roman"/>
          <w:lang w:eastAsia="lv-LV"/>
        </w:rPr>
        <w:t>280 526</w:t>
      </w:r>
      <w:r w:rsidRPr="00CE1D95">
        <w:rPr>
          <w:rFonts w:eastAsia="Times New Roman"/>
          <w:lang w:eastAsia="lv-LV"/>
        </w:rPr>
        <w:t xml:space="preserve"> </w:t>
      </w:r>
      <w:r w:rsidRPr="00CE1D95">
        <w:rPr>
          <w:rFonts w:eastAsia="Times New Roman"/>
          <w:i/>
          <w:lang w:eastAsia="lv-LV"/>
        </w:rPr>
        <w:t>euro</w:t>
      </w:r>
      <w:r w:rsidRPr="002F0CF5">
        <w:rPr>
          <w:rFonts w:eastAsia="Times New Roman"/>
          <w:lang w:eastAsia="lv-LV"/>
        </w:rPr>
        <w:t>;</w:t>
      </w:r>
    </w:p>
    <w:p w14:paraId="7DD38EBD" w14:textId="77777777" w:rsidR="006C1255" w:rsidRDefault="006C1255" w:rsidP="006C1255">
      <w:pPr>
        <w:pStyle w:val="ListParagraph"/>
        <w:numPr>
          <w:ilvl w:val="0"/>
          <w:numId w:val="43"/>
        </w:numPr>
        <w:spacing w:after="120"/>
        <w:ind w:left="426" w:hanging="426"/>
        <w:jc w:val="both"/>
        <w:rPr>
          <w:rFonts w:eastAsia="Times New Roman"/>
          <w:lang w:eastAsia="lv-LV"/>
        </w:rPr>
      </w:pPr>
      <w:r>
        <w:rPr>
          <w:rFonts w:eastAsia="Times New Roman"/>
          <w:lang w:eastAsia="lv-LV"/>
        </w:rPr>
        <w:t xml:space="preserve">Normatīvajos aktos noteikto prasību ieviešanai VID informācijas sistēmās, t.sk. (i) </w:t>
      </w:r>
      <w:r w:rsidRPr="008918CA">
        <w:rPr>
          <w:rFonts w:eastAsia="Times New Roman"/>
          <w:lang w:eastAsia="lv-LV"/>
        </w:rPr>
        <w:t xml:space="preserve">PVN direktīvā (2006/112/EK) veikto grozījumu </w:t>
      </w:r>
      <w:r>
        <w:rPr>
          <w:rFonts w:eastAsia="Times New Roman"/>
          <w:lang w:eastAsia="lv-LV"/>
        </w:rPr>
        <w:t xml:space="preserve">un </w:t>
      </w:r>
      <w:r w:rsidRPr="008918CA">
        <w:rPr>
          <w:rFonts w:eastAsia="Times New Roman"/>
          <w:lang w:eastAsia="lv-LV"/>
        </w:rPr>
        <w:t xml:space="preserve">PVN e-komercijas direktīvas (2017/2455) </w:t>
      </w:r>
      <w:r>
        <w:rPr>
          <w:rFonts w:eastAsia="Times New Roman"/>
          <w:lang w:eastAsia="lv-LV"/>
        </w:rPr>
        <w:t xml:space="preserve">prasību ieviešanai (ii) un Savienības Muitas kodeksa (ES regula </w:t>
      </w:r>
      <w:r w:rsidRPr="008918CA">
        <w:rPr>
          <w:rFonts w:eastAsia="Times New Roman"/>
          <w:lang w:eastAsia="lv-LV"/>
        </w:rPr>
        <w:t>952/2013</w:t>
      </w:r>
      <w:r>
        <w:rPr>
          <w:rFonts w:eastAsia="Times New Roman"/>
          <w:lang w:eastAsia="lv-LV"/>
        </w:rPr>
        <w:t xml:space="preserve">) prasību ieviešanai, lai </w:t>
      </w:r>
      <w:r w:rsidRPr="0023567B">
        <w:rPr>
          <w:rFonts w:eastAsia="Times New Roman"/>
          <w:lang w:eastAsia="lv-LV"/>
        </w:rPr>
        <w:t>līdz 2025. gadam visu informācijas apmaiņu starp muitas dienestiem un uzņēmējiem nodrošinātu, izmantojot elektroniskas datu apstrādes metodes</w:t>
      </w:r>
      <w:r>
        <w:rPr>
          <w:rFonts w:eastAsia="Times New Roman"/>
          <w:lang w:eastAsia="lv-LV"/>
        </w:rPr>
        <w:t xml:space="preserve">. </w:t>
      </w:r>
      <w:r w:rsidRPr="002D3C43">
        <w:rPr>
          <w:rFonts w:eastAsia="Times New Roman"/>
          <w:lang w:eastAsia="lv-LV"/>
        </w:rPr>
        <w:t xml:space="preserve">Pasākuma īstenošanai nepieciešams finansējums </w:t>
      </w:r>
      <w:r w:rsidRPr="00CE1D95">
        <w:rPr>
          <w:rFonts w:eastAsia="Times New Roman"/>
          <w:lang w:eastAsia="lv-LV"/>
        </w:rPr>
        <w:t xml:space="preserve">2021. gadā – </w:t>
      </w:r>
      <w:r>
        <w:rPr>
          <w:rFonts w:eastAsia="Times New Roman"/>
          <w:lang w:eastAsia="lv-LV"/>
        </w:rPr>
        <w:t>2 908 756</w:t>
      </w:r>
      <w:r w:rsidRPr="00CE1D95">
        <w:rPr>
          <w:rFonts w:eastAsia="Times New Roman"/>
          <w:lang w:eastAsia="lv-LV"/>
        </w:rPr>
        <w:t xml:space="preserve"> </w:t>
      </w:r>
      <w:r w:rsidRPr="00CE1D95">
        <w:rPr>
          <w:rFonts w:eastAsia="Times New Roman"/>
          <w:i/>
          <w:lang w:eastAsia="lv-LV"/>
        </w:rPr>
        <w:t>euro</w:t>
      </w:r>
      <w:r w:rsidRPr="00CE1D95">
        <w:rPr>
          <w:rFonts w:eastAsia="Times New Roman"/>
          <w:lang w:eastAsia="lv-LV"/>
        </w:rPr>
        <w:t xml:space="preserve">, 2022. gadā – </w:t>
      </w:r>
      <w:r>
        <w:rPr>
          <w:rFonts w:eastAsia="Times New Roman"/>
          <w:lang w:eastAsia="lv-LV"/>
        </w:rPr>
        <w:t>4 823 798</w:t>
      </w:r>
      <w:r w:rsidRPr="00CE1D95">
        <w:rPr>
          <w:rFonts w:eastAsia="Times New Roman"/>
          <w:lang w:eastAsia="lv-LV"/>
        </w:rPr>
        <w:t xml:space="preserve"> </w:t>
      </w:r>
      <w:r w:rsidRPr="00CE1D95">
        <w:rPr>
          <w:rFonts w:eastAsia="Times New Roman"/>
          <w:i/>
          <w:lang w:eastAsia="lv-LV"/>
        </w:rPr>
        <w:t>euro</w:t>
      </w:r>
      <w:r>
        <w:rPr>
          <w:rFonts w:eastAsia="Times New Roman"/>
          <w:lang w:eastAsia="lv-LV"/>
        </w:rPr>
        <w:t xml:space="preserve">, 2023. gadā </w:t>
      </w:r>
      <w:r w:rsidRPr="00CE1D95">
        <w:rPr>
          <w:rFonts w:eastAsia="Times New Roman"/>
          <w:lang w:eastAsia="lv-LV"/>
        </w:rPr>
        <w:t xml:space="preserve">– </w:t>
      </w:r>
      <w:r>
        <w:rPr>
          <w:rFonts w:eastAsia="Times New Roman"/>
          <w:lang w:eastAsia="lv-LV"/>
        </w:rPr>
        <w:t>4 252 482</w:t>
      </w:r>
      <w:r w:rsidRPr="00CE1D95">
        <w:rPr>
          <w:rFonts w:eastAsia="Times New Roman"/>
          <w:lang w:eastAsia="lv-LV"/>
        </w:rPr>
        <w:t xml:space="preserve"> </w:t>
      </w:r>
      <w:r w:rsidRPr="00CE1D95">
        <w:rPr>
          <w:rFonts w:eastAsia="Times New Roman"/>
          <w:i/>
          <w:lang w:eastAsia="lv-LV"/>
        </w:rPr>
        <w:t>euro</w:t>
      </w:r>
      <w:r>
        <w:rPr>
          <w:rFonts w:eastAsia="Times New Roman"/>
          <w:lang w:eastAsia="lv-LV"/>
        </w:rPr>
        <w:t xml:space="preserve">, 2024. gadā </w:t>
      </w:r>
      <w:r w:rsidRPr="00CE1D95">
        <w:rPr>
          <w:rFonts w:eastAsia="Times New Roman"/>
          <w:lang w:eastAsia="lv-LV"/>
        </w:rPr>
        <w:t xml:space="preserve">– </w:t>
      </w:r>
      <w:r>
        <w:rPr>
          <w:rFonts w:eastAsia="Times New Roman"/>
          <w:lang w:eastAsia="lv-LV"/>
        </w:rPr>
        <w:t>3 298 533</w:t>
      </w:r>
      <w:r w:rsidRPr="00CE1D95">
        <w:rPr>
          <w:rFonts w:eastAsia="Times New Roman"/>
          <w:lang w:eastAsia="lv-LV"/>
        </w:rPr>
        <w:t xml:space="preserve"> </w:t>
      </w:r>
      <w:r w:rsidRPr="00CE1D95">
        <w:rPr>
          <w:rFonts w:eastAsia="Times New Roman"/>
          <w:i/>
          <w:lang w:eastAsia="lv-LV"/>
        </w:rPr>
        <w:t>euro</w:t>
      </w:r>
      <w:r>
        <w:rPr>
          <w:rFonts w:eastAsia="Times New Roman"/>
          <w:lang w:eastAsia="lv-LV"/>
        </w:rPr>
        <w:t xml:space="preserve">, 2025. gadā </w:t>
      </w:r>
      <w:r w:rsidRPr="00CE1D95">
        <w:rPr>
          <w:rFonts w:eastAsia="Times New Roman"/>
          <w:lang w:eastAsia="lv-LV"/>
        </w:rPr>
        <w:t xml:space="preserve">– </w:t>
      </w:r>
      <w:r>
        <w:rPr>
          <w:rFonts w:eastAsia="Times New Roman"/>
          <w:lang w:eastAsia="lv-LV"/>
        </w:rPr>
        <w:t>1 424 453</w:t>
      </w:r>
      <w:r w:rsidRPr="00CE1D95">
        <w:rPr>
          <w:rFonts w:eastAsia="Times New Roman"/>
          <w:lang w:eastAsia="lv-LV"/>
        </w:rPr>
        <w:t xml:space="preserve"> </w:t>
      </w:r>
      <w:r w:rsidRPr="00CE1D95">
        <w:rPr>
          <w:rFonts w:eastAsia="Times New Roman"/>
          <w:i/>
          <w:lang w:eastAsia="lv-LV"/>
        </w:rPr>
        <w:t>euro</w:t>
      </w:r>
      <w:r>
        <w:rPr>
          <w:rFonts w:eastAsia="Times New Roman"/>
          <w:lang w:eastAsia="lv-LV"/>
        </w:rPr>
        <w:t xml:space="preserve"> </w:t>
      </w:r>
      <w:r w:rsidRPr="00CE1D95">
        <w:rPr>
          <w:rFonts w:eastAsia="Times New Roman"/>
          <w:lang w:eastAsia="lv-LV"/>
        </w:rPr>
        <w:t>un</w:t>
      </w:r>
      <w:r>
        <w:rPr>
          <w:rFonts w:eastAsia="Times New Roman"/>
          <w:lang w:eastAsia="lv-LV"/>
        </w:rPr>
        <w:t xml:space="preserve"> turpmāk ik gadu </w:t>
      </w:r>
      <w:r w:rsidRPr="00CE1D95">
        <w:rPr>
          <w:rFonts w:eastAsia="Times New Roman"/>
          <w:lang w:eastAsia="lv-LV"/>
        </w:rPr>
        <w:t xml:space="preserve">– </w:t>
      </w:r>
      <w:r>
        <w:rPr>
          <w:rFonts w:eastAsia="Times New Roman"/>
          <w:lang w:eastAsia="lv-LV"/>
        </w:rPr>
        <w:t>217 953</w:t>
      </w:r>
      <w:r w:rsidRPr="00CE1D95">
        <w:rPr>
          <w:rFonts w:eastAsia="Times New Roman"/>
          <w:lang w:eastAsia="lv-LV"/>
        </w:rPr>
        <w:t xml:space="preserve"> </w:t>
      </w:r>
      <w:r w:rsidRPr="000E4A52">
        <w:rPr>
          <w:rFonts w:eastAsia="Times New Roman"/>
          <w:i/>
          <w:lang w:eastAsia="lv-LV"/>
        </w:rPr>
        <w:t>euro</w:t>
      </w:r>
      <w:r w:rsidRPr="002F0CF5">
        <w:rPr>
          <w:rFonts w:eastAsia="Times New Roman"/>
          <w:lang w:eastAsia="lv-LV"/>
        </w:rPr>
        <w:t>;</w:t>
      </w:r>
    </w:p>
    <w:p w14:paraId="5E63C050" w14:textId="67D258E6" w:rsidR="004B7D98" w:rsidRPr="006C1255" w:rsidRDefault="006C1255" w:rsidP="006C1255">
      <w:pPr>
        <w:pStyle w:val="ListParagraph"/>
        <w:numPr>
          <w:ilvl w:val="0"/>
          <w:numId w:val="43"/>
        </w:numPr>
        <w:spacing w:after="120"/>
        <w:ind w:left="426" w:hanging="426"/>
        <w:jc w:val="both"/>
        <w:rPr>
          <w:rFonts w:eastAsia="Times New Roman"/>
          <w:lang w:eastAsia="lv-LV"/>
        </w:rPr>
      </w:pPr>
      <w:r>
        <w:rPr>
          <w:rFonts w:eastAsia="Times New Roman"/>
          <w:lang w:eastAsia="lv-LV"/>
        </w:rPr>
        <w:t xml:space="preserve">MK 19.09.2018. rīkojumā Nr.448 noteiktā finansējuma piešķiršanai LM un FM, lai nodrošinātu resoru iestāžu pārcelšanos uz jaunām telpām valsts un pašvaldību vienotajā klientu apkalpošanas centrā un segtu nomas un komunālo pakalpojumu izdevumus. </w:t>
      </w:r>
      <w:r w:rsidRPr="00CE1D95">
        <w:rPr>
          <w:rFonts w:eastAsia="Times New Roman"/>
          <w:lang w:eastAsia="lv-LV"/>
        </w:rPr>
        <w:t>Pasākuma īstenošanai nepieciešams finansējums 202</w:t>
      </w:r>
      <w:r>
        <w:rPr>
          <w:rFonts w:eastAsia="Times New Roman"/>
          <w:lang w:eastAsia="lv-LV"/>
        </w:rPr>
        <w:t>2</w:t>
      </w:r>
      <w:r w:rsidRPr="00CE1D95">
        <w:rPr>
          <w:rFonts w:eastAsia="Times New Roman"/>
          <w:lang w:eastAsia="lv-LV"/>
        </w:rPr>
        <w:t xml:space="preserve">. gadā – </w:t>
      </w:r>
      <w:r>
        <w:rPr>
          <w:rFonts w:eastAsia="Times New Roman"/>
          <w:lang w:eastAsia="lv-LV"/>
        </w:rPr>
        <w:t>78 280</w:t>
      </w:r>
      <w:r w:rsidRPr="00CE1D95">
        <w:rPr>
          <w:rFonts w:eastAsia="Times New Roman"/>
          <w:lang w:eastAsia="lv-LV"/>
        </w:rPr>
        <w:t xml:space="preserve"> </w:t>
      </w:r>
      <w:r w:rsidRPr="000E4A52">
        <w:rPr>
          <w:rFonts w:eastAsia="Times New Roman"/>
          <w:i/>
          <w:lang w:eastAsia="lv-LV"/>
        </w:rPr>
        <w:t>euro</w:t>
      </w:r>
      <w:r w:rsidRPr="00CE1D95">
        <w:rPr>
          <w:rFonts w:eastAsia="Times New Roman"/>
          <w:lang w:eastAsia="lv-LV"/>
        </w:rPr>
        <w:t>, 202</w:t>
      </w:r>
      <w:r>
        <w:rPr>
          <w:rFonts w:eastAsia="Times New Roman"/>
          <w:lang w:eastAsia="lv-LV"/>
        </w:rPr>
        <w:t>3</w:t>
      </w:r>
      <w:r w:rsidRPr="00CE1D95">
        <w:rPr>
          <w:rFonts w:eastAsia="Times New Roman"/>
          <w:lang w:eastAsia="lv-LV"/>
        </w:rPr>
        <w:t xml:space="preserve">. gadā – </w:t>
      </w:r>
      <w:r>
        <w:rPr>
          <w:rFonts w:eastAsia="Times New Roman"/>
          <w:lang w:eastAsia="lv-LV"/>
        </w:rPr>
        <w:t>180 109</w:t>
      </w:r>
      <w:r w:rsidRPr="00CE1D95">
        <w:rPr>
          <w:rFonts w:eastAsia="Times New Roman"/>
          <w:lang w:eastAsia="lv-LV"/>
        </w:rPr>
        <w:t xml:space="preserve"> </w:t>
      </w:r>
      <w:r w:rsidRPr="000E4A52">
        <w:rPr>
          <w:rFonts w:eastAsia="Times New Roman"/>
          <w:i/>
          <w:lang w:eastAsia="lv-LV"/>
        </w:rPr>
        <w:t>euro</w:t>
      </w:r>
      <w:r>
        <w:rPr>
          <w:rFonts w:eastAsia="Times New Roman"/>
          <w:lang w:eastAsia="lv-LV"/>
        </w:rPr>
        <w:t xml:space="preserve"> </w:t>
      </w:r>
      <w:r w:rsidRPr="00CE1D95">
        <w:rPr>
          <w:rFonts w:eastAsia="Times New Roman"/>
          <w:lang w:eastAsia="lv-LV"/>
        </w:rPr>
        <w:t>un</w:t>
      </w:r>
      <w:r>
        <w:rPr>
          <w:rFonts w:eastAsia="Times New Roman"/>
          <w:lang w:eastAsia="lv-LV"/>
        </w:rPr>
        <w:t xml:space="preserve"> turpmāk ik gadu </w:t>
      </w:r>
      <w:r w:rsidRPr="00CE1D95">
        <w:rPr>
          <w:rFonts w:eastAsia="Times New Roman"/>
          <w:lang w:eastAsia="lv-LV"/>
        </w:rPr>
        <w:t>–</w:t>
      </w:r>
      <w:r w:rsidR="00C93791">
        <w:rPr>
          <w:rFonts w:eastAsia="Times New Roman"/>
          <w:lang w:eastAsia="lv-LV"/>
        </w:rPr>
        <w:t xml:space="preserve"> 140 106 </w:t>
      </w:r>
      <w:r w:rsidRPr="000E4A52">
        <w:rPr>
          <w:rFonts w:eastAsia="Times New Roman"/>
          <w:i/>
          <w:lang w:eastAsia="lv-LV"/>
        </w:rPr>
        <w:t>euro</w:t>
      </w:r>
      <w:r w:rsidRPr="002F0CF5">
        <w:rPr>
          <w:rFonts w:eastAsia="Times New Roman"/>
          <w:lang w:eastAsia="lv-LV"/>
        </w:rPr>
        <w:t>.</w:t>
      </w:r>
    </w:p>
    <w:p w14:paraId="14308882" w14:textId="7EE2F6B3" w:rsidR="002E0F43" w:rsidRPr="001A2DBB" w:rsidRDefault="002E0F43" w:rsidP="00911783">
      <w:pPr>
        <w:spacing w:after="120"/>
        <w:jc w:val="both"/>
        <w:rPr>
          <w:rFonts w:eastAsia="Times New Roman"/>
          <w:b/>
        </w:rPr>
      </w:pPr>
      <w:r>
        <w:rPr>
          <w:rFonts w:eastAsia="Times New Roman"/>
          <w:b/>
          <w:lang w:eastAsia="lv-LV"/>
        </w:rPr>
        <w:t>ZM - PVD</w:t>
      </w:r>
      <w:r w:rsidRPr="003027CF">
        <w:rPr>
          <w:rFonts w:eastAsia="Times New Roman"/>
          <w:b/>
          <w:lang w:eastAsia="lv-LV"/>
        </w:rPr>
        <w:t xml:space="preserve"> un Pārtikas drošības, dzīvnieku veselības un vides zinātniskā institūta</w:t>
      </w:r>
      <w:r>
        <w:rPr>
          <w:rFonts w:eastAsia="Times New Roman"/>
          <w:b/>
          <w:lang w:eastAsia="lv-LV"/>
        </w:rPr>
        <w:t xml:space="preserve"> „BIOR” </w:t>
      </w:r>
      <w:r w:rsidRPr="002E0F43">
        <w:rPr>
          <w:rFonts w:cs="Times New Roman"/>
          <w:b/>
        </w:rPr>
        <w:t>(turpmāk – BIOR)</w:t>
      </w:r>
      <w:r w:rsidRPr="002872F6">
        <w:rPr>
          <w:rFonts w:eastAsia="Times New Roman" w:cs="Times New Roman"/>
        </w:rPr>
        <w:t xml:space="preserve"> </w:t>
      </w:r>
      <w:r>
        <w:rPr>
          <w:rFonts w:eastAsia="Times New Roman"/>
          <w:b/>
          <w:lang w:eastAsia="lv-LV"/>
        </w:rPr>
        <w:t xml:space="preserve"> kapacitātes stiprināšana</w:t>
      </w:r>
      <w:r w:rsidRPr="003027CF">
        <w:rPr>
          <w:rFonts w:eastAsia="Times New Roman"/>
          <w:b/>
          <w:lang w:eastAsia="lv-LV"/>
        </w:rPr>
        <w:t xml:space="preserve"> saistībā ar </w:t>
      </w:r>
      <w:r>
        <w:rPr>
          <w:rFonts w:eastAsia="Times New Roman"/>
          <w:b/>
          <w:lang w:eastAsia="lv-LV"/>
        </w:rPr>
        <w:t>ES</w:t>
      </w:r>
      <w:r w:rsidRPr="003027CF">
        <w:rPr>
          <w:rFonts w:eastAsia="Times New Roman"/>
          <w:b/>
          <w:lang w:eastAsia="lv-LV"/>
        </w:rPr>
        <w:t xml:space="preserve"> tiesību aktos noteikto dzīvnieku veselības un pārtikas un dzīvnieku barības nekaitīguma uzraudzības pasākumu īstenošan</w:t>
      </w:r>
      <w:r>
        <w:rPr>
          <w:rFonts w:eastAsia="Times New Roman"/>
          <w:b/>
          <w:lang w:eastAsia="lv-LV"/>
        </w:rPr>
        <w:t>u, pārdalot finansējumu 2021.</w:t>
      </w:r>
      <w:r w:rsidR="005E1561">
        <w:rPr>
          <w:rFonts w:eastAsia="Times New Roman"/>
          <w:b/>
          <w:lang w:eastAsia="lv-LV"/>
        </w:rPr>
        <w:t xml:space="preserve"> </w:t>
      </w:r>
      <w:r>
        <w:rPr>
          <w:rFonts w:eastAsia="Times New Roman"/>
          <w:b/>
          <w:lang w:eastAsia="lv-LV"/>
        </w:rPr>
        <w:t xml:space="preserve">gadā starp pamatfunkciju un ES </w:t>
      </w:r>
      <w:r w:rsidRPr="003058B5">
        <w:rPr>
          <w:rFonts w:eastAsia="Times New Roman"/>
          <w:b/>
          <w:lang w:eastAsia="lv-LV"/>
        </w:rPr>
        <w:t>politiku instrumentu un pārējās ārvalstu finanšu palīdzības līdzfinansēto projektu un pasākumu īstenošanas</w:t>
      </w:r>
      <w:r>
        <w:rPr>
          <w:rFonts w:eastAsia="Times New Roman"/>
          <w:b/>
          <w:lang w:eastAsia="lv-LV"/>
        </w:rPr>
        <w:t xml:space="preserve"> izdevumiem, t.sk. budžeta apakšprogrammām </w:t>
      </w:r>
      <w:r w:rsidRPr="001A2DBB">
        <w:rPr>
          <w:rFonts w:eastAsia="Times New Roman"/>
          <w:b/>
          <w:lang w:eastAsia="lv-LV"/>
        </w:rPr>
        <w:t xml:space="preserve">20.01.00 </w:t>
      </w:r>
      <w:r w:rsidR="005E1561">
        <w:rPr>
          <w:rFonts w:cs="Times New Roman"/>
          <w:b/>
        </w:rPr>
        <w:t>“</w:t>
      </w:r>
      <w:r w:rsidRPr="001A2DBB">
        <w:rPr>
          <w:rFonts w:eastAsia="Times New Roman" w:cs="Times New Roman"/>
          <w:b/>
        </w:rPr>
        <w:t>Pārtikas drošības un veterinārmedicīnas valsts uzraudzība un kontrole”</w:t>
      </w:r>
      <w:r>
        <w:rPr>
          <w:rFonts w:eastAsia="Times New Roman" w:cs="Times New Roman"/>
          <w:b/>
        </w:rPr>
        <w:t xml:space="preserve"> (turpmāk – 20.01.00</w:t>
      </w:r>
      <w:r w:rsidRPr="0003203B">
        <w:rPr>
          <w:rFonts w:eastAsia="Times New Roman" w:cs="Times New Roman"/>
          <w:b/>
        </w:rPr>
        <w:t xml:space="preserve"> </w:t>
      </w:r>
      <w:r>
        <w:rPr>
          <w:rFonts w:eastAsia="Times New Roman" w:cs="Times New Roman"/>
          <w:b/>
        </w:rPr>
        <w:t>apakšprogramma)</w:t>
      </w:r>
      <w:r w:rsidRPr="001A2DBB">
        <w:rPr>
          <w:rFonts w:eastAsia="Times New Roman" w:cs="Times New Roman"/>
          <w:b/>
        </w:rPr>
        <w:t xml:space="preserve">, 20.02.00 </w:t>
      </w:r>
      <w:r w:rsidR="005E1561">
        <w:rPr>
          <w:rFonts w:cs="Times New Roman"/>
          <w:b/>
        </w:rPr>
        <w:t>“</w:t>
      </w:r>
      <w:r w:rsidRPr="00FD1259">
        <w:rPr>
          <w:rFonts w:cs="Times New Roman"/>
          <w:b/>
        </w:rPr>
        <w:t>Pārtikas aprites un veterinārmedicīnas valsts uzraudzības laboratoriskie izmeklējumi un riska zinātniskā novērtēšana</w:t>
      </w:r>
      <w:r w:rsidRPr="001A2DBB">
        <w:rPr>
          <w:rFonts w:cs="Times New Roman"/>
          <w:b/>
        </w:rPr>
        <w:t xml:space="preserve">” </w:t>
      </w:r>
      <w:r>
        <w:rPr>
          <w:rFonts w:eastAsia="Times New Roman" w:cs="Times New Roman"/>
          <w:b/>
        </w:rPr>
        <w:t>(turpmāk – 20.02.00</w:t>
      </w:r>
      <w:r w:rsidRPr="0003203B">
        <w:rPr>
          <w:rFonts w:eastAsia="Times New Roman" w:cs="Times New Roman"/>
          <w:b/>
        </w:rPr>
        <w:t xml:space="preserve"> </w:t>
      </w:r>
      <w:r>
        <w:rPr>
          <w:rFonts w:eastAsia="Times New Roman" w:cs="Times New Roman"/>
          <w:b/>
        </w:rPr>
        <w:t xml:space="preserve">apakšprogramma) </w:t>
      </w:r>
      <w:r w:rsidRPr="001A2DBB">
        <w:rPr>
          <w:rFonts w:cs="Times New Roman"/>
          <w:b/>
        </w:rPr>
        <w:t>un</w:t>
      </w:r>
      <w:r w:rsidRPr="001A2DBB">
        <w:rPr>
          <w:rFonts w:eastAsia="Times New Roman" w:cs="Times New Roman"/>
          <w:b/>
        </w:rPr>
        <w:t xml:space="preserve"> </w:t>
      </w:r>
      <w:r w:rsidRPr="001A2DBB">
        <w:rPr>
          <w:rFonts w:eastAsia="Times New Roman"/>
          <w:b/>
          <w:lang w:eastAsia="lv-LV"/>
        </w:rPr>
        <w:t xml:space="preserve">70.06.00 </w:t>
      </w:r>
      <w:r w:rsidR="005E1561">
        <w:rPr>
          <w:rFonts w:cs="Times New Roman"/>
          <w:b/>
        </w:rPr>
        <w:t>“</w:t>
      </w:r>
      <w:r w:rsidRPr="001A2DBB">
        <w:rPr>
          <w:rFonts w:eastAsia="Times New Roman" w:cs="Times New Roman"/>
          <w:b/>
        </w:rPr>
        <w:t xml:space="preserve">Izdevumi citu Eiropas Savienības politiku instrumentu projektu un pasākumu īstenošanai” </w:t>
      </w:r>
      <w:r>
        <w:rPr>
          <w:rFonts w:eastAsia="Times New Roman" w:cs="Times New Roman"/>
          <w:b/>
        </w:rPr>
        <w:t>(turpmāk – 70.06.00</w:t>
      </w:r>
      <w:r w:rsidRPr="0003203B">
        <w:rPr>
          <w:rFonts w:eastAsia="Times New Roman" w:cs="Times New Roman"/>
          <w:b/>
        </w:rPr>
        <w:t xml:space="preserve"> </w:t>
      </w:r>
      <w:r>
        <w:rPr>
          <w:rFonts w:eastAsia="Times New Roman" w:cs="Times New Roman"/>
          <w:b/>
        </w:rPr>
        <w:t xml:space="preserve">apakšprogramma) </w:t>
      </w:r>
      <w:r>
        <w:rPr>
          <w:rFonts w:eastAsia="Times New Roman"/>
          <w:b/>
        </w:rPr>
        <w:t>ietvaros, kā arī turpmāko saistību plānošanu 2022.</w:t>
      </w:r>
      <w:r w:rsidR="005E1561">
        <w:rPr>
          <w:rFonts w:eastAsia="Times New Roman"/>
          <w:b/>
        </w:rPr>
        <w:t xml:space="preserve"> </w:t>
      </w:r>
      <w:r>
        <w:rPr>
          <w:rFonts w:eastAsia="Times New Roman"/>
          <w:b/>
        </w:rPr>
        <w:t>gadā un turpmāk.</w:t>
      </w:r>
    </w:p>
    <w:p w14:paraId="24F197E7" w14:textId="77777777" w:rsidR="002E0F43" w:rsidRPr="002E0F43" w:rsidRDefault="002E0F43" w:rsidP="005131FD">
      <w:pPr>
        <w:spacing w:after="120"/>
        <w:ind w:firstLine="714"/>
        <w:jc w:val="both"/>
        <w:rPr>
          <w:rFonts w:eastAsia="Times New Roman" w:cs="Times New Roman"/>
          <w:u w:val="single"/>
        </w:rPr>
      </w:pPr>
      <w:r w:rsidRPr="002E0F43">
        <w:rPr>
          <w:rFonts w:eastAsia="Times New Roman" w:cs="Times New Roman"/>
          <w:u w:val="single"/>
        </w:rPr>
        <w:t>ZM identificētie problēmjautājumi:</w:t>
      </w:r>
    </w:p>
    <w:p w14:paraId="635D46FE" w14:textId="075D3C6B" w:rsidR="002E0F43" w:rsidRPr="005131FD" w:rsidRDefault="002E0F43" w:rsidP="005131FD">
      <w:pPr>
        <w:spacing w:after="120"/>
        <w:ind w:firstLine="714"/>
        <w:jc w:val="both"/>
        <w:rPr>
          <w:rFonts w:eastAsia="Times New Roman" w:cs="Times New Roman"/>
        </w:rPr>
      </w:pPr>
      <w:r w:rsidRPr="005131FD">
        <w:rPr>
          <w:rFonts w:eastAsia="Times New Roman" w:cs="Times New Roman"/>
        </w:rPr>
        <w:t>Uzraudzības un kontroles pasākumi dzīvnieku veselības un pārtikas un dzīvnieku barības nekaitīguma uzraudzības pasākumu īstenošanai pamatā tiek veikti, lai nodrošinātu ES normatīvajos aktos noteikto prasību izpildi, bet finansējums tam tiek plānots gan pamatfunkciju apakšprogrammās, gan ES tiesību aktos noteikto dzīvnieku veselības un pārtikas un dzīvnieku barības nekaitīguma uzraudzības pasākumu īstenošanai apakšprogrammās, proti:</w:t>
      </w:r>
    </w:p>
    <w:p w14:paraId="0C796275" w14:textId="4E95FEC8" w:rsidR="002E0F43" w:rsidRPr="002872F6" w:rsidRDefault="002E0F43" w:rsidP="00911783">
      <w:pPr>
        <w:pStyle w:val="ListParagraph"/>
        <w:numPr>
          <w:ilvl w:val="1"/>
          <w:numId w:val="37"/>
        </w:numPr>
        <w:spacing w:after="120"/>
        <w:ind w:left="714" w:hanging="357"/>
        <w:contextualSpacing w:val="0"/>
        <w:jc w:val="both"/>
        <w:rPr>
          <w:rFonts w:eastAsia="Times New Roman" w:cs="Times New Roman"/>
        </w:rPr>
      </w:pPr>
      <w:r>
        <w:rPr>
          <w:rFonts w:eastAsia="Times New Roman" w:cs="Times New Roman"/>
        </w:rPr>
        <w:t>PVD</w:t>
      </w:r>
      <w:r w:rsidRPr="002872F6">
        <w:rPr>
          <w:rFonts w:eastAsia="Times New Roman" w:cs="Times New Roman"/>
        </w:rPr>
        <w:t xml:space="preserve"> veicamo uzraudzības darbību veikšanai 20.01.00 apakšprogrammā un </w:t>
      </w:r>
      <w:r w:rsidRPr="002872F6">
        <w:rPr>
          <w:rFonts w:cs="Times New Roman"/>
        </w:rPr>
        <w:t>70.06.00</w:t>
      </w:r>
      <w:r w:rsidRPr="002872F6">
        <w:rPr>
          <w:rFonts w:eastAsia="Times New Roman" w:cs="Times New Roman"/>
        </w:rPr>
        <w:t xml:space="preserve"> apakšp</w:t>
      </w:r>
      <w:r w:rsidRPr="002872F6">
        <w:rPr>
          <w:rFonts w:cs="Times New Roman"/>
        </w:rPr>
        <w:t>rogrammā</w:t>
      </w:r>
      <w:r>
        <w:rPr>
          <w:rFonts w:cs="Times New Roman"/>
        </w:rPr>
        <w:t>;</w:t>
      </w:r>
    </w:p>
    <w:p w14:paraId="27C2D05D" w14:textId="436D042F" w:rsidR="002E0F43" w:rsidRPr="002872F6" w:rsidRDefault="002E0F43" w:rsidP="00911783">
      <w:pPr>
        <w:pStyle w:val="ListParagraph"/>
        <w:numPr>
          <w:ilvl w:val="1"/>
          <w:numId w:val="37"/>
        </w:numPr>
        <w:spacing w:after="120"/>
        <w:ind w:left="714" w:hanging="357"/>
        <w:contextualSpacing w:val="0"/>
        <w:jc w:val="both"/>
        <w:rPr>
          <w:rFonts w:eastAsia="Times New Roman" w:cs="Times New Roman"/>
        </w:rPr>
      </w:pPr>
      <w:r>
        <w:rPr>
          <w:rFonts w:cs="Times New Roman"/>
        </w:rPr>
        <w:t>BIOR</w:t>
      </w:r>
      <w:r w:rsidRPr="002872F6">
        <w:rPr>
          <w:rFonts w:eastAsia="Times New Roman" w:cs="Times New Roman"/>
        </w:rPr>
        <w:t xml:space="preserve"> </w:t>
      </w:r>
      <w:r w:rsidRPr="002872F6">
        <w:rPr>
          <w:rFonts w:cs="Times New Roman"/>
        </w:rPr>
        <w:t xml:space="preserve"> laboratorisko un diagnostisko izmeklējumu un ar tiem saistīto darbību veikšanai </w:t>
      </w:r>
      <w:r w:rsidRPr="002872F6">
        <w:rPr>
          <w:rFonts w:eastAsia="Times New Roman" w:cs="Times New Roman"/>
        </w:rPr>
        <w:t>20.02.00 apakšp</w:t>
      </w:r>
      <w:r w:rsidRPr="002872F6">
        <w:rPr>
          <w:rFonts w:cs="Times New Roman"/>
        </w:rPr>
        <w:t xml:space="preserve">rogrammā </w:t>
      </w:r>
      <w:r w:rsidRPr="002872F6">
        <w:rPr>
          <w:rFonts w:eastAsia="Times New Roman" w:cs="Times New Roman"/>
        </w:rPr>
        <w:t xml:space="preserve">un </w:t>
      </w:r>
      <w:r w:rsidRPr="002872F6">
        <w:rPr>
          <w:rFonts w:cs="Times New Roman"/>
        </w:rPr>
        <w:t>70.06.00</w:t>
      </w:r>
      <w:r w:rsidRPr="002872F6">
        <w:rPr>
          <w:rFonts w:eastAsia="Times New Roman" w:cs="Times New Roman"/>
        </w:rPr>
        <w:t xml:space="preserve"> apakšp</w:t>
      </w:r>
      <w:r w:rsidRPr="002872F6">
        <w:rPr>
          <w:rFonts w:cs="Times New Roman"/>
        </w:rPr>
        <w:t>rogrammā.</w:t>
      </w:r>
    </w:p>
    <w:p w14:paraId="7EAD0271" w14:textId="62ABB1EF" w:rsidR="002E0F43" w:rsidRDefault="002E0F43" w:rsidP="00911783">
      <w:pPr>
        <w:spacing w:after="120"/>
        <w:ind w:firstLine="714"/>
        <w:jc w:val="both"/>
        <w:rPr>
          <w:rFonts w:eastAsia="Times New Roman" w:cs="Times New Roman"/>
        </w:rPr>
      </w:pPr>
      <w:r w:rsidRPr="002E0F43">
        <w:rPr>
          <w:rFonts w:eastAsia="Times New Roman" w:cs="Times New Roman"/>
        </w:rPr>
        <w:t xml:space="preserve">Izdevumi 70.06.00 apakšprogrammā mainās atkarībā no Eiropas Komisijas līdzfinansējuma nosacījumiem īstenojamām programmām un prioritātēm, epidemioloģiskās situācijas Latvijā, kā arī citiem apstākļiem, kuri iepriekš ne vienmēr ir paredzami. Eiropas Komisija noteiktu programmu atsevišķus pasākumus līdzfinansē līdz 75 % apmērā, turklāt </w:t>
      </w:r>
      <w:r w:rsidRPr="002E0F43">
        <w:rPr>
          <w:rFonts w:eastAsia="Times New Roman" w:cs="Times New Roman"/>
        </w:rPr>
        <w:lastRenderedPageBreak/>
        <w:t>nosakot maksimālo līdzfinansējuma apjomu par konkrēto pozīciju. Lai realizētu visas programmas kopumā, papildus Eiropas Komisijas finansējumam ir nepieciešams līd</w:t>
      </w:r>
      <w:r w:rsidR="004322CA">
        <w:rPr>
          <w:rFonts w:eastAsia="Times New Roman" w:cs="Times New Roman"/>
        </w:rPr>
        <w:t>zfinansējums no valsts budžeta.</w:t>
      </w:r>
    </w:p>
    <w:p w14:paraId="14119C54" w14:textId="7E79763F" w:rsidR="002E0F43" w:rsidRPr="005131FD" w:rsidRDefault="002E0F43" w:rsidP="005131FD">
      <w:pPr>
        <w:spacing w:after="120"/>
        <w:ind w:firstLine="714"/>
        <w:jc w:val="both"/>
        <w:rPr>
          <w:rFonts w:eastAsia="Times New Roman" w:cs="Times New Roman"/>
        </w:rPr>
      </w:pPr>
      <w:r w:rsidRPr="005131FD">
        <w:rPr>
          <w:rFonts w:eastAsia="Times New Roman" w:cs="Times New Roman"/>
        </w:rPr>
        <w:t xml:space="preserve">Saskaņā ar </w:t>
      </w:r>
      <w:r w:rsidR="004322CA" w:rsidRPr="005131FD">
        <w:rPr>
          <w:rFonts w:eastAsia="Times New Roman" w:cs="Times New Roman"/>
        </w:rPr>
        <w:t>MK</w:t>
      </w:r>
      <w:r w:rsidRPr="005131FD">
        <w:rPr>
          <w:rFonts w:eastAsia="Times New Roman" w:cs="Times New Roman"/>
        </w:rPr>
        <w:t xml:space="preserve"> 2014.</w:t>
      </w:r>
      <w:r w:rsidR="0021601A">
        <w:rPr>
          <w:rFonts w:eastAsia="Times New Roman" w:cs="Times New Roman"/>
        </w:rPr>
        <w:t xml:space="preserve"> </w:t>
      </w:r>
      <w:r w:rsidRPr="005131FD">
        <w:rPr>
          <w:rFonts w:eastAsia="Times New Roman" w:cs="Times New Roman"/>
        </w:rPr>
        <w:t>gada 4.</w:t>
      </w:r>
      <w:r w:rsidR="0021601A">
        <w:rPr>
          <w:rFonts w:eastAsia="Times New Roman" w:cs="Times New Roman"/>
        </w:rPr>
        <w:t xml:space="preserve"> </w:t>
      </w:r>
      <w:r w:rsidRPr="005131FD">
        <w:rPr>
          <w:rFonts w:eastAsia="Times New Roman" w:cs="Times New Roman"/>
        </w:rPr>
        <w:t xml:space="preserve">septembra sēdes protokollēmumu Nr.47 1.§ 3.punktu PVD uz laiku tika izveidotas 20 inspektoru amata vietas un, pamatojoties uz </w:t>
      </w:r>
      <w:r w:rsidR="004322CA" w:rsidRPr="005131FD">
        <w:rPr>
          <w:rFonts w:eastAsia="Times New Roman" w:cs="Times New Roman"/>
        </w:rPr>
        <w:t>MK</w:t>
      </w:r>
      <w:r w:rsidRPr="005131FD">
        <w:rPr>
          <w:rFonts w:eastAsia="Times New Roman" w:cs="Times New Roman"/>
        </w:rPr>
        <w:t xml:space="preserve"> 2018.gada 18.decembra sēdes protokollēmumu Nr.60 104.§ 3.punktu, termiņš, līdz kuram amata vietas izveidotas, pagarināts līdz 2023.gada 31.decembrim. Ar minēto protokollēmumu tika piešķirts arī finansējums atlīdzībai un uzturēšanai 20 amata vietām. Lai gan piešķirtais finansējums un atļauja izveidot papildu amata vietas uz laiku radīja apstākļus sekmīgai Āfrikas cūku mēra uzraudzības un apkarošanas pasākumu īstenošanai, nepieciešams nodrošināt arī citu funkciju īstenošanu un nav lietderīgi noteikt inspektoram amata pienākumus tikai vienā jomā. Tāpat uz noteiktu laiku izveidotās amata vietas nav pieprasītas no darba meklētāju puses un PVD ir problemātiski tās aizpildīt un nodrošināt  kvalificētu darbinieku piesaisti.</w:t>
      </w:r>
    </w:p>
    <w:p w14:paraId="59AB0948" w14:textId="6F87EB35" w:rsidR="002E0F43" w:rsidRPr="005131FD" w:rsidRDefault="002E0F43" w:rsidP="005131FD">
      <w:pPr>
        <w:spacing w:after="120"/>
        <w:ind w:firstLine="714"/>
        <w:jc w:val="both"/>
        <w:rPr>
          <w:rFonts w:eastAsia="Times New Roman" w:cs="Times New Roman"/>
        </w:rPr>
      </w:pPr>
      <w:r w:rsidRPr="005131FD">
        <w:rPr>
          <w:rFonts w:eastAsia="Times New Roman" w:cs="Times New Roman"/>
        </w:rPr>
        <w:t xml:space="preserve">Ar </w:t>
      </w:r>
      <w:r w:rsidR="004322CA" w:rsidRPr="005131FD">
        <w:rPr>
          <w:rFonts w:eastAsia="Times New Roman" w:cs="Times New Roman"/>
        </w:rPr>
        <w:t>MK</w:t>
      </w:r>
      <w:r w:rsidRPr="005131FD">
        <w:rPr>
          <w:rFonts w:eastAsia="Times New Roman" w:cs="Times New Roman"/>
        </w:rPr>
        <w:t xml:space="preserve"> 2018.gada 18.decembra sēdes protokollēmumu Nr.60 104.§ PVD tika piešķirts finansējums piemaksām strādājošajiem teritoriālajās struktūrvienībās un robežkontroles punktos ar inspektora pilnvarojumu par personisko darba ieguldījumu un darba kvalitāti, kā arī virsstundu darba apmaksai vai piemaksai par pasākumu koordinēšanas darbu</w:t>
      </w:r>
      <w:r w:rsidRPr="001E5228">
        <w:t xml:space="preserve"> </w:t>
      </w:r>
      <w:r w:rsidRPr="005131FD">
        <w:rPr>
          <w:rFonts w:eastAsia="Times New Roman" w:cs="Times New Roman"/>
        </w:rPr>
        <w:t xml:space="preserve">Āfrikas cūku mēra uzraudzības un apkarošanas programmas īstenošanas ietvaros. Finansējums piešķirts 70.06.00 apakšprogrammā. Virsstundu darbs un atalgojuma apjoma nodrošināšana ar piemaksām nav uzskatāms par ilgtermiņa risinājumu, lai </w:t>
      </w:r>
      <w:r w:rsidR="004322CA" w:rsidRPr="005131FD">
        <w:rPr>
          <w:rFonts w:eastAsia="Times New Roman" w:cs="Times New Roman"/>
        </w:rPr>
        <w:t>PVD</w:t>
      </w:r>
      <w:r w:rsidRPr="005131FD">
        <w:rPr>
          <w:rFonts w:eastAsia="Times New Roman" w:cs="Times New Roman"/>
        </w:rPr>
        <w:t xml:space="preserve"> tiktu nodrošināts ar profesionāliem un kvalificētiem darbiniekiem. </w:t>
      </w:r>
      <w:r w:rsidR="004322CA" w:rsidRPr="005131FD">
        <w:rPr>
          <w:rFonts w:eastAsia="Times New Roman" w:cs="Times New Roman"/>
        </w:rPr>
        <w:t>PVD</w:t>
      </w:r>
      <w:r w:rsidRPr="005131FD">
        <w:rPr>
          <w:rFonts w:eastAsia="Times New Roman" w:cs="Times New Roman"/>
        </w:rPr>
        <w:t xml:space="preserve"> pēdējo trīs gadu laikā personāla rotācijas koeficients vidēji ir 0,13, tomēr no darba vidēji gadā aizgājuši 40 profesionāli spējīgi un kompetenti dažādu jomu speciālisti, par vienu no iemesliem minot atalgojuma struktūru un apmēru. Esošās finansējuma struktūras ietvaros nav iespējams motivēt darbiniekus ar augstākiem darba rezultātiem un darba novērtējumu, kā arī nav iespējams vairs piesaistīt jaunus spējīgus speciālistus ar dienesta funkciju veikšanai atbilstošu izglītību, kam kā galvenais iemesls ir atalgojuma apmēra nesamērīgums ar amata atbildību un prasībām, kuras nav iespējams samazināt, lai neciestu dienesta funkciju izpildes kvalitāte visā Latvijā.</w:t>
      </w:r>
    </w:p>
    <w:p w14:paraId="5A5D36A1" w14:textId="33135507" w:rsidR="002E0F43" w:rsidRPr="005131FD" w:rsidRDefault="002E0F43" w:rsidP="005131FD">
      <w:pPr>
        <w:spacing w:after="120"/>
        <w:ind w:firstLine="714"/>
        <w:jc w:val="both"/>
        <w:rPr>
          <w:rFonts w:eastAsia="Times New Roman" w:cs="Times New Roman"/>
        </w:rPr>
      </w:pPr>
      <w:r w:rsidRPr="005131FD">
        <w:rPr>
          <w:rFonts w:eastAsia="Times New Roman" w:cs="Times New Roman"/>
        </w:rPr>
        <w:t>References laboratorijas funkcijas nodrošināšanai finansējums BIOR piešķirts 20.02.00 apakšprogrammā un 70.06.00 apakšprogrammā (kā daļa no dzīvnieku veselības un pārtikas un dzīvnieku barības nekaitīguma jomā programmu finansējuma). Esošais finansējuma sadalījums dažādās budžeta apakšprogrammās neatbilst esošajai situācijai references laboratorijas darbībā un tas nav lietderīgs. References laboratorijas darbība ir multidisciplināra un veicamās darbības saistītas ar vairākām jomām gan attiecībā uz laboratorijas tehnoloģijām, gan ekspertu līmenī, piemēram, veicot gan dzīvnieka, gan vīrusa un arī baktērijas pilna genoma vai genoma daļas sekvenēšanu. Tāpat ar vairākām jomām saistīti tādi uzdevumi kā ierosinātāju celmu, paraugu bankas, ierosinātāju antigēnu bankas izveidošana un uzturēšana, diagnostisko reaģentu komplektu krājumu, specifisko imūnglobulīnu un serumu bankas veidošana.</w:t>
      </w:r>
    </w:p>
    <w:p w14:paraId="0216672D" w14:textId="3880E425" w:rsidR="002E0F43" w:rsidRPr="005131FD" w:rsidRDefault="003738E5" w:rsidP="005131FD">
      <w:pPr>
        <w:spacing w:after="120"/>
        <w:ind w:firstLine="714"/>
        <w:jc w:val="both"/>
        <w:rPr>
          <w:rFonts w:eastAsia="Times New Roman" w:cs="Times New Roman"/>
        </w:rPr>
      </w:pPr>
      <w:r w:rsidRPr="005131FD">
        <w:rPr>
          <w:rFonts w:eastAsia="Times New Roman" w:cs="Times New Roman"/>
        </w:rPr>
        <w:t>VKo</w:t>
      </w:r>
      <w:r w:rsidR="002E0F43" w:rsidRPr="005131FD">
        <w:rPr>
          <w:rFonts w:cs="Times New Roman"/>
        </w:rPr>
        <w:t xml:space="preserve"> revīzijas ziņojumā „Āfrikas un klasiskā cūku mēra apkarošanai piešķirtā finansējuma izlietojuma izvērtējums” Nr.2.4.1-20/2015 tika norādīts uz nepieciešamību ZM izvērtēt iespēju pārskatīt budžeta 70.06.00 apakšprogrammas plānošanu atbilstoši faktiskajiem finansējuma mērķiem, kā arī V</w:t>
      </w:r>
      <w:r w:rsidR="004322CA" w:rsidRPr="005131FD">
        <w:rPr>
          <w:rFonts w:cs="Times New Roman"/>
        </w:rPr>
        <w:t xml:space="preserve">Ko </w:t>
      </w:r>
      <w:r w:rsidR="002E0F43" w:rsidRPr="005131FD">
        <w:rPr>
          <w:rFonts w:cs="Times New Roman"/>
        </w:rPr>
        <w:t xml:space="preserve">ziņojumā „Vai maksājam pamatotā apmērā par laboratorisko kontroli un zivju resursu ilgtspējīgu saglabāšanu?” lietderības revīzijas lietā Nr. 2.4.1-15/2017 ZM un BIOR tika sniegti ieteikumiem, kas skāra BIOR laboratorisko izmeklējumu cenu veidošanu. </w:t>
      </w:r>
    </w:p>
    <w:p w14:paraId="596DEA4B" w14:textId="458B1972" w:rsidR="002E0F43" w:rsidRPr="005131FD" w:rsidRDefault="004322CA" w:rsidP="005131FD">
      <w:pPr>
        <w:spacing w:after="120"/>
        <w:ind w:firstLine="720"/>
        <w:jc w:val="both"/>
        <w:rPr>
          <w:rFonts w:eastAsia="Times New Roman" w:cs="Times New Roman"/>
        </w:rPr>
      </w:pPr>
      <w:r w:rsidRPr="005131FD">
        <w:rPr>
          <w:rFonts w:eastAsia="Times New Roman" w:cs="Times New Roman"/>
        </w:rPr>
        <w:lastRenderedPageBreak/>
        <w:t>ES</w:t>
      </w:r>
      <w:r w:rsidR="002E0F43" w:rsidRPr="005131FD">
        <w:rPr>
          <w:rFonts w:eastAsia="Times New Roman" w:cs="Times New Roman"/>
        </w:rPr>
        <w:t xml:space="preserve"> tiesību aktos noteikto dzīvnieku veselības un pārtikas un dzīvnieku barības nekaitīguma uzraudzības programmu īstenošanai kopumā nacionālajā līmenī nav noteikti nosacījumi attiecībā uz finansējuma apmēru to īstenošanai (izņemot Āfrikas cūku mēra uzraudzības un apkarošanas programmu), kas rada problēmsituāciju attiecībā uz ZM bāzes izdevumu plānošanu, ievērojot </w:t>
      </w:r>
      <w:r w:rsidRPr="005131FD">
        <w:rPr>
          <w:rFonts w:eastAsia="Times New Roman" w:cs="Times New Roman"/>
        </w:rPr>
        <w:t>MK</w:t>
      </w:r>
      <w:r w:rsidR="002E0F43" w:rsidRPr="005131FD">
        <w:rPr>
          <w:rFonts w:eastAsia="Times New Roman" w:cs="Times New Roman"/>
        </w:rPr>
        <w:t xml:space="preserve"> 2012.</w:t>
      </w:r>
      <w:r w:rsidR="0021601A">
        <w:rPr>
          <w:rFonts w:eastAsia="Times New Roman" w:cs="Times New Roman"/>
        </w:rPr>
        <w:t xml:space="preserve"> </w:t>
      </w:r>
      <w:r w:rsidR="002E0F43" w:rsidRPr="005131FD">
        <w:rPr>
          <w:rFonts w:eastAsia="Times New Roman" w:cs="Times New Roman"/>
        </w:rPr>
        <w:t>gada</w:t>
      </w:r>
      <w:r w:rsidR="0021601A">
        <w:rPr>
          <w:rFonts w:eastAsia="Times New Roman" w:cs="Times New Roman"/>
        </w:rPr>
        <w:t xml:space="preserve"> </w:t>
      </w:r>
      <w:r w:rsidR="002E0F43" w:rsidRPr="005131FD">
        <w:rPr>
          <w:rFonts w:eastAsia="Times New Roman" w:cs="Times New Roman"/>
        </w:rPr>
        <w:t>11.</w:t>
      </w:r>
      <w:r w:rsidR="0021601A">
        <w:rPr>
          <w:rFonts w:eastAsia="Times New Roman" w:cs="Times New Roman"/>
        </w:rPr>
        <w:t xml:space="preserve"> </w:t>
      </w:r>
      <w:r w:rsidR="002E0F43" w:rsidRPr="005131FD">
        <w:rPr>
          <w:rFonts w:eastAsia="Times New Roman" w:cs="Times New Roman"/>
        </w:rPr>
        <w:t>decembra noteikumos Nr.867 “Kārtība, kādā nosakāms maksimāli pieļaujamais valsts budžeta izdevumu kopapjoms un maksimāli pieļaujamais valsts budžeta izdevumu kopējais apjoms katrai ministrijai un citām centrālajām valsts iestādēm vidējam termiņam” paredzētos nosacījumus.</w:t>
      </w:r>
    </w:p>
    <w:p w14:paraId="7A60061E" w14:textId="53068538" w:rsidR="002E0F43" w:rsidRPr="004322CA" w:rsidRDefault="002E0F43" w:rsidP="00911783">
      <w:pPr>
        <w:spacing w:after="120"/>
        <w:ind w:firstLine="720"/>
        <w:jc w:val="both"/>
        <w:rPr>
          <w:rFonts w:cs="Times New Roman"/>
          <w:u w:val="single"/>
        </w:rPr>
      </w:pPr>
      <w:r w:rsidRPr="00EE7823">
        <w:rPr>
          <w:rFonts w:cs="Times New Roman"/>
          <w:u w:val="single"/>
        </w:rPr>
        <w:t>Priekšlikum</w:t>
      </w:r>
      <w:r w:rsidR="004322CA">
        <w:rPr>
          <w:rFonts w:cs="Times New Roman"/>
          <w:u w:val="single"/>
        </w:rPr>
        <w:t>i problēmjautājumu risināšanai:</w:t>
      </w:r>
    </w:p>
    <w:p w14:paraId="50D79C8A" w14:textId="59CE5E7B" w:rsidR="002E0F43" w:rsidRPr="005131FD" w:rsidRDefault="002E0F43" w:rsidP="005131FD">
      <w:pPr>
        <w:spacing w:after="120"/>
        <w:ind w:firstLine="714"/>
        <w:jc w:val="both"/>
        <w:rPr>
          <w:rFonts w:cs="Times New Roman"/>
        </w:rPr>
      </w:pPr>
      <w:r w:rsidRPr="005131FD">
        <w:rPr>
          <w:rFonts w:cs="Times New Roman"/>
        </w:rPr>
        <w:t xml:space="preserve">Finansējumu </w:t>
      </w:r>
      <w:r w:rsidRPr="005131FD">
        <w:rPr>
          <w:rFonts w:eastAsia="Times New Roman"/>
          <w:lang w:eastAsia="lv-LV"/>
        </w:rPr>
        <w:t>dzīvnieku veselības un pārtikas un dzīvnieku barības nekaitīguma uzraudzības</w:t>
      </w:r>
      <w:r w:rsidRPr="005131FD">
        <w:rPr>
          <w:rFonts w:eastAsia="Times New Roman"/>
          <w:b/>
          <w:lang w:eastAsia="lv-LV"/>
        </w:rPr>
        <w:t xml:space="preserve"> </w:t>
      </w:r>
      <w:r w:rsidRPr="005131FD">
        <w:rPr>
          <w:rFonts w:cs="Times New Roman"/>
        </w:rPr>
        <w:t xml:space="preserve">pasākumiem plānot 70.06.00 apakšprogrammā, jo tie noteikti saskaņā ar </w:t>
      </w:r>
      <w:r w:rsidR="004322CA" w:rsidRPr="005131FD">
        <w:rPr>
          <w:rFonts w:cs="Times New Roman"/>
        </w:rPr>
        <w:t>ES</w:t>
      </w:r>
      <w:r w:rsidRPr="005131FD">
        <w:rPr>
          <w:rFonts w:cs="Times New Roman"/>
        </w:rPr>
        <w:t xml:space="preserve"> tiesību aktu prasībām un to īstenošana ir ilgtermiņa pasākums ar </w:t>
      </w:r>
      <w:r w:rsidR="004322CA" w:rsidRPr="005131FD">
        <w:rPr>
          <w:rFonts w:cs="Times New Roman"/>
        </w:rPr>
        <w:t>ES</w:t>
      </w:r>
      <w:r w:rsidRPr="005131FD">
        <w:rPr>
          <w:rFonts w:cs="Times New Roman"/>
        </w:rPr>
        <w:t xml:space="preserve"> daļēju līdzfinansējumu (detalizēta informācija par uzraudzības programmām un tām nepieciešamo finansējumu sniegta ziņojuma </w:t>
      </w:r>
      <w:r w:rsidR="004322CA" w:rsidRPr="005131FD">
        <w:rPr>
          <w:rFonts w:cs="Times New Roman"/>
        </w:rPr>
        <w:t>4</w:t>
      </w:r>
      <w:r w:rsidRPr="005131FD">
        <w:rPr>
          <w:rFonts w:cs="Times New Roman"/>
        </w:rPr>
        <w:t>.pielikumā):</w:t>
      </w:r>
    </w:p>
    <w:p w14:paraId="7A9D4CD8" w14:textId="2C61C94C" w:rsidR="002E0F43" w:rsidRDefault="002E0F43" w:rsidP="00911783">
      <w:pPr>
        <w:pStyle w:val="ListParagraph"/>
        <w:numPr>
          <w:ilvl w:val="1"/>
          <w:numId w:val="38"/>
        </w:numPr>
        <w:spacing w:after="120"/>
        <w:ind w:left="714" w:hanging="357"/>
        <w:contextualSpacing w:val="0"/>
        <w:jc w:val="both"/>
        <w:rPr>
          <w:rFonts w:cs="Times New Roman"/>
        </w:rPr>
      </w:pPr>
      <w:r w:rsidRPr="00103975">
        <w:rPr>
          <w:rFonts w:cs="Times New Roman"/>
        </w:rPr>
        <w:t xml:space="preserve">Finansējumu uzraudzības pasākumiem dzīvnieku veselības jomā (neplānoto gadījumu kontrole) </w:t>
      </w:r>
      <w:r w:rsidRPr="00B964CC">
        <w:t xml:space="preserve">26 840 </w:t>
      </w:r>
      <w:r w:rsidRPr="00614F8C">
        <w:rPr>
          <w:rFonts w:cs="Times New Roman"/>
          <w:i/>
        </w:rPr>
        <w:t>euro</w:t>
      </w:r>
      <w:r w:rsidRPr="00103975">
        <w:rPr>
          <w:rFonts w:cs="Times New Roman"/>
        </w:rPr>
        <w:t xml:space="preserve"> un uzraudzības pasākumiem pārtikas un dzīvnieku barības nekaitīguma jomā (paraugu iepakojumi) 1 423 </w:t>
      </w:r>
      <w:r w:rsidRPr="00614F8C">
        <w:rPr>
          <w:rFonts w:cs="Times New Roman"/>
          <w:i/>
        </w:rPr>
        <w:t>euro</w:t>
      </w:r>
      <w:r w:rsidRPr="00103975">
        <w:rPr>
          <w:rFonts w:cs="Times New Roman"/>
        </w:rPr>
        <w:t>, kas šobrīd tiek plānoti 20.01.00 apakšprogrammā, pārcelt uz 70.06.00 apakšprogrammu</w:t>
      </w:r>
      <w:r>
        <w:rPr>
          <w:rFonts w:cs="Times New Roman"/>
        </w:rPr>
        <w:t xml:space="preserve"> (2021.</w:t>
      </w:r>
      <w:r w:rsidR="0021601A">
        <w:rPr>
          <w:rFonts w:cs="Times New Roman"/>
        </w:rPr>
        <w:t xml:space="preserve"> </w:t>
      </w:r>
      <w:r>
        <w:rPr>
          <w:rFonts w:cs="Times New Roman"/>
        </w:rPr>
        <w:t>gadā un turpmāk ik gadu)</w:t>
      </w:r>
      <w:r w:rsidRPr="00103975">
        <w:rPr>
          <w:rFonts w:cs="Times New Roman"/>
        </w:rPr>
        <w:t>.</w:t>
      </w:r>
    </w:p>
    <w:p w14:paraId="7F99FE30" w14:textId="612FF90E" w:rsidR="002E0F43" w:rsidRDefault="002E0F43" w:rsidP="00911783">
      <w:pPr>
        <w:pStyle w:val="ListParagraph"/>
        <w:numPr>
          <w:ilvl w:val="1"/>
          <w:numId w:val="38"/>
        </w:numPr>
        <w:spacing w:after="120"/>
        <w:ind w:left="714" w:hanging="357"/>
        <w:contextualSpacing w:val="0"/>
        <w:jc w:val="both"/>
        <w:rPr>
          <w:rFonts w:cs="Times New Roman"/>
        </w:rPr>
      </w:pPr>
      <w:r w:rsidRPr="00103975">
        <w:rPr>
          <w:rFonts w:cs="Times New Roman"/>
        </w:rPr>
        <w:t xml:space="preserve">Finansējumu laboratoriskajiem izmeklējumiem dzīvnieku veselības jomā (3 programmas) 108 294 </w:t>
      </w:r>
      <w:r w:rsidRPr="00614F8C">
        <w:rPr>
          <w:rFonts w:cs="Times New Roman"/>
          <w:i/>
        </w:rPr>
        <w:t>euro</w:t>
      </w:r>
      <w:r w:rsidRPr="00103975">
        <w:rPr>
          <w:rFonts w:cs="Times New Roman"/>
        </w:rPr>
        <w:t xml:space="preserve"> un laboratoriskajiem izmeklējumi pārtikas un dzīvnieku barības nekaitīguma jomā (ES) (16 programmas)</w:t>
      </w:r>
      <w:r w:rsidRPr="00951ABC">
        <w:t xml:space="preserve"> </w:t>
      </w:r>
      <w:r w:rsidRPr="00103975">
        <w:rPr>
          <w:rFonts w:cs="Times New Roman"/>
        </w:rPr>
        <w:t xml:space="preserve">614 108 </w:t>
      </w:r>
      <w:r w:rsidRPr="00614F8C">
        <w:rPr>
          <w:rFonts w:cs="Times New Roman"/>
          <w:i/>
        </w:rPr>
        <w:t xml:space="preserve">euro </w:t>
      </w:r>
      <w:r w:rsidRPr="00103975">
        <w:rPr>
          <w:rFonts w:cs="Times New Roman"/>
        </w:rPr>
        <w:t>apmērā, kas šobrīd tiek plānoti 20.02.00 apakšprogrammā, pārcelt uz 70.06.00 apakšprogrammu</w:t>
      </w:r>
      <w:r>
        <w:rPr>
          <w:rFonts w:cs="Times New Roman"/>
        </w:rPr>
        <w:t xml:space="preserve"> (2021.</w:t>
      </w:r>
      <w:r w:rsidR="0021601A">
        <w:rPr>
          <w:rFonts w:cs="Times New Roman"/>
        </w:rPr>
        <w:t xml:space="preserve"> g</w:t>
      </w:r>
      <w:r>
        <w:rPr>
          <w:rFonts w:cs="Times New Roman"/>
        </w:rPr>
        <w:t>adā un turpmāk ik gadu)</w:t>
      </w:r>
      <w:r w:rsidRPr="00103975">
        <w:rPr>
          <w:rFonts w:cs="Times New Roman"/>
        </w:rPr>
        <w:t>.</w:t>
      </w:r>
    </w:p>
    <w:p w14:paraId="51B9843A" w14:textId="77777777" w:rsidR="002E0F43" w:rsidRPr="00A747A8" w:rsidRDefault="002E0F43" w:rsidP="00911783">
      <w:pPr>
        <w:pStyle w:val="ListParagraph"/>
        <w:numPr>
          <w:ilvl w:val="1"/>
          <w:numId w:val="38"/>
        </w:numPr>
        <w:spacing w:after="120"/>
        <w:ind w:left="714" w:hanging="357"/>
        <w:contextualSpacing w:val="0"/>
        <w:jc w:val="both"/>
        <w:rPr>
          <w:rFonts w:cs="Times New Roman"/>
        </w:rPr>
      </w:pPr>
      <w:r w:rsidRPr="00A747A8">
        <w:rPr>
          <w:rFonts w:cs="Times New Roman"/>
        </w:rPr>
        <w:t xml:space="preserve">Veikt izmaiņas starp uzraudzības pasākumi dzīvnieku veselības jomā un pārtikas un dzīvnieku barības nekaitīguma jomā 70.06.00 apakšprogrammas ietvaros 2021.gadā atsevišķās uzraudzības programmās samazinot finansējumu par 615 021 </w:t>
      </w:r>
      <w:r w:rsidRPr="00614F8C">
        <w:rPr>
          <w:rFonts w:cs="Times New Roman"/>
          <w:i/>
        </w:rPr>
        <w:t>euro</w:t>
      </w:r>
      <w:r w:rsidRPr="00A747A8">
        <w:rPr>
          <w:rFonts w:cs="Times New Roman"/>
        </w:rPr>
        <w:t xml:space="preserve"> (t.sk. samazinājums 173</w:t>
      </w:r>
      <w:r>
        <w:rPr>
          <w:rFonts w:cs="Times New Roman"/>
        </w:rPr>
        <w:t> </w:t>
      </w:r>
      <w:r w:rsidRPr="00A747A8">
        <w:rPr>
          <w:rFonts w:cs="Times New Roman"/>
        </w:rPr>
        <w:t>693</w:t>
      </w:r>
      <w:r>
        <w:rPr>
          <w:rFonts w:cs="Times New Roman"/>
        </w:rPr>
        <w:t xml:space="preserve"> </w:t>
      </w:r>
      <w:r w:rsidRPr="00614F8C">
        <w:rPr>
          <w:rFonts w:cs="Times New Roman"/>
          <w:i/>
        </w:rPr>
        <w:t>euro</w:t>
      </w:r>
      <w:r>
        <w:rPr>
          <w:rFonts w:cs="Times New Roman"/>
        </w:rPr>
        <w:t xml:space="preserve"> </w:t>
      </w:r>
      <w:r w:rsidRPr="00A747A8">
        <w:rPr>
          <w:rFonts w:cs="Times New Roman"/>
        </w:rPr>
        <w:t xml:space="preserve">saistībā ar 11 amata vietu likvidēšanu, kas minēts nākamajā punktā) un atsevišķās uzraudzības programmās finansējumu palielinot finansējumu par 448 303 </w:t>
      </w:r>
      <w:r w:rsidRPr="00614F8C">
        <w:rPr>
          <w:rFonts w:cs="Times New Roman"/>
          <w:i/>
        </w:rPr>
        <w:t>euro</w:t>
      </w:r>
      <w:r w:rsidRPr="00A747A8">
        <w:rPr>
          <w:rFonts w:cs="Times New Roman"/>
        </w:rPr>
        <w:t xml:space="preserve">, kā arī 2022.gadā un turpmāk ik gadu atsevišķās uzraudzības programmās samazinot finansējumu par 669 453 </w:t>
      </w:r>
      <w:r w:rsidRPr="00614F8C">
        <w:rPr>
          <w:rFonts w:cs="Times New Roman"/>
          <w:i/>
        </w:rPr>
        <w:t>euro</w:t>
      </w:r>
      <w:r>
        <w:rPr>
          <w:rFonts w:cs="Times New Roman"/>
        </w:rPr>
        <w:t xml:space="preserve"> </w:t>
      </w:r>
      <w:r w:rsidRPr="00A747A8">
        <w:rPr>
          <w:rFonts w:cs="Times New Roman"/>
        </w:rPr>
        <w:t>(t.sk. samazinājums 173</w:t>
      </w:r>
      <w:r>
        <w:rPr>
          <w:rFonts w:cs="Times New Roman"/>
        </w:rPr>
        <w:t> </w:t>
      </w:r>
      <w:r w:rsidRPr="00A747A8">
        <w:rPr>
          <w:rFonts w:cs="Times New Roman"/>
        </w:rPr>
        <w:t>693</w:t>
      </w:r>
      <w:r w:rsidRPr="00614F8C">
        <w:rPr>
          <w:rFonts w:cs="Times New Roman"/>
          <w:i/>
        </w:rPr>
        <w:t xml:space="preserve"> euro</w:t>
      </w:r>
      <w:r>
        <w:rPr>
          <w:rFonts w:cs="Times New Roman"/>
        </w:rPr>
        <w:t xml:space="preserve"> </w:t>
      </w:r>
      <w:r w:rsidRPr="00A747A8">
        <w:rPr>
          <w:rFonts w:cs="Times New Roman"/>
        </w:rPr>
        <w:t xml:space="preserve">saistībā ar 11 amata vietu likvidēšanu, kas minēts nākamajā punktā)  un atsevišķās uzraudzības programmās finansējumu palielinot finansējumu par 2 801 497 </w:t>
      </w:r>
      <w:r w:rsidRPr="00614F8C">
        <w:rPr>
          <w:rFonts w:cs="Times New Roman"/>
          <w:i/>
        </w:rPr>
        <w:t>euro</w:t>
      </w:r>
      <w:r w:rsidRPr="00A747A8">
        <w:rPr>
          <w:rFonts w:cs="Times New Roman"/>
        </w:rPr>
        <w:t>, nepieciešamo papildu finansējumu pārdalot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(turpmāk – 80.00.00 programma).</w:t>
      </w:r>
    </w:p>
    <w:p w14:paraId="435BEE24" w14:textId="6C79CD98" w:rsidR="002E0F43" w:rsidRPr="004322CA" w:rsidRDefault="002E0F43" w:rsidP="00911783">
      <w:pPr>
        <w:spacing w:after="120"/>
        <w:ind w:firstLine="714"/>
        <w:jc w:val="both"/>
        <w:rPr>
          <w:rFonts w:cs="Times New Roman"/>
        </w:rPr>
      </w:pPr>
      <w:r>
        <w:rPr>
          <w:rFonts w:cs="Times New Roman"/>
        </w:rPr>
        <w:t xml:space="preserve">Vienlaikus, lai ZM, </w:t>
      </w:r>
      <w:r w:rsidRPr="00EE5ED9">
        <w:rPr>
          <w:rFonts w:cs="Times New Roman"/>
        </w:rPr>
        <w:t xml:space="preserve">izvērtējot epidemioloģisko situāciju Latvijā, uzraudzības un kontroles rezultātus un ievērojot izmaiņas saistošajos normatīvajos aktos, kā arī Eiropas Komisijas lēmumus par atbalstāmajām izdevumu pozīcijām, </w:t>
      </w:r>
      <w:r>
        <w:rPr>
          <w:rFonts w:cs="Times New Roman"/>
        </w:rPr>
        <w:t xml:space="preserve">būtu tiesības </w:t>
      </w:r>
      <w:r w:rsidRPr="00EE5ED9">
        <w:rPr>
          <w:rFonts w:cs="Times New Roman"/>
        </w:rPr>
        <w:t>arī kārtējā gada ietvaros pārskatīt uzraudzības pasākumus</w:t>
      </w:r>
      <w:r>
        <w:rPr>
          <w:rFonts w:cs="Times New Roman"/>
        </w:rPr>
        <w:t xml:space="preserve">, </w:t>
      </w:r>
      <w:r w:rsidRPr="00EE5ED9">
        <w:rPr>
          <w:rFonts w:cs="Times New Roman"/>
        </w:rPr>
        <w:t>to veikšanai nepieciešamā finansējuma apmēru</w:t>
      </w:r>
      <w:r>
        <w:rPr>
          <w:rFonts w:cs="Times New Roman"/>
        </w:rPr>
        <w:t xml:space="preserve">, veicot </w:t>
      </w:r>
      <w:r w:rsidRPr="00EE5ED9">
        <w:rPr>
          <w:rFonts w:cs="Times New Roman"/>
        </w:rPr>
        <w:t xml:space="preserve">izmaiņas katras jomas ietvaros pēc nepieciešamības, ievērojot attiecīgajai uzraudzības jomai piešķirto </w:t>
      </w:r>
      <w:r>
        <w:rPr>
          <w:rFonts w:cs="Times New Roman"/>
        </w:rPr>
        <w:t xml:space="preserve">maksimālo </w:t>
      </w:r>
      <w:r w:rsidRPr="00EE5ED9">
        <w:rPr>
          <w:rFonts w:cs="Times New Roman"/>
        </w:rPr>
        <w:t>finansējuma apmēru</w:t>
      </w:r>
      <w:r>
        <w:rPr>
          <w:rFonts w:cs="Times New Roman"/>
        </w:rPr>
        <w:t>, nepieciešams, ka turpmāk 70.06.00 apakšprogrammas saistības uzraudzības pasākumiem tiek apstiprinātas un plānotas sadalījumā: dzīvnieku veselības joma</w:t>
      </w:r>
      <w:r w:rsidRPr="00EE5ED9">
        <w:rPr>
          <w:rFonts w:cs="Times New Roman"/>
        </w:rPr>
        <w:t xml:space="preserve"> un pārtikas un dzīvnieku barības nekaitīgu</w:t>
      </w:r>
      <w:r>
        <w:rPr>
          <w:rFonts w:cs="Times New Roman"/>
        </w:rPr>
        <w:t>ma joma.</w:t>
      </w:r>
    </w:p>
    <w:p w14:paraId="38CBBDC2" w14:textId="6C991A12" w:rsidR="002E0F43" w:rsidRPr="005131FD" w:rsidRDefault="002E0F43" w:rsidP="005131FD">
      <w:pPr>
        <w:spacing w:after="120"/>
        <w:ind w:firstLine="714"/>
        <w:jc w:val="both"/>
        <w:rPr>
          <w:rFonts w:cs="Times New Roman"/>
        </w:rPr>
      </w:pPr>
      <w:r w:rsidRPr="005131FD">
        <w:rPr>
          <w:rFonts w:cs="Times New Roman"/>
        </w:rPr>
        <w:lastRenderedPageBreak/>
        <w:t xml:space="preserve">Lai nodrošinātu normatīvajos aktos noteikto funkciju īstenošanu un personāla pamatdarba samaksu no viena finansēšanas avota, kā arī ņemot vērā </w:t>
      </w:r>
      <w:r w:rsidR="003738E5" w:rsidRPr="005131FD">
        <w:rPr>
          <w:rFonts w:cs="Times New Roman"/>
        </w:rPr>
        <w:t>VK</w:t>
      </w:r>
      <w:r w:rsidRPr="005131FD">
        <w:rPr>
          <w:rFonts w:cs="Times New Roman"/>
        </w:rPr>
        <w:t xml:space="preserve"> izstrādāto Valsts pārvaldes reformu plānu attiecībā uz valsts pārvaldē nodarbināto skaita samazināšanas virzienu, pārskatot PVD izdevumus un veicot izmaiņas personāla atlīdzības struktūrā ZM uz laiku izveidotās 20 inspektoru amata vietas (ar finansējumu 315 805 </w:t>
      </w:r>
      <w:r w:rsidRPr="005131FD">
        <w:rPr>
          <w:rFonts w:cs="Times New Roman"/>
          <w:i/>
        </w:rPr>
        <w:t>euro</w:t>
      </w:r>
      <w:r w:rsidRPr="005131FD">
        <w:rPr>
          <w:rFonts w:cs="Times New Roman"/>
        </w:rPr>
        <w:t>):</w:t>
      </w:r>
    </w:p>
    <w:p w14:paraId="7B3B9DC7" w14:textId="77777777" w:rsidR="002E0F43" w:rsidRDefault="002E0F43" w:rsidP="00911783">
      <w:pPr>
        <w:pStyle w:val="ListParagraph"/>
        <w:numPr>
          <w:ilvl w:val="1"/>
          <w:numId w:val="38"/>
        </w:numPr>
        <w:spacing w:after="120"/>
        <w:ind w:left="714" w:hanging="357"/>
        <w:contextualSpacing w:val="0"/>
        <w:jc w:val="both"/>
        <w:rPr>
          <w:rFonts w:cs="Times New Roman"/>
        </w:rPr>
      </w:pPr>
      <w:r w:rsidRPr="00412D78">
        <w:rPr>
          <w:rFonts w:cs="Times New Roman"/>
        </w:rPr>
        <w:t xml:space="preserve">no 2021.gada 1.janvāra samazināt par 11 amata vietām </w:t>
      </w:r>
      <w:r>
        <w:rPr>
          <w:rFonts w:cs="Times New Roman"/>
        </w:rPr>
        <w:t xml:space="preserve">(finansējumu 173 693 </w:t>
      </w:r>
      <w:r w:rsidRPr="00614F8C">
        <w:rPr>
          <w:rFonts w:cs="Times New Roman"/>
          <w:i/>
        </w:rPr>
        <w:t>euro</w:t>
      </w:r>
      <w:r>
        <w:rPr>
          <w:rFonts w:cs="Times New Roman"/>
        </w:rPr>
        <w:t xml:space="preserve"> pārdalot 70.06.00 apakšprogrammas ietvaros citus uzraudzības programmu īstenošanai),</w:t>
      </w:r>
    </w:p>
    <w:p w14:paraId="3E5D5431" w14:textId="6AC84442" w:rsidR="002E0F43" w:rsidRPr="004322CA" w:rsidRDefault="002E0F43" w:rsidP="00911783">
      <w:pPr>
        <w:pStyle w:val="ListParagraph"/>
        <w:numPr>
          <w:ilvl w:val="1"/>
          <w:numId w:val="38"/>
        </w:numPr>
        <w:spacing w:after="120"/>
        <w:ind w:left="714" w:hanging="357"/>
        <w:contextualSpacing w:val="0"/>
        <w:jc w:val="both"/>
        <w:rPr>
          <w:rFonts w:cs="Times New Roman"/>
        </w:rPr>
      </w:pPr>
      <w:r w:rsidRPr="00412D78">
        <w:rPr>
          <w:rFonts w:cs="Times New Roman"/>
        </w:rPr>
        <w:t xml:space="preserve">izveidot </w:t>
      </w:r>
      <w:r>
        <w:rPr>
          <w:rFonts w:cs="Times New Roman"/>
        </w:rPr>
        <w:t>9 </w:t>
      </w:r>
      <w:r w:rsidRPr="00412D78">
        <w:rPr>
          <w:rFonts w:cs="Times New Roman"/>
        </w:rPr>
        <w:t>pastāvīgas amata vietas</w:t>
      </w:r>
      <w:r>
        <w:rPr>
          <w:rFonts w:cs="Times New Roman"/>
        </w:rPr>
        <w:t xml:space="preserve"> (atceļot tām noteikto termiņu)</w:t>
      </w:r>
      <w:r w:rsidRPr="00412D78">
        <w:rPr>
          <w:rFonts w:cs="Times New Roman"/>
        </w:rPr>
        <w:t xml:space="preserve">, </w:t>
      </w:r>
      <w:r>
        <w:rPr>
          <w:rFonts w:cs="Times New Roman"/>
        </w:rPr>
        <w:t>pārdalot</w:t>
      </w:r>
      <w:r w:rsidRPr="00412D78">
        <w:rPr>
          <w:rFonts w:cs="Times New Roman"/>
        </w:rPr>
        <w:t xml:space="preserve"> šim mērķim piešķirto finansējumu </w:t>
      </w:r>
      <w:r>
        <w:rPr>
          <w:rFonts w:cs="Times New Roman"/>
        </w:rPr>
        <w:t>atlīdzībai</w:t>
      </w:r>
      <w:r w:rsidRPr="00412D78">
        <w:rPr>
          <w:rFonts w:cs="Times New Roman"/>
        </w:rPr>
        <w:t xml:space="preserve"> un uzturēšanai 142 112 </w:t>
      </w:r>
      <w:r w:rsidRPr="00635A70">
        <w:rPr>
          <w:rFonts w:cs="Times New Roman"/>
          <w:i/>
        </w:rPr>
        <w:t>euro</w:t>
      </w:r>
      <w:r w:rsidRPr="00412D78">
        <w:rPr>
          <w:rFonts w:cs="Times New Roman"/>
        </w:rPr>
        <w:t xml:space="preserve"> apmērā</w:t>
      </w:r>
      <w:r w:rsidRPr="00B61546">
        <w:rPr>
          <w:rFonts w:cs="Times New Roman"/>
        </w:rPr>
        <w:t xml:space="preserve"> </w:t>
      </w:r>
      <w:r w:rsidRPr="00412D78">
        <w:rPr>
          <w:rFonts w:cs="Times New Roman"/>
        </w:rPr>
        <w:t>no 70.06.00 apakšprogrammas uz 20.01.00</w:t>
      </w:r>
      <w:r w:rsidRPr="00EF5EB1">
        <w:rPr>
          <w:rFonts w:cs="Times New Roman"/>
        </w:rPr>
        <w:t xml:space="preserve"> </w:t>
      </w:r>
      <w:r w:rsidRPr="00412D78">
        <w:rPr>
          <w:rFonts w:cs="Times New Roman"/>
        </w:rPr>
        <w:t xml:space="preserve">apakšprogrammu. </w:t>
      </w:r>
    </w:p>
    <w:p w14:paraId="7AF24769" w14:textId="23EA8D4B" w:rsidR="002E0F43" w:rsidRPr="005131FD" w:rsidRDefault="002E0F43" w:rsidP="005131FD">
      <w:pPr>
        <w:spacing w:after="120"/>
        <w:ind w:firstLine="714"/>
        <w:jc w:val="both"/>
        <w:rPr>
          <w:rFonts w:cs="Times New Roman"/>
        </w:rPr>
      </w:pPr>
      <w:r w:rsidRPr="005131FD">
        <w:rPr>
          <w:rFonts w:eastAsia="Times New Roman" w:cs="Times New Roman"/>
        </w:rPr>
        <w:t>Āfrikas cūku mēra uzraudzības un apkarošanas programmas īstenošanas ietvaros</w:t>
      </w:r>
      <w:r w:rsidRPr="005131FD">
        <w:rPr>
          <w:rFonts w:cs="Times New Roman"/>
        </w:rPr>
        <w:t xml:space="preserve"> piešķirto finansējumu piemaksām un virsstundu darba apmaksai vai piemaksai par pasākumu koordinēšanas darbu </w:t>
      </w:r>
      <w:bookmarkStart w:id="35" w:name="OLE_LINK1"/>
      <w:r w:rsidRPr="005131FD">
        <w:rPr>
          <w:rFonts w:cs="Times New Roman"/>
        </w:rPr>
        <w:t>1 298 080</w:t>
      </w:r>
      <w:bookmarkEnd w:id="35"/>
      <w:r w:rsidRPr="005131FD">
        <w:rPr>
          <w:rFonts w:cs="Times New Roman"/>
        </w:rPr>
        <w:t xml:space="preserve"> </w:t>
      </w:r>
      <w:r w:rsidRPr="005131FD">
        <w:rPr>
          <w:rFonts w:cs="Times New Roman"/>
          <w:i/>
        </w:rPr>
        <w:t>euro</w:t>
      </w:r>
      <w:r w:rsidRPr="005131FD">
        <w:rPr>
          <w:rFonts w:cs="Times New Roman"/>
        </w:rPr>
        <w:t xml:space="preserve"> apmērā pārcelt no 70.06.00 apakšprogrammas uz 20.01.00 apakšprogrammu, turpinot amata vietas finansēt šajā budžeta apakšprogrammā bez īstenošanas termiņa (turpmāk ik gadu).</w:t>
      </w:r>
    </w:p>
    <w:p w14:paraId="5814416F" w14:textId="3207A6C0" w:rsidR="00614F8C" w:rsidRPr="005131FD" w:rsidRDefault="002E0F43" w:rsidP="005131FD">
      <w:pPr>
        <w:spacing w:after="120"/>
        <w:ind w:firstLine="714"/>
        <w:jc w:val="both"/>
        <w:rPr>
          <w:rFonts w:cs="Times New Roman"/>
        </w:rPr>
      </w:pPr>
      <w:r w:rsidRPr="005131FD">
        <w:rPr>
          <w:rFonts w:eastAsia="Times New Roman" w:cs="Times New Roman"/>
        </w:rPr>
        <w:t xml:space="preserve">Finansējumu references laboratorijas funkcijas nodrošināšanai, kas šobrīd ieplānots 70.06.00 apakšprogrammā 2021.gada bāzes izdevumos </w:t>
      </w:r>
      <w:r w:rsidRPr="005131FD">
        <w:rPr>
          <w:rFonts w:cs="Times New Roman"/>
        </w:rPr>
        <w:t>334 698</w:t>
      </w:r>
      <w:r w:rsidRPr="005131FD">
        <w:rPr>
          <w:rFonts w:eastAsia="Times New Roman" w:cs="Times New Roman"/>
        </w:rPr>
        <w:t xml:space="preserve"> </w:t>
      </w:r>
      <w:r w:rsidRPr="005131FD">
        <w:rPr>
          <w:rFonts w:eastAsia="Times New Roman" w:cs="Times New Roman"/>
          <w:i/>
        </w:rPr>
        <w:t>euro</w:t>
      </w:r>
      <w:r w:rsidRPr="005131FD">
        <w:rPr>
          <w:rFonts w:eastAsia="Times New Roman" w:cs="Times New Roman"/>
        </w:rPr>
        <w:t xml:space="preserve"> apmērā, </w:t>
      </w:r>
      <w:r w:rsidRPr="005131FD">
        <w:rPr>
          <w:rFonts w:cs="Times New Roman"/>
        </w:rPr>
        <w:t xml:space="preserve">t.sk. references laboratorijas funkcijas nodrošināšanai dzīvnieku veselības jomā 156 300 </w:t>
      </w:r>
      <w:r w:rsidRPr="005131FD">
        <w:rPr>
          <w:rFonts w:cs="Times New Roman"/>
          <w:i/>
        </w:rPr>
        <w:t>euro</w:t>
      </w:r>
      <w:r w:rsidRPr="005131FD">
        <w:rPr>
          <w:rFonts w:cs="Times New Roman"/>
        </w:rPr>
        <w:t xml:space="preserve"> un references laboratorijas funkcijas nodrošināšana pārtikas nekaitīguma jomā laboratoriskiem izmeklējumiem 178 398 </w:t>
      </w:r>
      <w:r w:rsidRPr="005131FD">
        <w:rPr>
          <w:rFonts w:cs="Times New Roman"/>
          <w:i/>
        </w:rPr>
        <w:t>euro</w:t>
      </w:r>
      <w:r w:rsidRPr="005131FD">
        <w:rPr>
          <w:rFonts w:cs="Times New Roman"/>
        </w:rPr>
        <w:t xml:space="preserve">, </w:t>
      </w:r>
      <w:r w:rsidRPr="005131FD">
        <w:rPr>
          <w:rFonts w:eastAsia="Times New Roman" w:cs="Times New Roman"/>
        </w:rPr>
        <w:t xml:space="preserve">kā daļa no dzīvnieku veselības un pārtikas un dzīvnieku barības nekaitīguma jomā programmu finansējuma, pārcelt uz </w:t>
      </w:r>
      <w:r w:rsidRPr="005131FD">
        <w:rPr>
          <w:rFonts w:cs="Times New Roman"/>
        </w:rPr>
        <w:t>20.02.00 apakšprogrammu, kā arī paredzēt šīs funkcijas īstenošanai finansējumu 20.02.00 apakšprogrammā 2022.gadā un turpmāk ik gadu nemainīgā līmenī.</w:t>
      </w:r>
    </w:p>
    <w:p w14:paraId="4A2E43DF" w14:textId="62F0BEE1" w:rsidR="002E0F43" w:rsidRDefault="00614F8C" w:rsidP="00614F8C">
      <w:pPr>
        <w:pStyle w:val="Caption"/>
        <w:ind w:hanging="426"/>
        <w:rPr>
          <w:rFonts w:cs="Times New Roman"/>
        </w:rPr>
      </w:pPr>
      <w:bookmarkStart w:id="36" w:name="_Ref47947207"/>
      <w:r>
        <w:t xml:space="preserve">Tabula Nr. </w:t>
      </w:r>
      <w:fldSimple w:instr=" SEQ Tabula_Nr. \* ARABIC ">
        <w:r w:rsidR="00D96F20">
          <w:rPr>
            <w:noProof/>
          </w:rPr>
          <w:t>1</w:t>
        </w:r>
      </w:fldSimple>
      <w:bookmarkEnd w:id="36"/>
    </w:p>
    <w:p w14:paraId="6BEE9B8C" w14:textId="77777777" w:rsidR="002E0F43" w:rsidRPr="005E1561" w:rsidRDefault="002E0F43" w:rsidP="002E0F43">
      <w:pPr>
        <w:spacing w:after="120" w:line="254" w:lineRule="auto"/>
        <w:ind w:firstLine="720"/>
        <w:jc w:val="center"/>
        <w:rPr>
          <w:rFonts w:cs="Times New Roman"/>
          <w:b/>
        </w:rPr>
      </w:pPr>
      <w:r w:rsidRPr="005E1561">
        <w:rPr>
          <w:rFonts w:cs="Times New Roman"/>
          <w:b/>
        </w:rPr>
        <w:t xml:space="preserve">ZM priekšlikumu izmaiņu kopsavilkums, </w:t>
      </w:r>
      <w:r w:rsidRPr="005E1561">
        <w:rPr>
          <w:rFonts w:cs="Times New Roman"/>
          <w:b/>
          <w:i/>
        </w:rPr>
        <w:t>euro</w:t>
      </w:r>
    </w:p>
    <w:tbl>
      <w:tblPr>
        <w:tblW w:w="9282" w:type="dxa"/>
        <w:tblLook w:val="04A0" w:firstRow="1" w:lastRow="0" w:firstColumn="1" w:lastColumn="0" w:noHBand="0" w:noVBand="1"/>
      </w:tblPr>
      <w:tblGrid>
        <w:gridCol w:w="801"/>
        <w:gridCol w:w="940"/>
        <w:gridCol w:w="941"/>
        <w:gridCol w:w="944"/>
        <w:gridCol w:w="940"/>
        <w:gridCol w:w="941"/>
        <w:gridCol w:w="943"/>
        <w:gridCol w:w="977"/>
        <w:gridCol w:w="907"/>
        <w:gridCol w:w="941"/>
        <w:gridCol w:w="7"/>
      </w:tblGrid>
      <w:tr w:rsidR="002E0F43" w:rsidRPr="00DF24BC" w14:paraId="30E1EAAE" w14:textId="77777777" w:rsidTr="00666E35">
        <w:trPr>
          <w:trHeight w:val="50"/>
        </w:trPr>
        <w:tc>
          <w:tcPr>
            <w:tcW w:w="801" w:type="dxa"/>
            <w:vMerge w:val="restart"/>
            <w:tcBorders>
              <w:top w:val="single" w:sz="4" w:space="0" w:color="auto"/>
              <w:left w:val="single" w:sz="4" w:space="0" w:color="auto"/>
              <w:bottom w:val="single" w:sz="4" w:space="0" w:color="auto"/>
              <w:right w:val="single" w:sz="4" w:space="0" w:color="auto"/>
            </w:tcBorders>
            <w:shd w:val="clear" w:color="000000" w:fill="EDEDED"/>
            <w:vAlign w:val="bottom"/>
            <w:hideMark/>
          </w:tcPr>
          <w:p w14:paraId="3BD24C63"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 </w:t>
            </w:r>
          </w:p>
        </w:tc>
        <w:tc>
          <w:tcPr>
            <w:tcW w:w="2825" w:type="dxa"/>
            <w:gridSpan w:val="3"/>
            <w:tcBorders>
              <w:top w:val="single" w:sz="4" w:space="0" w:color="auto"/>
              <w:left w:val="nil"/>
              <w:bottom w:val="single" w:sz="4" w:space="0" w:color="auto"/>
              <w:right w:val="single" w:sz="4" w:space="0" w:color="auto"/>
            </w:tcBorders>
            <w:shd w:val="clear" w:color="000000" w:fill="EDEDED"/>
            <w:vAlign w:val="center"/>
            <w:hideMark/>
          </w:tcPr>
          <w:p w14:paraId="0DC935A1"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2021.gads</w:t>
            </w:r>
          </w:p>
        </w:tc>
        <w:tc>
          <w:tcPr>
            <w:tcW w:w="2824" w:type="dxa"/>
            <w:gridSpan w:val="3"/>
            <w:tcBorders>
              <w:top w:val="single" w:sz="4" w:space="0" w:color="auto"/>
              <w:left w:val="nil"/>
              <w:bottom w:val="single" w:sz="4" w:space="0" w:color="auto"/>
              <w:right w:val="single" w:sz="4" w:space="0" w:color="auto"/>
            </w:tcBorders>
            <w:shd w:val="clear" w:color="000000" w:fill="EDEDED"/>
            <w:vAlign w:val="center"/>
            <w:hideMark/>
          </w:tcPr>
          <w:p w14:paraId="7B1B15C9"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2022.gads</w:t>
            </w:r>
          </w:p>
        </w:tc>
        <w:tc>
          <w:tcPr>
            <w:tcW w:w="2832" w:type="dxa"/>
            <w:gridSpan w:val="4"/>
            <w:tcBorders>
              <w:top w:val="single" w:sz="4" w:space="0" w:color="auto"/>
              <w:left w:val="nil"/>
              <w:bottom w:val="single" w:sz="4" w:space="0" w:color="auto"/>
              <w:right w:val="single" w:sz="4" w:space="0" w:color="auto"/>
            </w:tcBorders>
            <w:shd w:val="clear" w:color="000000" w:fill="EDEDED"/>
            <w:vAlign w:val="center"/>
            <w:hideMark/>
          </w:tcPr>
          <w:p w14:paraId="591FB7FB"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2023.gads</w:t>
            </w:r>
          </w:p>
        </w:tc>
      </w:tr>
      <w:tr w:rsidR="00666E35" w:rsidRPr="00DF24BC" w14:paraId="680666F5" w14:textId="77777777" w:rsidTr="00666E35">
        <w:trPr>
          <w:gridAfter w:val="1"/>
          <w:wAfter w:w="7" w:type="dxa"/>
          <w:trHeight w:val="228"/>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65F4EE86" w14:textId="77777777" w:rsidR="002E0F43" w:rsidRPr="00DF24BC" w:rsidRDefault="002E0F43" w:rsidP="002E0F43">
            <w:pPr>
              <w:spacing w:after="120" w:line="254" w:lineRule="auto"/>
              <w:rPr>
                <w:rFonts w:eastAsia="Times New Roman" w:cs="Times New Roman"/>
                <w:color w:val="000000"/>
                <w:sz w:val="16"/>
                <w:szCs w:val="16"/>
                <w:lang w:eastAsia="lv-LV"/>
              </w:rPr>
            </w:pPr>
          </w:p>
        </w:tc>
        <w:tc>
          <w:tcPr>
            <w:tcW w:w="940" w:type="dxa"/>
            <w:tcBorders>
              <w:top w:val="nil"/>
              <w:left w:val="nil"/>
              <w:bottom w:val="single" w:sz="4" w:space="0" w:color="auto"/>
              <w:right w:val="single" w:sz="4" w:space="0" w:color="auto"/>
            </w:tcBorders>
            <w:shd w:val="clear" w:color="000000" w:fill="EDEDED"/>
            <w:vAlign w:val="center"/>
            <w:hideMark/>
          </w:tcPr>
          <w:p w14:paraId="006F784E"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bāze</w:t>
            </w:r>
          </w:p>
        </w:tc>
        <w:tc>
          <w:tcPr>
            <w:tcW w:w="941" w:type="dxa"/>
            <w:tcBorders>
              <w:top w:val="nil"/>
              <w:left w:val="nil"/>
              <w:bottom w:val="single" w:sz="4" w:space="0" w:color="auto"/>
              <w:right w:val="single" w:sz="4" w:space="0" w:color="auto"/>
            </w:tcBorders>
            <w:shd w:val="clear" w:color="000000" w:fill="EDEDED"/>
            <w:vAlign w:val="center"/>
            <w:hideMark/>
          </w:tcPr>
          <w:p w14:paraId="4F66F1D8"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izmaiņas</w:t>
            </w:r>
          </w:p>
        </w:tc>
        <w:tc>
          <w:tcPr>
            <w:tcW w:w="944" w:type="dxa"/>
            <w:tcBorders>
              <w:top w:val="nil"/>
              <w:left w:val="nil"/>
              <w:bottom w:val="single" w:sz="4" w:space="0" w:color="auto"/>
              <w:right w:val="single" w:sz="4" w:space="0" w:color="auto"/>
            </w:tcBorders>
            <w:shd w:val="clear" w:color="000000" w:fill="EDEDED"/>
            <w:vAlign w:val="center"/>
            <w:hideMark/>
          </w:tcPr>
          <w:p w14:paraId="3B58DD70"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precizētā bāze</w:t>
            </w:r>
          </w:p>
        </w:tc>
        <w:tc>
          <w:tcPr>
            <w:tcW w:w="940" w:type="dxa"/>
            <w:tcBorders>
              <w:top w:val="nil"/>
              <w:left w:val="nil"/>
              <w:bottom w:val="single" w:sz="4" w:space="0" w:color="auto"/>
              <w:right w:val="single" w:sz="4" w:space="0" w:color="auto"/>
            </w:tcBorders>
            <w:shd w:val="clear" w:color="000000" w:fill="EDEDED"/>
            <w:vAlign w:val="center"/>
            <w:hideMark/>
          </w:tcPr>
          <w:p w14:paraId="5B33DB31"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bāze</w:t>
            </w:r>
          </w:p>
        </w:tc>
        <w:tc>
          <w:tcPr>
            <w:tcW w:w="941" w:type="dxa"/>
            <w:tcBorders>
              <w:top w:val="nil"/>
              <w:left w:val="nil"/>
              <w:bottom w:val="single" w:sz="4" w:space="0" w:color="auto"/>
              <w:right w:val="single" w:sz="4" w:space="0" w:color="auto"/>
            </w:tcBorders>
            <w:shd w:val="clear" w:color="000000" w:fill="EDEDED"/>
            <w:vAlign w:val="center"/>
            <w:hideMark/>
          </w:tcPr>
          <w:p w14:paraId="6F6CC7E8"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izmaiņas</w:t>
            </w:r>
          </w:p>
        </w:tc>
        <w:tc>
          <w:tcPr>
            <w:tcW w:w="943" w:type="dxa"/>
            <w:tcBorders>
              <w:top w:val="nil"/>
              <w:left w:val="nil"/>
              <w:bottom w:val="single" w:sz="4" w:space="0" w:color="auto"/>
              <w:right w:val="single" w:sz="4" w:space="0" w:color="auto"/>
            </w:tcBorders>
            <w:shd w:val="clear" w:color="000000" w:fill="EDEDED"/>
            <w:vAlign w:val="center"/>
            <w:hideMark/>
          </w:tcPr>
          <w:p w14:paraId="3B3DF8B5"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precizētā bāze</w:t>
            </w:r>
          </w:p>
        </w:tc>
        <w:tc>
          <w:tcPr>
            <w:tcW w:w="977" w:type="dxa"/>
            <w:tcBorders>
              <w:top w:val="nil"/>
              <w:left w:val="nil"/>
              <w:bottom w:val="single" w:sz="4" w:space="0" w:color="auto"/>
              <w:right w:val="single" w:sz="4" w:space="0" w:color="auto"/>
            </w:tcBorders>
            <w:shd w:val="clear" w:color="000000" w:fill="EDEDED"/>
            <w:vAlign w:val="center"/>
            <w:hideMark/>
          </w:tcPr>
          <w:p w14:paraId="537B011C"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bāze</w:t>
            </w:r>
          </w:p>
        </w:tc>
        <w:tc>
          <w:tcPr>
            <w:tcW w:w="907" w:type="dxa"/>
            <w:tcBorders>
              <w:top w:val="nil"/>
              <w:left w:val="nil"/>
              <w:bottom w:val="single" w:sz="4" w:space="0" w:color="auto"/>
              <w:right w:val="single" w:sz="4" w:space="0" w:color="auto"/>
            </w:tcBorders>
            <w:shd w:val="clear" w:color="000000" w:fill="EDEDED"/>
            <w:vAlign w:val="center"/>
            <w:hideMark/>
          </w:tcPr>
          <w:p w14:paraId="30E66258"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izmaiņas</w:t>
            </w:r>
          </w:p>
        </w:tc>
        <w:tc>
          <w:tcPr>
            <w:tcW w:w="941" w:type="dxa"/>
            <w:tcBorders>
              <w:top w:val="nil"/>
              <w:left w:val="nil"/>
              <w:bottom w:val="single" w:sz="4" w:space="0" w:color="auto"/>
              <w:right w:val="single" w:sz="4" w:space="0" w:color="auto"/>
            </w:tcBorders>
            <w:shd w:val="clear" w:color="000000" w:fill="EDEDED"/>
            <w:vAlign w:val="center"/>
            <w:hideMark/>
          </w:tcPr>
          <w:p w14:paraId="11579546" w14:textId="77777777" w:rsidR="002E0F43" w:rsidRPr="00DF24BC" w:rsidRDefault="002E0F43" w:rsidP="002E0F43">
            <w:pPr>
              <w:spacing w:after="120" w:line="254" w:lineRule="auto"/>
              <w:jc w:val="center"/>
              <w:rPr>
                <w:rFonts w:eastAsia="Times New Roman" w:cs="Times New Roman"/>
                <w:color w:val="000000"/>
                <w:sz w:val="16"/>
                <w:szCs w:val="16"/>
                <w:lang w:eastAsia="lv-LV"/>
              </w:rPr>
            </w:pPr>
            <w:r w:rsidRPr="00DF24BC">
              <w:rPr>
                <w:rFonts w:eastAsia="Times New Roman" w:cs="Times New Roman"/>
                <w:color w:val="000000"/>
                <w:sz w:val="16"/>
                <w:szCs w:val="16"/>
                <w:lang w:eastAsia="lv-LV"/>
              </w:rPr>
              <w:t>precizētā bāze</w:t>
            </w:r>
          </w:p>
        </w:tc>
      </w:tr>
      <w:tr w:rsidR="00666E35" w:rsidRPr="00DF24BC" w14:paraId="712B343C" w14:textId="77777777" w:rsidTr="00666E35">
        <w:trPr>
          <w:gridAfter w:val="1"/>
          <w:wAfter w:w="7" w:type="dxa"/>
          <w:trHeight w:val="50"/>
        </w:trPr>
        <w:tc>
          <w:tcPr>
            <w:tcW w:w="801" w:type="dxa"/>
            <w:tcBorders>
              <w:top w:val="nil"/>
              <w:left w:val="single" w:sz="4" w:space="0" w:color="auto"/>
              <w:bottom w:val="single" w:sz="4" w:space="0" w:color="auto"/>
              <w:right w:val="single" w:sz="4" w:space="0" w:color="auto"/>
            </w:tcBorders>
            <w:shd w:val="clear" w:color="000000" w:fill="A9D08E"/>
            <w:vAlign w:val="bottom"/>
            <w:hideMark/>
          </w:tcPr>
          <w:p w14:paraId="58A8BE9D" w14:textId="77777777" w:rsidR="002E0F43" w:rsidRPr="00911783" w:rsidRDefault="002E0F43" w:rsidP="002E0F43">
            <w:pPr>
              <w:spacing w:after="120" w:line="254" w:lineRule="auto"/>
              <w:rPr>
                <w:rFonts w:eastAsia="Times New Roman" w:cs="Times New Roman"/>
                <w:b/>
                <w:bCs/>
                <w:color w:val="000000"/>
                <w:sz w:val="16"/>
                <w:szCs w:val="16"/>
                <w:lang w:eastAsia="lv-LV"/>
              </w:rPr>
            </w:pPr>
            <w:r w:rsidRPr="00911783">
              <w:rPr>
                <w:rFonts w:eastAsia="Times New Roman" w:cs="Times New Roman"/>
                <w:b/>
                <w:bCs/>
                <w:color w:val="000000"/>
                <w:sz w:val="16"/>
                <w:szCs w:val="16"/>
                <w:lang w:eastAsia="lv-LV"/>
              </w:rPr>
              <w:t>20.00.00</w:t>
            </w:r>
          </w:p>
        </w:tc>
        <w:tc>
          <w:tcPr>
            <w:tcW w:w="940" w:type="dxa"/>
            <w:tcBorders>
              <w:top w:val="nil"/>
              <w:left w:val="nil"/>
              <w:bottom w:val="single" w:sz="4" w:space="0" w:color="auto"/>
              <w:right w:val="single" w:sz="4" w:space="0" w:color="auto"/>
            </w:tcBorders>
            <w:shd w:val="clear" w:color="000000" w:fill="A9D08E"/>
            <w:vAlign w:val="bottom"/>
            <w:hideMark/>
          </w:tcPr>
          <w:p w14:paraId="5CA55F4E"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14 092 387</w:t>
            </w:r>
          </w:p>
        </w:tc>
        <w:tc>
          <w:tcPr>
            <w:tcW w:w="941" w:type="dxa"/>
            <w:tcBorders>
              <w:top w:val="nil"/>
              <w:left w:val="nil"/>
              <w:bottom w:val="single" w:sz="4" w:space="0" w:color="auto"/>
              <w:right w:val="single" w:sz="4" w:space="0" w:color="auto"/>
            </w:tcBorders>
            <w:shd w:val="clear" w:color="000000" w:fill="A9D08E"/>
            <w:vAlign w:val="bottom"/>
            <w:hideMark/>
          </w:tcPr>
          <w:p w14:paraId="4F461E1C"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1 024 225</w:t>
            </w:r>
          </w:p>
        </w:tc>
        <w:tc>
          <w:tcPr>
            <w:tcW w:w="944" w:type="dxa"/>
            <w:tcBorders>
              <w:top w:val="nil"/>
              <w:left w:val="nil"/>
              <w:bottom w:val="single" w:sz="4" w:space="0" w:color="auto"/>
              <w:right w:val="single" w:sz="4" w:space="0" w:color="auto"/>
            </w:tcBorders>
            <w:shd w:val="clear" w:color="000000" w:fill="A9D08E"/>
            <w:vAlign w:val="bottom"/>
            <w:hideMark/>
          </w:tcPr>
          <w:p w14:paraId="4FFDEBCB"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15 116 612</w:t>
            </w:r>
          </w:p>
        </w:tc>
        <w:tc>
          <w:tcPr>
            <w:tcW w:w="940" w:type="dxa"/>
            <w:tcBorders>
              <w:top w:val="nil"/>
              <w:left w:val="nil"/>
              <w:bottom w:val="single" w:sz="4" w:space="0" w:color="auto"/>
              <w:right w:val="single" w:sz="4" w:space="0" w:color="auto"/>
            </w:tcBorders>
            <w:shd w:val="clear" w:color="000000" w:fill="A9D08E"/>
            <w:vAlign w:val="bottom"/>
            <w:hideMark/>
          </w:tcPr>
          <w:p w14:paraId="5B4B997F"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13 925 145</w:t>
            </w:r>
          </w:p>
        </w:tc>
        <w:tc>
          <w:tcPr>
            <w:tcW w:w="941" w:type="dxa"/>
            <w:tcBorders>
              <w:top w:val="nil"/>
              <w:left w:val="nil"/>
              <w:bottom w:val="single" w:sz="4" w:space="0" w:color="auto"/>
              <w:right w:val="single" w:sz="4" w:space="0" w:color="auto"/>
            </w:tcBorders>
            <w:shd w:val="clear" w:color="000000" w:fill="A9D08E"/>
            <w:vAlign w:val="bottom"/>
            <w:hideMark/>
          </w:tcPr>
          <w:p w14:paraId="7E4C734D"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1 024 225</w:t>
            </w:r>
          </w:p>
        </w:tc>
        <w:tc>
          <w:tcPr>
            <w:tcW w:w="943" w:type="dxa"/>
            <w:tcBorders>
              <w:top w:val="nil"/>
              <w:left w:val="nil"/>
              <w:bottom w:val="single" w:sz="4" w:space="0" w:color="auto"/>
              <w:right w:val="single" w:sz="4" w:space="0" w:color="auto"/>
            </w:tcBorders>
            <w:shd w:val="clear" w:color="000000" w:fill="A9D08E"/>
            <w:vAlign w:val="bottom"/>
            <w:hideMark/>
          </w:tcPr>
          <w:p w14:paraId="55F04CD4"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14 949 370</w:t>
            </w:r>
          </w:p>
        </w:tc>
        <w:tc>
          <w:tcPr>
            <w:tcW w:w="977" w:type="dxa"/>
            <w:tcBorders>
              <w:top w:val="nil"/>
              <w:left w:val="nil"/>
              <w:bottom w:val="single" w:sz="4" w:space="0" w:color="auto"/>
              <w:right w:val="single" w:sz="4" w:space="0" w:color="auto"/>
            </w:tcBorders>
            <w:shd w:val="clear" w:color="000000" w:fill="A9D08E"/>
            <w:vAlign w:val="bottom"/>
            <w:hideMark/>
          </w:tcPr>
          <w:p w14:paraId="7EC04498"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13 844 387</w:t>
            </w:r>
          </w:p>
        </w:tc>
        <w:tc>
          <w:tcPr>
            <w:tcW w:w="907" w:type="dxa"/>
            <w:tcBorders>
              <w:top w:val="nil"/>
              <w:left w:val="nil"/>
              <w:bottom w:val="single" w:sz="4" w:space="0" w:color="auto"/>
              <w:right w:val="single" w:sz="4" w:space="0" w:color="auto"/>
            </w:tcBorders>
            <w:shd w:val="clear" w:color="000000" w:fill="A9D08E"/>
            <w:vAlign w:val="bottom"/>
            <w:hideMark/>
          </w:tcPr>
          <w:p w14:paraId="3114646B"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1 024 225</w:t>
            </w:r>
          </w:p>
        </w:tc>
        <w:tc>
          <w:tcPr>
            <w:tcW w:w="941" w:type="dxa"/>
            <w:tcBorders>
              <w:top w:val="nil"/>
              <w:left w:val="nil"/>
              <w:bottom w:val="single" w:sz="4" w:space="0" w:color="auto"/>
              <w:right w:val="single" w:sz="4" w:space="0" w:color="auto"/>
            </w:tcBorders>
            <w:shd w:val="clear" w:color="000000" w:fill="A9D08E"/>
            <w:vAlign w:val="bottom"/>
            <w:hideMark/>
          </w:tcPr>
          <w:p w14:paraId="765D379B"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14 868 612</w:t>
            </w:r>
          </w:p>
        </w:tc>
      </w:tr>
      <w:tr w:rsidR="00666E35" w:rsidRPr="00DF24BC" w14:paraId="7FDDDA8B" w14:textId="77777777" w:rsidTr="00666E35">
        <w:trPr>
          <w:gridAfter w:val="1"/>
          <w:wAfter w:w="7" w:type="dxa"/>
          <w:trHeight w:val="50"/>
        </w:trPr>
        <w:tc>
          <w:tcPr>
            <w:tcW w:w="801" w:type="dxa"/>
            <w:tcBorders>
              <w:top w:val="nil"/>
              <w:left w:val="single" w:sz="4" w:space="0" w:color="auto"/>
              <w:bottom w:val="single" w:sz="4" w:space="0" w:color="auto"/>
              <w:right w:val="single" w:sz="4" w:space="0" w:color="auto"/>
            </w:tcBorders>
            <w:shd w:val="clear" w:color="000000" w:fill="E2EFDA"/>
            <w:vAlign w:val="bottom"/>
            <w:hideMark/>
          </w:tcPr>
          <w:p w14:paraId="217FD69D" w14:textId="77777777" w:rsidR="002E0F43" w:rsidRPr="00911783" w:rsidRDefault="002E0F43" w:rsidP="002E0F43">
            <w:pPr>
              <w:spacing w:after="120" w:line="254" w:lineRule="auto"/>
              <w:rPr>
                <w:rFonts w:eastAsia="Times New Roman" w:cs="Times New Roman"/>
                <w:color w:val="000000"/>
                <w:sz w:val="16"/>
                <w:szCs w:val="16"/>
                <w:lang w:eastAsia="lv-LV"/>
              </w:rPr>
            </w:pPr>
            <w:r w:rsidRPr="00911783">
              <w:rPr>
                <w:rFonts w:eastAsia="Times New Roman" w:cs="Times New Roman"/>
                <w:color w:val="000000"/>
                <w:sz w:val="16"/>
                <w:szCs w:val="16"/>
                <w:lang w:eastAsia="lv-LV"/>
              </w:rPr>
              <w:t>20.01.00</w:t>
            </w:r>
          </w:p>
        </w:tc>
        <w:tc>
          <w:tcPr>
            <w:tcW w:w="940" w:type="dxa"/>
            <w:tcBorders>
              <w:top w:val="nil"/>
              <w:left w:val="nil"/>
              <w:bottom w:val="single" w:sz="4" w:space="0" w:color="auto"/>
              <w:right w:val="single" w:sz="4" w:space="0" w:color="auto"/>
            </w:tcBorders>
            <w:shd w:val="clear" w:color="000000" w:fill="E2EFDA"/>
            <w:vAlign w:val="bottom"/>
            <w:hideMark/>
          </w:tcPr>
          <w:p w14:paraId="4058FF68"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12 879 583</w:t>
            </w:r>
          </w:p>
        </w:tc>
        <w:tc>
          <w:tcPr>
            <w:tcW w:w="941" w:type="dxa"/>
            <w:tcBorders>
              <w:top w:val="nil"/>
              <w:left w:val="nil"/>
              <w:bottom w:val="single" w:sz="4" w:space="0" w:color="auto"/>
              <w:right w:val="single" w:sz="4" w:space="0" w:color="auto"/>
            </w:tcBorders>
            <w:shd w:val="clear" w:color="000000" w:fill="E2EFDA"/>
            <w:vAlign w:val="bottom"/>
            <w:hideMark/>
          </w:tcPr>
          <w:p w14:paraId="314AFF5D"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1 411 929</w:t>
            </w:r>
          </w:p>
        </w:tc>
        <w:tc>
          <w:tcPr>
            <w:tcW w:w="944" w:type="dxa"/>
            <w:tcBorders>
              <w:top w:val="nil"/>
              <w:left w:val="nil"/>
              <w:bottom w:val="single" w:sz="4" w:space="0" w:color="auto"/>
              <w:right w:val="single" w:sz="4" w:space="0" w:color="auto"/>
            </w:tcBorders>
            <w:shd w:val="clear" w:color="000000" w:fill="E2EFDA"/>
            <w:vAlign w:val="bottom"/>
            <w:hideMark/>
          </w:tcPr>
          <w:p w14:paraId="253370AC"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14 291 512</w:t>
            </w:r>
          </w:p>
        </w:tc>
        <w:tc>
          <w:tcPr>
            <w:tcW w:w="940" w:type="dxa"/>
            <w:tcBorders>
              <w:top w:val="nil"/>
              <w:left w:val="nil"/>
              <w:bottom w:val="single" w:sz="4" w:space="0" w:color="auto"/>
              <w:right w:val="single" w:sz="4" w:space="0" w:color="auto"/>
            </w:tcBorders>
            <w:shd w:val="clear" w:color="000000" w:fill="E2EFDA"/>
            <w:vAlign w:val="bottom"/>
            <w:hideMark/>
          </w:tcPr>
          <w:p w14:paraId="417640D0"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12 712 341</w:t>
            </w:r>
          </w:p>
        </w:tc>
        <w:tc>
          <w:tcPr>
            <w:tcW w:w="941" w:type="dxa"/>
            <w:tcBorders>
              <w:top w:val="nil"/>
              <w:left w:val="nil"/>
              <w:bottom w:val="single" w:sz="4" w:space="0" w:color="auto"/>
              <w:right w:val="single" w:sz="4" w:space="0" w:color="auto"/>
            </w:tcBorders>
            <w:shd w:val="clear" w:color="000000" w:fill="E2EFDA"/>
            <w:vAlign w:val="bottom"/>
            <w:hideMark/>
          </w:tcPr>
          <w:p w14:paraId="70A14C98"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1 411 929</w:t>
            </w:r>
          </w:p>
        </w:tc>
        <w:tc>
          <w:tcPr>
            <w:tcW w:w="943" w:type="dxa"/>
            <w:tcBorders>
              <w:top w:val="nil"/>
              <w:left w:val="nil"/>
              <w:bottom w:val="single" w:sz="4" w:space="0" w:color="auto"/>
              <w:right w:val="single" w:sz="4" w:space="0" w:color="auto"/>
            </w:tcBorders>
            <w:shd w:val="clear" w:color="000000" w:fill="E2EFDA"/>
            <w:vAlign w:val="bottom"/>
            <w:hideMark/>
          </w:tcPr>
          <w:p w14:paraId="770445AC"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14 124 270</w:t>
            </w:r>
          </w:p>
        </w:tc>
        <w:tc>
          <w:tcPr>
            <w:tcW w:w="977" w:type="dxa"/>
            <w:tcBorders>
              <w:top w:val="nil"/>
              <w:left w:val="nil"/>
              <w:bottom w:val="single" w:sz="4" w:space="0" w:color="auto"/>
              <w:right w:val="single" w:sz="4" w:space="0" w:color="auto"/>
            </w:tcBorders>
            <w:shd w:val="clear" w:color="000000" w:fill="E2EFDA"/>
            <w:vAlign w:val="bottom"/>
            <w:hideMark/>
          </w:tcPr>
          <w:p w14:paraId="79F1CB65"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12 631 583</w:t>
            </w:r>
          </w:p>
        </w:tc>
        <w:tc>
          <w:tcPr>
            <w:tcW w:w="907" w:type="dxa"/>
            <w:tcBorders>
              <w:top w:val="nil"/>
              <w:left w:val="nil"/>
              <w:bottom w:val="single" w:sz="4" w:space="0" w:color="auto"/>
              <w:right w:val="single" w:sz="4" w:space="0" w:color="auto"/>
            </w:tcBorders>
            <w:shd w:val="clear" w:color="000000" w:fill="E2EFDA"/>
            <w:vAlign w:val="bottom"/>
            <w:hideMark/>
          </w:tcPr>
          <w:p w14:paraId="4C14E1E5"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1 411 929</w:t>
            </w:r>
          </w:p>
        </w:tc>
        <w:tc>
          <w:tcPr>
            <w:tcW w:w="941" w:type="dxa"/>
            <w:tcBorders>
              <w:top w:val="nil"/>
              <w:left w:val="nil"/>
              <w:bottom w:val="single" w:sz="4" w:space="0" w:color="auto"/>
              <w:right w:val="single" w:sz="4" w:space="0" w:color="auto"/>
            </w:tcBorders>
            <w:shd w:val="clear" w:color="000000" w:fill="E2EFDA"/>
            <w:vAlign w:val="bottom"/>
            <w:hideMark/>
          </w:tcPr>
          <w:p w14:paraId="582ADFF0"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14 043 512</w:t>
            </w:r>
          </w:p>
        </w:tc>
      </w:tr>
      <w:tr w:rsidR="00666E35" w:rsidRPr="00DF24BC" w14:paraId="19B5F285" w14:textId="77777777" w:rsidTr="00666E35">
        <w:trPr>
          <w:gridAfter w:val="1"/>
          <w:wAfter w:w="7" w:type="dxa"/>
          <w:trHeight w:val="50"/>
        </w:trPr>
        <w:tc>
          <w:tcPr>
            <w:tcW w:w="801" w:type="dxa"/>
            <w:tcBorders>
              <w:top w:val="nil"/>
              <w:left w:val="single" w:sz="4" w:space="0" w:color="auto"/>
              <w:bottom w:val="single" w:sz="4" w:space="0" w:color="auto"/>
              <w:right w:val="single" w:sz="4" w:space="0" w:color="auto"/>
            </w:tcBorders>
            <w:shd w:val="clear" w:color="000000" w:fill="E2EFDA"/>
            <w:vAlign w:val="bottom"/>
            <w:hideMark/>
          </w:tcPr>
          <w:p w14:paraId="7D15F6F6" w14:textId="77777777" w:rsidR="002E0F43" w:rsidRPr="00911783" w:rsidRDefault="002E0F43" w:rsidP="002E0F43">
            <w:pPr>
              <w:spacing w:after="120" w:line="254" w:lineRule="auto"/>
              <w:rPr>
                <w:rFonts w:eastAsia="Times New Roman" w:cs="Times New Roman"/>
                <w:color w:val="000000"/>
                <w:sz w:val="16"/>
                <w:szCs w:val="16"/>
                <w:lang w:eastAsia="lv-LV"/>
              </w:rPr>
            </w:pPr>
            <w:r w:rsidRPr="00911783">
              <w:rPr>
                <w:rFonts w:eastAsia="Times New Roman" w:cs="Times New Roman"/>
                <w:color w:val="000000"/>
                <w:sz w:val="16"/>
                <w:szCs w:val="16"/>
                <w:lang w:eastAsia="lv-LV"/>
              </w:rPr>
              <w:t>20.02.00</w:t>
            </w:r>
          </w:p>
        </w:tc>
        <w:tc>
          <w:tcPr>
            <w:tcW w:w="940" w:type="dxa"/>
            <w:tcBorders>
              <w:top w:val="nil"/>
              <w:left w:val="nil"/>
              <w:bottom w:val="single" w:sz="4" w:space="0" w:color="auto"/>
              <w:right w:val="single" w:sz="4" w:space="0" w:color="auto"/>
            </w:tcBorders>
            <w:shd w:val="clear" w:color="000000" w:fill="E2EFDA"/>
            <w:vAlign w:val="bottom"/>
            <w:hideMark/>
          </w:tcPr>
          <w:p w14:paraId="4EB02DEF"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1 212 804</w:t>
            </w:r>
          </w:p>
        </w:tc>
        <w:tc>
          <w:tcPr>
            <w:tcW w:w="941" w:type="dxa"/>
            <w:tcBorders>
              <w:top w:val="nil"/>
              <w:left w:val="nil"/>
              <w:bottom w:val="single" w:sz="4" w:space="0" w:color="auto"/>
              <w:right w:val="single" w:sz="4" w:space="0" w:color="auto"/>
            </w:tcBorders>
            <w:shd w:val="clear" w:color="000000" w:fill="E2EFDA"/>
            <w:vAlign w:val="bottom"/>
            <w:hideMark/>
          </w:tcPr>
          <w:p w14:paraId="57DEF952"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-387 704</w:t>
            </w:r>
          </w:p>
        </w:tc>
        <w:tc>
          <w:tcPr>
            <w:tcW w:w="944" w:type="dxa"/>
            <w:tcBorders>
              <w:top w:val="nil"/>
              <w:left w:val="nil"/>
              <w:bottom w:val="single" w:sz="4" w:space="0" w:color="auto"/>
              <w:right w:val="single" w:sz="4" w:space="0" w:color="auto"/>
            </w:tcBorders>
            <w:shd w:val="clear" w:color="000000" w:fill="E2EFDA"/>
            <w:vAlign w:val="bottom"/>
            <w:hideMark/>
          </w:tcPr>
          <w:p w14:paraId="200FB447"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825 100</w:t>
            </w:r>
          </w:p>
        </w:tc>
        <w:tc>
          <w:tcPr>
            <w:tcW w:w="940" w:type="dxa"/>
            <w:tcBorders>
              <w:top w:val="nil"/>
              <w:left w:val="nil"/>
              <w:bottom w:val="single" w:sz="4" w:space="0" w:color="auto"/>
              <w:right w:val="single" w:sz="4" w:space="0" w:color="auto"/>
            </w:tcBorders>
            <w:shd w:val="clear" w:color="000000" w:fill="E2EFDA"/>
            <w:vAlign w:val="bottom"/>
            <w:hideMark/>
          </w:tcPr>
          <w:p w14:paraId="1583DA71"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1 212 804</w:t>
            </w:r>
          </w:p>
        </w:tc>
        <w:tc>
          <w:tcPr>
            <w:tcW w:w="941" w:type="dxa"/>
            <w:tcBorders>
              <w:top w:val="nil"/>
              <w:left w:val="nil"/>
              <w:bottom w:val="single" w:sz="4" w:space="0" w:color="auto"/>
              <w:right w:val="single" w:sz="4" w:space="0" w:color="auto"/>
            </w:tcBorders>
            <w:shd w:val="clear" w:color="000000" w:fill="E2EFDA"/>
            <w:vAlign w:val="bottom"/>
            <w:hideMark/>
          </w:tcPr>
          <w:p w14:paraId="7E5FE1EF"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-387 704</w:t>
            </w:r>
          </w:p>
        </w:tc>
        <w:tc>
          <w:tcPr>
            <w:tcW w:w="943" w:type="dxa"/>
            <w:tcBorders>
              <w:top w:val="nil"/>
              <w:left w:val="nil"/>
              <w:bottom w:val="single" w:sz="4" w:space="0" w:color="auto"/>
              <w:right w:val="single" w:sz="4" w:space="0" w:color="auto"/>
            </w:tcBorders>
            <w:shd w:val="clear" w:color="000000" w:fill="E2EFDA"/>
            <w:vAlign w:val="bottom"/>
            <w:hideMark/>
          </w:tcPr>
          <w:p w14:paraId="3F6B9991"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825 100</w:t>
            </w:r>
          </w:p>
        </w:tc>
        <w:tc>
          <w:tcPr>
            <w:tcW w:w="977" w:type="dxa"/>
            <w:tcBorders>
              <w:top w:val="nil"/>
              <w:left w:val="nil"/>
              <w:bottom w:val="single" w:sz="4" w:space="0" w:color="auto"/>
              <w:right w:val="single" w:sz="4" w:space="0" w:color="auto"/>
            </w:tcBorders>
            <w:shd w:val="clear" w:color="000000" w:fill="E2EFDA"/>
            <w:vAlign w:val="bottom"/>
            <w:hideMark/>
          </w:tcPr>
          <w:p w14:paraId="1DEF2060"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1 212 804</w:t>
            </w:r>
          </w:p>
        </w:tc>
        <w:tc>
          <w:tcPr>
            <w:tcW w:w="907" w:type="dxa"/>
            <w:tcBorders>
              <w:top w:val="nil"/>
              <w:left w:val="nil"/>
              <w:bottom w:val="single" w:sz="4" w:space="0" w:color="auto"/>
              <w:right w:val="single" w:sz="4" w:space="0" w:color="auto"/>
            </w:tcBorders>
            <w:shd w:val="clear" w:color="000000" w:fill="E2EFDA"/>
            <w:vAlign w:val="bottom"/>
            <w:hideMark/>
          </w:tcPr>
          <w:p w14:paraId="79B9CE66"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-387 704</w:t>
            </w:r>
          </w:p>
        </w:tc>
        <w:tc>
          <w:tcPr>
            <w:tcW w:w="941" w:type="dxa"/>
            <w:tcBorders>
              <w:top w:val="nil"/>
              <w:left w:val="nil"/>
              <w:bottom w:val="single" w:sz="4" w:space="0" w:color="auto"/>
              <w:right w:val="single" w:sz="4" w:space="0" w:color="auto"/>
            </w:tcBorders>
            <w:shd w:val="clear" w:color="000000" w:fill="E2EFDA"/>
            <w:vAlign w:val="bottom"/>
            <w:hideMark/>
          </w:tcPr>
          <w:p w14:paraId="683022DA"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825 100</w:t>
            </w:r>
          </w:p>
        </w:tc>
      </w:tr>
      <w:tr w:rsidR="00666E35" w:rsidRPr="00DF24BC" w14:paraId="6C07A716" w14:textId="77777777" w:rsidTr="00666E35">
        <w:trPr>
          <w:gridAfter w:val="1"/>
          <w:wAfter w:w="7" w:type="dxa"/>
          <w:trHeight w:val="51"/>
        </w:trPr>
        <w:tc>
          <w:tcPr>
            <w:tcW w:w="801" w:type="dxa"/>
            <w:tcBorders>
              <w:top w:val="nil"/>
              <w:left w:val="single" w:sz="4" w:space="0" w:color="auto"/>
              <w:bottom w:val="single" w:sz="4" w:space="0" w:color="auto"/>
              <w:right w:val="single" w:sz="4" w:space="0" w:color="auto"/>
            </w:tcBorders>
            <w:shd w:val="clear" w:color="000000" w:fill="A9D08E"/>
            <w:vAlign w:val="bottom"/>
            <w:hideMark/>
          </w:tcPr>
          <w:p w14:paraId="74258C50" w14:textId="77777777" w:rsidR="002E0F43" w:rsidRPr="00911783" w:rsidRDefault="002E0F43" w:rsidP="002E0F43">
            <w:pPr>
              <w:spacing w:after="120" w:line="254" w:lineRule="auto"/>
              <w:rPr>
                <w:rFonts w:eastAsia="Times New Roman" w:cs="Times New Roman"/>
                <w:b/>
                <w:bCs/>
                <w:color w:val="000000"/>
                <w:sz w:val="16"/>
                <w:szCs w:val="16"/>
                <w:lang w:eastAsia="lv-LV"/>
              </w:rPr>
            </w:pPr>
            <w:r w:rsidRPr="00911783">
              <w:rPr>
                <w:rFonts w:eastAsia="Times New Roman" w:cs="Times New Roman"/>
                <w:b/>
                <w:bCs/>
                <w:color w:val="000000"/>
                <w:sz w:val="16"/>
                <w:szCs w:val="16"/>
                <w:lang w:eastAsia="lv-LV"/>
              </w:rPr>
              <w:t>70.06.00</w:t>
            </w:r>
          </w:p>
        </w:tc>
        <w:tc>
          <w:tcPr>
            <w:tcW w:w="940" w:type="dxa"/>
            <w:tcBorders>
              <w:top w:val="nil"/>
              <w:left w:val="nil"/>
              <w:bottom w:val="single" w:sz="4" w:space="0" w:color="auto"/>
              <w:right w:val="single" w:sz="4" w:space="0" w:color="auto"/>
            </w:tcBorders>
            <w:shd w:val="clear" w:color="000000" w:fill="A9D08E"/>
            <w:vAlign w:val="bottom"/>
            <w:hideMark/>
          </w:tcPr>
          <w:p w14:paraId="5F84DB83"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6 284 346</w:t>
            </w:r>
          </w:p>
        </w:tc>
        <w:tc>
          <w:tcPr>
            <w:tcW w:w="941" w:type="dxa"/>
            <w:tcBorders>
              <w:top w:val="nil"/>
              <w:left w:val="nil"/>
              <w:bottom w:val="single" w:sz="4" w:space="0" w:color="auto"/>
              <w:right w:val="single" w:sz="4" w:space="0" w:color="auto"/>
            </w:tcBorders>
            <w:shd w:val="clear" w:color="000000" w:fill="A9D08E"/>
            <w:vAlign w:val="bottom"/>
            <w:hideMark/>
          </w:tcPr>
          <w:p w14:paraId="06E61393"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-1 190 943</w:t>
            </w:r>
          </w:p>
        </w:tc>
        <w:tc>
          <w:tcPr>
            <w:tcW w:w="944" w:type="dxa"/>
            <w:tcBorders>
              <w:top w:val="nil"/>
              <w:left w:val="nil"/>
              <w:bottom w:val="single" w:sz="4" w:space="0" w:color="auto"/>
              <w:right w:val="single" w:sz="4" w:space="0" w:color="auto"/>
            </w:tcBorders>
            <w:shd w:val="clear" w:color="000000" w:fill="A9D08E"/>
            <w:vAlign w:val="bottom"/>
            <w:hideMark/>
          </w:tcPr>
          <w:p w14:paraId="43899FDB"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5 093 403</w:t>
            </w:r>
          </w:p>
        </w:tc>
        <w:tc>
          <w:tcPr>
            <w:tcW w:w="940" w:type="dxa"/>
            <w:tcBorders>
              <w:top w:val="nil"/>
              <w:left w:val="nil"/>
              <w:bottom w:val="single" w:sz="4" w:space="0" w:color="auto"/>
              <w:right w:val="single" w:sz="4" w:space="0" w:color="auto"/>
            </w:tcBorders>
            <w:shd w:val="clear" w:color="000000" w:fill="A9D08E"/>
            <w:vAlign w:val="bottom"/>
            <w:hideMark/>
          </w:tcPr>
          <w:p w14:paraId="11C669E8"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3 650 886</w:t>
            </w:r>
          </w:p>
        </w:tc>
        <w:tc>
          <w:tcPr>
            <w:tcW w:w="941" w:type="dxa"/>
            <w:tcBorders>
              <w:top w:val="nil"/>
              <w:left w:val="nil"/>
              <w:bottom w:val="single" w:sz="4" w:space="0" w:color="auto"/>
              <w:right w:val="single" w:sz="4" w:space="0" w:color="auto"/>
            </w:tcBorders>
            <w:shd w:val="clear" w:color="000000" w:fill="A9D08E"/>
            <w:vAlign w:val="bottom"/>
            <w:hideMark/>
          </w:tcPr>
          <w:p w14:paraId="03D9987D"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1 442 517</w:t>
            </w:r>
          </w:p>
        </w:tc>
        <w:tc>
          <w:tcPr>
            <w:tcW w:w="943" w:type="dxa"/>
            <w:tcBorders>
              <w:top w:val="nil"/>
              <w:left w:val="nil"/>
              <w:bottom w:val="single" w:sz="4" w:space="0" w:color="auto"/>
              <w:right w:val="single" w:sz="4" w:space="0" w:color="auto"/>
            </w:tcBorders>
            <w:shd w:val="clear" w:color="000000" w:fill="A9D08E"/>
            <w:vAlign w:val="bottom"/>
            <w:hideMark/>
          </w:tcPr>
          <w:p w14:paraId="4DBBB785"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5 093 403</w:t>
            </w:r>
          </w:p>
        </w:tc>
        <w:tc>
          <w:tcPr>
            <w:tcW w:w="977" w:type="dxa"/>
            <w:tcBorders>
              <w:top w:val="nil"/>
              <w:left w:val="nil"/>
              <w:bottom w:val="single" w:sz="4" w:space="0" w:color="auto"/>
              <w:right w:val="single" w:sz="4" w:space="0" w:color="auto"/>
            </w:tcBorders>
            <w:shd w:val="clear" w:color="000000" w:fill="A9D08E"/>
            <w:vAlign w:val="bottom"/>
            <w:hideMark/>
          </w:tcPr>
          <w:p w14:paraId="357C476D"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3 650 886</w:t>
            </w:r>
          </w:p>
        </w:tc>
        <w:tc>
          <w:tcPr>
            <w:tcW w:w="907" w:type="dxa"/>
            <w:tcBorders>
              <w:top w:val="nil"/>
              <w:left w:val="nil"/>
              <w:bottom w:val="single" w:sz="4" w:space="0" w:color="auto"/>
              <w:right w:val="single" w:sz="4" w:space="0" w:color="auto"/>
            </w:tcBorders>
            <w:shd w:val="clear" w:color="000000" w:fill="A9D08E"/>
            <w:vAlign w:val="bottom"/>
            <w:hideMark/>
          </w:tcPr>
          <w:p w14:paraId="7BCCFFD4"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1 442 517</w:t>
            </w:r>
          </w:p>
        </w:tc>
        <w:tc>
          <w:tcPr>
            <w:tcW w:w="941" w:type="dxa"/>
            <w:tcBorders>
              <w:top w:val="nil"/>
              <w:left w:val="nil"/>
              <w:bottom w:val="single" w:sz="4" w:space="0" w:color="auto"/>
              <w:right w:val="single" w:sz="4" w:space="0" w:color="auto"/>
            </w:tcBorders>
            <w:shd w:val="clear" w:color="000000" w:fill="A9D08E"/>
            <w:vAlign w:val="bottom"/>
            <w:hideMark/>
          </w:tcPr>
          <w:p w14:paraId="027F630D"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5 093 403</w:t>
            </w:r>
          </w:p>
        </w:tc>
      </w:tr>
      <w:tr w:rsidR="00666E35" w:rsidRPr="00DF24BC" w14:paraId="2FE1EE08" w14:textId="77777777" w:rsidTr="00666E35">
        <w:trPr>
          <w:gridAfter w:val="1"/>
          <w:wAfter w:w="7" w:type="dxa"/>
          <w:trHeight w:val="113"/>
        </w:trPr>
        <w:tc>
          <w:tcPr>
            <w:tcW w:w="801" w:type="dxa"/>
            <w:tcBorders>
              <w:top w:val="nil"/>
              <w:left w:val="single" w:sz="4" w:space="0" w:color="auto"/>
              <w:bottom w:val="single" w:sz="4" w:space="0" w:color="auto"/>
              <w:right w:val="single" w:sz="4" w:space="0" w:color="auto"/>
            </w:tcBorders>
            <w:shd w:val="clear" w:color="000000" w:fill="E2EFDA"/>
            <w:vAlign w:val="bottom"/>
            <w:hideMark/>
          </w:tcPr>
          <w:p w14:paraId="7CA1EE21" w14:textId="77777777" w:rsidR="002E0F43" w:rsidRPr="00911783" w:rsidRDefault="002E0F43" w:rsidP="002E0F43">
            <w:pPr>
              <w:spacing w:after="120" w:line="254" w:lineRule="auto"/>
              <w:rPr>
                <w:rFonts w:eastAsia="Times New Roman" w:cs="Times New Roman"/>
                <w:color w:val="000000"/>
                <w:sz w:val="16"/>
                <w:szCs w:val="16"/>
                <w:lang w:eastAsia="lv-LV"/>
              </w:rPr>
            </w:pPr>
            <w:r w:rsidRPr="00911783">
              <w:rPr>
                <w:rFonts w:eastAsia="Times New Roman" w:cs="Times New Roman"/>
                <w:color w:val="000000"/>
                <w:sz w:val="16"/>
                <w:szCs w:val="16"/>
                <w:lang w:eastAsia="lv-LV"/>
              </w:rPr>
              <w:t>PVD</w:t>
            </w:r>
          </w:p>
        </w:tc>
        <w:tc>
          <w:tcPr>
            <w:tcW w:w="940" w:type="dxa"/>
            <w:tcBorders>
              <w:top w:val="nil"/>
              <w:left w:val="nil"/>
              <w:bottom w:val="single" w:sz="4" w:space="0" w:color="auto"/>
              <w:right w:val="single" w:sz="4" w:space="0" w:color="auto"/>
            </w:tcBorders>
            <w:shd w:val="clear" w:color="000000" w:fill="E2EFDA"/>
            <w:vAlign w:val="bottom"/>
            <w:hideMark/>
          </w:tcPr>
          <w:p w14:paraId="6B39518F"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4 570 486</w:t>
            </w:r>
          </w:p>
        </w:tc>
        <w:tc>
          <w:tcPr>
            <w:tcW w:w="941" w:type="dxa"/>
            <w:tcBorders>
              <w:top w:val="nil"/>
              <w:left w:val="nil"/>
              <w:bottom w:val="single" w:sz="4" w:space="0" w:color="auto"/>
              <w:right w:val="single" w:sz="4" w:space="0" w:color="auto"/>
            </w:tcBorders>
            <w:shd w:val="clear" w:color="000000" w:fill="E2EFDA"/>
            <w:vAlign w:val="bottom"/>
            <w:hideMark/>
          </w:tcPr>
          <w:p w14:paraId="10FAD89B"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-1 652 724</w:t>
            </w:r>
          </w:p>
        </w:tc>
        <w:tc>
          <w:tcPr>
            <w:tcW w:w="944" w:type="dxa"/>
            <w:tcBorders>
              <w:top w:val="nil"/>
              <w:left w:val="nil"/>
              <w:bottom w:val="single" w:sz="4" w:space="0" w:color="auto"/>
              <w:right w:val="single" w:sz="4" w:space="0" w:color="auto"/>
            </w:tcBorders>
            <w:shd w:val="clear" w:color="000000" w:fill="E2EFDA"/>
            <w:vAlign w:val="bottom"/>
            <w:hideMark/>
          </w:tcPr>
          <w:p w14:paraId="02547D51"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2 917 762</w:t>
            </w:r>
          </w:p>
        </w:tc>
        <w:tc>
          <w:tcPr>
            <w:tcW w:w="940" w:type="dxa"/>
            <w:tcBorders>
              <w:top w:val="nil"/>
              <w:left w:val="nil"/>
              <w:bottom w:val="single" w:sz="4" w:space="0" w:color="auto"/>
              <w:right w:val="single" w:sz="4" w:space="0" w:color="auto"/>
            </w:tcBorders>
            <w:shd w:val="clear" w:color="000000" w:fill="E2EFDA"/>
            <w:vAlign w:val="bottom"/>
            <w:hideMark/>
          </w:tcPr>
          <w:p w14:paraId="7E583914"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2 851 721</w:t>
            </w:r>
          </w:p>
        </w:tc>
        <w:tc>
          <w:tcPr>
            <w:tcW w:w="941" w:type="dxa"/>
            <w:tcBorders>
              <w:top w:val="nil"/>
              <w:left w:val="nil"/>
              <w:bottom w:val="single" w:sz="4" w:space="0" w:color="auto"/>
              <w:right w:val="single" w:sz="4" w:space="0" w:color="auto"/>
            </w:tcBorders>
            <w:shd w:val="clear" w:color="000000" w:fill="E2EFDA"/>
            <w:vAlign w:val="bottom"/>
            <w:hideMark/>
          </w:tcPr>
          <w:p w14:paraId="1992BE5D"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66 041</w:t>
            </w:r>
          </w:p>
        </w:tc>
        <w:tc>
          <w:tcPr>
            <w:tcW w:w="943" w:type="dxa"/>
            <w:tcBorders>
              <w:top w:val="nil"/>
              <w:left w:val="nil"/>
              <w:bottom w:val="single" w:sz="4" w:space="0" w:color="auto"/>
              <w:right w:val="single" w:sz="4" w:space="0" w:color="auto"/>
            </w:tcBorders>
            <w:shd w:val="clear" w:color="000000" w:fill="E2EFDA"/>
            <w:vAlign w:val="bottom"/>
            <w:hideMark/>
          </w:tcPr>
          <w:p w14:paraId="2D9DB733"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2 917 762</w:t>
            </w:r>
          </w:p>
        </w:tc>
        <w:tc>
          <w:tcPr>
            <w:tcW w:w="977" w:type="dxa"/>
            <w:tcBorders>
              <w:top w:val="nil"/>
              <w:left w:val="nil"/>
              <w:bottom w:val="single" w:sz="4" w:space="0" w:color="auto"/>
              <w:right w:val="single" w:sz="4" w:space="0" w:color="auto"/>
            </w:tcBorders>
            <w:shd w:val="clear" w:color="000000" w:fill="E2EFDA"/>
            <w:vAlign w:val="bottom"/>
            <w:hideMark/>
          </w:tcPr>
          <w:p w14:paraId="1689E8F6"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2 851 721</w:t>
            </w:r>
          </w:p>
        </w:tc>
        <w:tc>
          <w:tcPr>
            <w:tcW w:w="907" w:type="dxa"/>
            <w:tcBorders>
              <w:top w:val="nil"/>
              <w:left w:val="nil"/>
              <w:bottom w:val="single" w:sz="4" w:space="0" w:color="auto"/>
              <w:right w:val="single" w:sz="4" w:space="0" w:color="auto"/>
            </w:tcBorders>
            <w:shd w:val="clear" w:color="000000" w:fill="E2EFDA"/>
            <w:vAlign w:val="bottom"/>
            <w:hideMark/>
          </w:tcPr>
          <w:p w14:paraId="43BAD925"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66 041</w:t>
            </w:r>
          </w:p>
        </w:tc>
        <w:tc>
          <w:tcPr>
            <w:tcW w:w="941" w:type="dxa"/>
            <w:tcBorders>
              <w:top w:val="nil"/>
              <w:left w:val="nil"/>
              <w:bottom w:val="single" w:sz="4" w:space="0" w:color="auto"/>
              <w:right w:val="single" w:sz="4" w:space="0" w:color="auto"/>
            </w:tcBorders>
            <w:shd w:val="clear" w:color="000000" w:fill="E2EFDA"/>
            <w:vAlign w:val="bottom"/>
            <w:hideMark/>
          </w:tcPr>
          <w:p w14:paraId="7229279F"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2 917 762</w:t>
            </w:r>
          </w:p>
        </w:tc>
      </w:tr>
      <w:tr w:rsidR="00666E35" w:rsidRPr="00DF24BC" w14:paraId="39884E47" w14:textId="77777777" w:rsidTr="00666E35">
        <w:trPr>
          <w:gridAfter w:val="1"/>
          <w:wAfter w:w="7" w:type="dxa"/>
          <w:trHeight w:val="50"/>
        </w:trPr>
        <w:tc>
          <w:tcPr>
            <w:tcW w:w="801" w:type="dxa"/>
            <w:tcBorders>
              <w:top w:val="nil"/>
              <w:left w:val="single" w:sz="4" w:space="0" w:color="auto"/>
              <w:bottom w:val="single" w:sz="4" w:space="0" w:color="auto"/>
              <w:right w:val="single" w:sz="4" w:space="0" w:color="auto"/>
            </w:tcBorders>
            <w:shd w:val="clear" w:color="000000" w:fill="E2EFDA"/>
            <w:vAlign w:val="bottom"/>
            <w:hideMark/>
          </w:tcPr>
          <w:p w14:paraId="097578B5" w14:textId="1A0271B7" w:rsidR="002E0F43" w:rsidRPr="00911783" w:rsidRDefault="002E0F43" w:rsidP="002E0F43">
            <w:pPr>
              <w:spacing w:after="120" w:line="254" w:lineRule="auto"/>
              <w:rPr>
                <w:rFonts w:eastAsia="Times New Roman" w:cs="Times New Roman"/>
                <w:color w:val="000000"/>
                <w:sz w:val="16"/>
                <w:szCs w:val="16"/>
                <w:lang w:eastAsia="lv-LV"/>
              </w:rPr>
            </w:pPr>
            <w:r w:rsidRPr="00911783">
              <w:rPr>
                <w:rFonts w:eastAsia="Times New Roman" w:cs="Times New Roman"/>
                <w:color w:val="000000"/>
                <w:sz w:val="16"/>
                <w:szCs w:val="16"/>
                <w:lang w:eastAsia="lv-LV"/>
              </w:rPr>
              <w:t>BI</w:t>
            </w:r>
            <w:r w:rsidR="003302F5">
              <w:rPr>
                <w:rFonts w:eastAsia="Times New Roman" w:cs="Times New Roman"/>
                <w:color w:val="000000"/>
                <w:sz w:val="16"/>
                <w:szCs w:val="16"/>
                <w:lang w:eastAsia="lv-LV"/>
              </w:rPr>
              <w:t>O</w:t>
            </w:r>
            <w:r w:rsidRPr="00911783">
              <w:rPr>
                <w:rFonts w:eastAsia="Times New Roman" w:cs="Times New Roman"/>
                <w:color w:val="000000"/>
                <w:sz w:val="16"/>
                <w:szCs w:val="16"/>
                <w:lang w:eastAsia="lv-LV"/>
              </w:rPr>
              <w:t>R</w:t>
            </w:r>
          </w:p>
        </w:tc>
        <w:tc>
          <w:tcPr>
            <w:tcW w:w="940" w:type="dxa"/>
            <w:tcBorders>
              <w:top w:val="nil"/>
              <w:left w:val="nil"/>
              <w:bottom w:val="single" w:sz="4" w:space="0" w:color="auto"/>
              <w:right w:val="single" w:sz="4" w:space="0" w:color="auto"/>
            </w:tcBorders>
            <w:shd w:val="clear" w:color="000000" w:fill="E2EFDA"/>
            <w:vAlign w:val="bottom"/>
            <w:hideMark/>
          </w:tcPr>
          <w:p w14:paraId="7AA47C63"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1 713 860</w:t>
            </w:r>
          </w:p>
        </w:tc>
        <w:tc>
          <w:tcPr>
            <w:tcW w:w="941" w:type="dxa"/>
            <w:tcBorders>
              <w:top w:val="nil"/>
              <w:left w:val="nil"/>
              <w:bottom w:val="single" w:sz="4" w:space="0" w:color="auto"/>
              <w:right w:val="single" w:sz="4" w:space="0" w:color="auto"/>
            </w:tcBorders>
            <w:shd w:val="clear" w:color="000000" w:fill="E2EFDA"/>
            <w:vAlign w:val="bottom"/>
            <w:hideMark/>
          </w:tcPr>
          <w:p w14:paraId="1344CA7E"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461 781</w:t>
            </w:r>
          </w:p>
        </w:tc>
        <w:tc>
          <w:tcPr>
            <w:tcW w:w="944" w:type="dxa"/>
            <w:tcBorders>
              <w:top w:val="nil"/>
              <w:left w:val="nil"/>
              <w:bottom w:val="single" w:sz="4" w:space="0" w:color="auto"/>
              <w:right w:val="single" w:sz="4" w:space="0" w:color="auto"/>
            </w:tcBorders>
            <w:shd w:val="clear" w:color="000000" w:fill="E2EFDA"/>
            <w:vAlign w:val="bottom"/>
            <w:hideMark/>
          </w:tcPr>
          <w:p w14:paraId="5119063C"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2 175 641</w:t>
            </w:r>
          </w:p>
        </w:tc>
        <w:tc>
          <w:tcPr>
            <w:tcW w:w="940" w:type="dxa"/>
            <w:tcBorders>
              <w:top w:val="nil"/>
              <w:left w:val="nil"/>
              <w:bottom w:val="single" w:sz="4" w:space="0" w:color="auto"/>
              <w:right w:val="single" w:sz="4" w:space="0" w:color="auto"/>
            </w:tcBorders>
            <w:shd w:val="clear" w:color="000000" w:fill="E2EFDA"/>
            <w:vAlign w:val="bottom"/>
            <w:hideMark/>
          </w:tcPr>
          <w:p w14:paraId="48110A0E"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799 165</w:t>
            </w:r>
          </w:p>
        </w:tc>
        <w:tc>
          <w:tcPr>
            <w:tcW w:w="941" w:type="dxa"/>
            <w:tcBorders>
              <w:top w:val="nil"/>
              <w:left w:val="nil"/>
              <w:bottom w:val="single" w:sz="4" w:space="0" w:color="auto"/>
              <w:right w:val="single" w:sz="4" w:space="0" w:color="auto"/>
            </w:tcBorders>
            <w:shd w:val="clear" w:color="000000" w:fill="E2EFDA"/>
            <w:vAlign w:val="bottom"/>
            <w:hideMark/>
          </w:tcPr>
          <w:p w14:paraId="50BBA841"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1 376 476</w:t>
            </w:r>
          </w:p>
        </w:tc>
        <w:tc>
          <w:tcPr>
            <w:tcW w:w="943" w:type="dxa"/>
            <w:tcBorders>
              <w:top w:val="nil"/>
              <w:left w:val="nil"/>
              <w:bottom w:val="single" w:sz="4" w:space="0" w:color="auto"/>
              <w:right w:val="single" w:sz="4" w:space="0" w:color="auto"/>
            </w:tcBorders>
            <w:shd w:val="clear" w:color="000000" w:fill="E2EFDA"/>
            <w:vAlign w:val="bottom"/>
            <w:hideMark/>
          </w:tcPr>
          <w:p w14:paraId="4A32B867"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2 175 641</w:t>
            </w:r>
          </w:p>
        </w:tc>
        <w:tc>
          <w:tcPr>
            <w:tcW w:w="977" w:type="dxa"/>
            <w:tcBorders>
              <w:top w:val="nil"/>
              <w:left w:val="nil"/>
              <w:bottom w:val="single" w:sz="4" w:space="0" w:color="auto"/>
              <w:right w:val="single" w:sz="4" w:space="0" w:color="auto"/>
            </w:tcBorders>
            <w:shd w:val="clear" w:color="000000" w:fill="E2EFDA"/>
            <w:vAlign w:val="bottom"/>
            <w:hideMark/>
          </w:tcPr>
          <w:p w14:paraId="16D92BC0"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799 165</w:t>
            </w:r>
          </w:p>
        </w:tc>
        <w:tc>
          <w:tcPr>
            <w:tcW w:w="907" w:type="dxa"/>
            <w:tcBorders>
              <w:top w:val="nil"/>
              <w:left w:val="nil"/>
              <w:bottom w:val="single" w:sz="4" w:space="0" w:color="auto"/>
              <w:right w:val="single" w:sz="4" w:space="0" w:color="auto"/>
            </w:tcBorders>
            <w:shd w:val="clear" w:color="000000" w:fill="E2EFDA"/>
            <w:vAlign w:val="bottom"/>
            <w:hideMark/>
          </w:tcPr>
          <w:p w14:paraId="2470208B"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1 376 476</w:t>
            </w:r>
          </w:p>
        </w:tc>
        <w:tc>
          <w:tcPr>
            <w:tcW w:w="941" w:type="dxa"/>
            <w:tcBorders>
              <w:top w:val="nil"/>
              <w:left w:val="nil"/>
              <w:bottom w:val="single" w:sz="4" w:space="0" w:color="auto"/>
              <w:right w:val="single" w:sz="4" w:space="0" w:color="auto"/>
            </w:tcBorders>
            <w:shd w:val="clear" w:color="000000" w:fill="E2EFDA"/>
            <w:vAlign w:val="bottom"/>
            <w:hideMark/>
          </w:tcPr>
          <w:p w14:paraId="7C9D4C62" w14:textId="77777777" w:rsidR="002E0F43" w:rsidRPr="00911783" w:rsidRDefault="002E0F43" w:rsidP="002E0F43">
            <w:pPr>
              <w:spacing w:after="120" w:line="254" w:lineRule="auto"/>
              <w:jc w:val="right"/>
              <w:rPr>
                <w:rFonts w:eastAsia="Times New Roman" w:cs="Times New Roman"/>
                <w:color w:val="000000"/>
                <w:sz w:val="16"/>
                <w:szCs w:val="16"/>
                <w:lang w:eastAsia="lv-LV"/>
              </w:rPr>
            </w:pPr>
            <w:r w:rsidRPr="00911783">
              <w:rPr>
                <w:color w:val="000000"/>
                <w:sz w:val="16"/>
                <w:szCs w:val="16"/>
              </w:rPr>
              <w:t>2 175 641</w:t>
            </w:r>
          </w:p>
        </w:tc>
      </w:tr>
      <w:tr w:rsidR="00666E35" w:rsidRPr="00DF24BC" w14:paraId="0370DA1D" w14:textId="77777777" w:rsidTr="00666E35">
        <w:trPr>
          <w:gridAfter w:val="1"/>
          <w:wAfter w:w="7" w:type="dxa"/>
          <w:trHeight w:val="50"/>
        </w:trPr>
        <w:tc>
          <w:tcPr>
            <w:tcW w:w="801" w:type="dxa"/>
            <w:tcBorders>
              <w:top w:val="nil"/>
              <w:left w:val="single" w:sz="4" w:space="0" w:color="auto"/>
              <w:bottom w:val="single" w:sz="4" w:space="0" w:color="auto"/>
              <w:right w:val="single" w:sz="4" w:space="0" w:color="auto"/>
            </w:tcBorders>
            <w:shd w:val="clear" w:color="000000" w:fill="70AD47"/>
            <w:vAlign w:val="bottom"/>
            <w:hideMark/>
          </w:tcPr>
          <w:p w14:paraId="3D2FCB3E" w14:textId="77777777" w:rsidR="002E0F43" w:rsidRPr="00911783" w:rsidRDefault="002E0F43" w:rsidP="002E0F43">
            <w:pPr>
              <w:spacing w:after="120" w:line="254" w:lineRule="auto"/>
              <w:rPr>
                <w:rFonts w:eastAsia="Times New Roman" w:cs="Times New Roman"/>
                <w:b/>
                <w:bCs/>
                <w:color w:val="000000"/>
                <w:sz w:val="16"/>
                <w:szCs w:val="16"/>
                <w:lang w:eastAsia="lv-LV"/>
              </w:rPr>
            </w:pPr>
            <w:r w:rsidRPr="00911783">
              <w:rPr>
                <w:rFonts w:eastAsia="Times New Roman" w:cs="Times New Roman"/>
                <w:b/>
                <w:bCs/>
                <w:color w:val="000000"/>
                <w:sz w:val="16"/>
                <w:szCs w:val="16"/>
                <w:lang w:eastAsia="lv-LV"/>
              </w:rPr>
              <w:t>KOPĀ</w:t>
            </w:r>
          </w:p>
        </w:tc>
        <w:tc>
          <w:tcPr>
            <w:tcW w:w="940" w:type="dxa"/>
            <w:tcBorders>
              <w:top w:val="nil"/>
              <w:left w:val="nil"/>
              <w:bottom w:val="single" w:sz="4" w:space="0" w:color="auto"/>
              <w:right w:val="single" w:sz="4" w:space="0" w:color="auto"/>
            </w:tcBorders>
            <w:shd w:val="clear" w:color="000000" w:fill="70AD47"/>
            <w:vAlign w:val="bottom"/>
            <w:hideMark/>
          </w:tcPr>
          <w:p w14:paraId="6D94CE01" w14:textId="77777777" w:rsidR="002E0F43" w:rsidRPr="00911783" w:rsidRDefault="002E0F43" w:rsidP="002E0F43">
            <w:pPr>
              <w:spacing w:after="120" w:line="254" w:lineRule="auto"/>
              <w:rPr>
                <w:rFonts w:eastAsia="Times New Roman" w:cs="Times New Roman"/>
                <w:b/>
                <w:bCs/>
                <w:color w:val="000000"/>
                <w:sz w:val="16"/>
                <w:szCs w:val="16"/>
                <w:lang w:eastAsia="lv-LV"/>
              </w:rPr>
            </w:pPr>
            <w:r w:rsidRPr="00911783">
              <w:rPr>
                <w:b/>
                <w:bCs/>
                <w:color w:val="000000"/>
                <w:sz w:val="16"/>
                <w:szCs w:val="16"/>
              </w:rPr>
              <w:t> </w:t>
            </w:r>
          </w:p>
        </w:tc>
        <w:tc>
          <w:tcPr>
            <w:tcW w:w="941" w:type="dxa"/>
            <w:tcBorders>
              <w:top w:val="nil"/>
              <w:left w:val="nil"/>
              <w:bottom w:val="single" w:sz="4" w:space="0" w:color="auto"/>
              <w:right w:val="single" w:sz="4" w:space="0" w:color="auto"/>
            </w:tcBorders>
            <w:shd w:val="clear" w:color="000000" w:fill="70AD47"/>
            <w:vAlign w:val="bottom"/>
            <w:hideMark/>
          </w:tcPr>
          <w:p w14:paraId="00AFFD52"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-166 718</w:t>
            </w:r>
          </w:p>
        </w:tc>
        <w:tc>
          <w:tcPr>
            <w:tcW w:w="944" w:type="dxa"/>
            <w:tcBorders>
              <w:top w:val="nil"/>
              <w:left w:val="nil"/>
              <w:bottom w:val="single" w:sz="4" w:space="0" w:color="auto"/>
              <w:right w:val="nil"/>
            </w:tcBorders>
            <w:shd w:val="clear" w:color="000000" w:fill="70AD47"/>
            <w:vAlign w:val="bottom"/>
            <w:hideMark/>
          </w:tcPr>
          <w:p w14:paraId="7A95D720" w14:textId="77777777" w:rsidR="002E0F43" w:rsidRPr="00911783" w:rsidRDefault="002E0F43" w:rsidP="002E0F43">
            <w:pPr>
              <w:spacing w:after="120" w:line="254" w:lineRule="auto"/>
              <w:rPr>
                <w:rFonts w:eastAsia="Times New Roman" w:cs="Times New Roman"/>
                <w:b/>
                <w:bCs/>
                <w:color w:val="000000"/>
                <w:sz w:val="16"/>
                <w:szCs w:val="16"/>
                <w:lang w:eastAsia="lv-LV"/>
              </w:rPr>
            </w:pPr>
            <w:r w:rsidRPr="00911783">
              <w:rPr>
                <w:b/>
                <w:bCs/>
                <w:color w:val="000000"/>
                <w:sz w:val="16"/>
                <w:szCs w:val="16"/>
              </w:rPr>
              <w:t> </w:t>
            </w:r>
          </w:p>
        </w:tc>
        <w:tc>
          <w:tcPr>
            <w:tcW w:w="940" w:type="dxa"/>
            <w:tcBorders>
              <w:top w:val="nil"/>
              <w:left w:val="nil"/>
              <w:bottom w:val="single" w:sz="4" w:space="0" w:color="auto"/>
              <w:right w:val="single" w:sz="4" w:space="0" w:color="auto"/>
            </w:tcBorders>
            <w:shd w:val="clear" w:color="000000" w:fill="70AD47"/>
            <w:vAlign w:val="bottom"/>
            <w:hideMark/>
          </w:tcPr>
          <w:p w14:paraId="616AEA80" w14:textId="77777777" w:rsidR="002E0F43" w:rsidRPr="00911783" w:rsidRDefault="002E0F43" w:rsidP="002E0F43">
            <w:pPr>
              <w:spacing w:after="120" w:line="254" w:lineRule="auto"/>
              <w:rPr>
                <w:rFonts w:eastAsia="Times New Roman" w:cs="Times New Roman"/>
                <w:b/>
                <w:bCs/>
                <w:color w:val="000000"/>
                <w:sz w:val="16"/>
                <w:szCs w:val="16"/>
                <w:lang w:eastAsia="lv-LV"/>
              </w:rPr>
            </w:pPr>
            <w:r w:rsidRPr="00911783">
              <w:rPr>
                <w:b/>
                <w:bCs/>
                <w:color w:val="000000"/>
                <w:sz w:val="16"/>
                <w:szCs w:val="16"/>
              </w:rPr>
              <w:t> </w:t>
            </w:r>
          </w:p>
        </w:tc>
        <w:tc>
          <w:tcPr>
            <w:tcW w:w="941" w:type="dxa"/>
            <w:tcBorders>
              <w:top w:val="nil"/>
              <w:left w:val="nil"/>
              <w:bottom w:val="single" w:sz="4" w:space="0" w:color="auto"/>
              <w:right w:val="single" w:sz="4" w:space="0" w:color="auto"/>
            </w:tcBorders>
            <w:shd w:val="clear" w:color="000000" w:fill="70AD47"/>
            <w:vAlign w:val="bottom"/>
            <w:hideMark/>
          </w:tcPr>
          <w:p w14:paraId="5DB309E3"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2 466 742</w:t>
            </w:r>
          </w:p>
        </w:tc>
        <w:tc>
          <w:tcPr>
            <w:tcW w:w="943" w:type="dxa"/>
            <w:tcBorders>
              <w:top w:val="nil"/>
              <w:left w:val="nil"/>
              <w:bottom w:val="single" w:sz="4" w:space="0" w:color="auto"/>
              <w:right w:val="nil"/>
            </w:tcBorders>
            <w:shd w:val="clear" w:color="000000" w:fill="70AD47"/>
            <w:vAlign w:val="bottom"/>
            <w:hideMark/>
          </w:tcPr>
          <w:p w14:paraId="388F3E0E" w14:textId="77777777" w:rsidR="002E0F43" w:rsidRPr="00911783" w:rsidRDefault="002E0F43" w:rsidP="002E0F43">
            <w:pPr>
              <w:spacing w:after="120" w:line="254" w:lineRule="auto"/>
              <w:rPr>
                <w:rFonts w:eastAsia="Times New Roman" w:cs="Times New Roman"/>
                <w:b/>
                <w:bCs/>
                <w:color w:val="000000"/>
                <w:sz w:val="16"/>
                <w:szCs w:val="16"/>
                <w:lang w:eastAsia="lv-LV"/>
              </w:rPr>
            </w:pPr>
            <w:r w:rsidRPr="00911783">
              <w:rPr>
                <w:b/>
                <w:bCs/>
                <w:color w:val="000000"/>
                <w:sz w:val="16"/>
                <w:szCs w:val="16"/>
              </w:rPr>
              <w:t> </w:t>
            </w:r>
          </w:p>
        </w:tc>
        <w:tc>
          <w:tcPr>
            <w:tcW w:w="977" w:type="dxa"/>
            <w:tcBorders>
              <w:top w:val="nil"/>
              <w:left w:val="nil"/>
              <w:bottom w:val="single" w:sz="4" w:space="0" w:color="auto"/>
              <w:right w:val="single" w:sz="4" w:space="0" w:color="auto"/>
            </w:tcBorders>
            <w:shd w:val="clear" w:color="000000" w:fill="70AD47"/>
            <w:vAlign w:val="bottom"/>
            <w:hideMark/>
          </w:tcPr>
          <w:p w14:paraId="6A4C6AD6" w14:textId="77777777" w:rsidR="002E0F43" w:rsidRPr="00911783" w:rsidRDefault="002E0F43" w:rsidP="002E0F43">
            <w:pPr>
              <w:spacing w:after="120" w:line="254" w:lineRule="auto"/>
              <w:rPr>
                <w:rFonts w:eastAsia="Times New Roman" w:cs="Times New Roman"/>
                <w:b/>
                <w:bCs/>
                <w:color w:val="000000"/>
                <w:sz w:val="16"/>
                <w:szCs w:val="16"/>
                <w:lang w:eastAsia="lv-LV"/>
              </w:rPr>
            </w:pPr>
            <w:r w:rsidRPr="00911783">
              <w:rPr>
                <w:b/>
                <w:bCs/>
                <w:color w:val="000000"/>
                <w:sz w:val="16"/>
                <w:szCs w:val="16"/>
              </w:rPr>
              <w:t> </w:t>
            </w:r>
          </w:p>
        </w:tc>
        <w:tc>
          <w:tcPr>
            <w:tcW w:w="907" w:type="dxa"/>
            <w:tcBorders>
              <w:top w:val="nil"/>
              <w:left w:val="nil"/>
              <w:bottom w:val="single" w:sz="4" w:space="0" w:color="auto"/>
              <w:right w:val="single" w:sz="4" w:space="0" w:color="auto"/>
            </w:tcBorders>
            <w:shd w:val="clear" w:color="000000" w:fill="70AD47"/>
            <w:vAlign w:val="bottom"/>
            <w:hideMark/>
          </w:tcPr>
          <w:p w14:paraId="10AB8616" w14:textId="77777777" w:rsidR="002E0F43" w:rsidRPr="00911783" w:rsidRDefault="002E0F43" w:rsidP="002E0F43">
            <w:pPr>
              <w:spacing w:after="120" w:line="254" w:lineRule="auto"/>
              <w:jc w:val="right"/>
              <w:rPr>
                <w:rFonts w:eastAsia="Times New Roman" w:cs="Times New Roman"/>
                <w:b/>
                <w:bCs/>
                <w:color w:val="000000"/>
                <w:sz w:val="16"/>
                <w:szCs w:val="16"/>
                <w:lang w:eastAsia="lv-LV"/>
              </w:rPr>
            </w:pPr>
            <w:r w:rsidRPr="00911783">
              <w:rPr>
                <w:b/>
                <w:bCs/>
                <w:color w:val="000000"/>
                <w:sz w:val="16"/>
                <w:szCs w:val="16"/>
              </w:rPr>
              <w:t>2 466 742</w:t>
            </w:r>
          </w:p>
        </w:tc>
        <w:tc>
          <w:tcPr>
            <w:tcW w:w="941" w:type="dxa"/>
            <w:tcBorders>
              <w:top w:val="nil"/>
              <w:left w:val="nil"/>
              <w:bottom w:val="single" w:sz="4" w:space="0" w:color="auto"/>
              <w:right w:val="single" w:sz="4" w:space="0" w:color="auto"/>
            </w:tcBorders>
            <w:shd w:val="clear" w:color="000000" w:fill="70AD47"/>
            <w:vAlign w:val="bottom"/>
            <w:hideMark/>
          </w:tcPr>
          <w:p w14:paraId="1F43B483" w14:textId="77777777" w:rsidR="002E0F43" w:rsidRPr="00911783" w:rsidRDefault="002E0F43" w:rsidP="002E0F43">
            <w:pPr>
              <w:spacing w:after="120" w:line="254" w:lineRule="auto"/>
              <w:rPr>
                <w:rFonts w:eastAsia="Times New Roman" w:cs="Times New Roman"/>
                <w:b/>
                <w:bCs/>
                <w:color w:val="000000"/>
                <w:sz w:val="16"/>
                <w:szCs w:val="16"/>
                <w:lang w:eastAsia="lv-LV"/>
              </w:rPr>
            </w:pPr>
            <w:r w:rsidRPr="00911783">
              <w:rPr>
                <w:b/>
                <w:bCs/>
                <w:color w:val="000000"/>
                <w:sz w:val="16"/>
                <w:szCs w:val="16"/>
              </w:rPr>
              <w:t> </w:t>
            </w:r>
          </w:p>
        </w:tc>
      </w:tr>
    </w:tbl>
    <w:p w14:paraId="1B6C39D1" w14:textId="77777777" w:rsidR="002E0F43" w:rsidRDefault="002E0F43" w:rsidP="002E0F43">
      <w:pPr>
        <w:spacing w:after="120" w:line="254" w:lineRule="auto"/>
        <w:ind w:firstLine="720"/>
        <w:jc w:val="both"/>
        <w:rPr>
          <w:rFonts w:cs="Times New Roman"/>
        </w:rPr>
      </w:pPr>
    </w:p>
    <w:p w14:paraId="2757077C" w14:textId="20263424" w:rsidR="002E0F43" w:rsidRDefault="002E0F43" w:rsidP="00666E35">
      <w:pPr>
        <w:spacing w:after="120" w:line="254" w:lineRule="auto"/>
        <w:ind w:firstLine="720"/>
        <w:jc w:val="both"/>
        <w:rPr>
          <w:rFonts w:cs="Times New Roman"/>
        </w:rPr>
      </w:pPr>
      <w:r w:rsidRPr="00857509">
        <w:rPr>
          <w:rFonts w:cs="Times New Roman"/>
        </w:rPr>
        <w:t xml:space="preserve">ZM priekšlikumu izmaiņu kopsavilkums </w:t>
      </w:r>
      <w:r>
        <w:rPr>
          <w:rFonts w:cs="Times New Roman"/>
        </w:rPr>
        <w:t xml:space="preserve">dažādos griezumos norādīs ziņojuma </w:t>
      </w:r>
      <w:r w:rsidR="00666E35">
        <w:rPr>
          <w:rFonts w:cs="Times New Roman"/>
        </w:rPr>
        <w:t>4</w:t>
      </w:r>
      <w:r>
        <w:rPr>
          <w:rFonts w:cs="Times New Roman"/>
        </w:rPr>
        <w:t>. pielikumā</w:t>
      </w:r>
      <w:r w:rsidR="00666E35">
        <w:rPr>
          <w:rFonts w:cs="Times New Roman"/>
        </w:rPr>
        <w:t xml:space="preserve">. </w:t>
      </w:r>
      <w:r>
        <w:rPr>
          <w:rFonts w:cs="Times New Roman"/>
        </w:rPr>
        <w:t>Kā redzams tabulā</w:t>
      </w:r>
      <w:r w:rsidR="00666E35">
        <w:rPr>
          <w:rFonts w:cs="Times New Roman"/>
        </w:rPr>
        <w:t xml:space="preserve"> (</w:t>
      </w:r>
      <w:r w:rsidR="00666E35">
        <w:rPr>
          <w:rFonts w:cs="Times New Roman"/>
        </w:rPr>
        <w:fldChar w:fldCharType="begin"/>
      </w:r>
      <w:r w:rsidR="00666E35">
        <w:rPr>
          <w:rFonts w:cs="Times New Roman"/>
        </w:rPr>
        <w:instrText xml:space="preserve"> REF _Ref47947207 \h </w:instrText>
      </w:r>
      <w:r w:rsidR="00666E35">
        <w:rPr>
          <w:rFonts w:cs="Times New Roman"/>
        </w:rPr>
      </w:r>
      <w:r w:rsidR="00666E35">
        <w:rPr>
          <w:rFonts w:cs="Times New Roman"/>
        </w:rPr>
        <w:fldChar w:fldCharType="separate"/>
      </w:r>
      <w:r w:rsidR="00D96F20">
        <w:t xml:space="preserve">Tabula Nr. </w:t>
      </w:r>
      <w:r w:rsidR="00D96F20">
        <w:rPr>
          <w:noProof/>
        </w:rPr>
        <w:t>1</w:t>
      </w:r>
      <w:r w:rsidR="00666E35">
        <w:rPr>
          <w:rFonts w:cs="Times New Roman"/>
        </w:rPr>
        <w:fldChar w:fldCharType="end"/>
      </w:r>
      <w:r w:rsidR="00666E35">
        <w:rPr>
          <w:rFonts w:cs="Times New Roman"/>
        </w:rPr>
        <w:t>)</w:t>
      </w:r>
      <w:r>
        <w:rPr>
          <w:rFonts w:cs="Times New Roman"/>
        </w:rPr>
        <w:t xml:space="preserve">, tad finansējuma samazinājums 70.06.00 apakšprogrammā 2021.gadā ir lielāks par finansējuma palielinājumu 20.01.00 un 20.02.00 apakšprogrammā, tomēr finansējuma pārpalikums nav uzskatāmas par resursu, kas novirzāms citiem mērķiem, jo tas izveidojies </w:t>
      </w:r>
      <w:r w:rsidR="00666E35">
        <w:rPr>
          <w:rFonts w:cs="Times New Roman"/>
        </w:rPr>
        <w:t>ES</w:t>
      </w:r>
      <w:r w:rsidRPr="007646CD">
        <w:rPr>
          <w:rFonts w:cs="Times New Roman"/>
        </w:rPr>
        <w:t xml:space="preserve"> politiku instrumentu un pārējās ārvalstu finanšu palīdzības līdzfinansēto projektu un</w:t>
      </w:r>
      <w:r>
        <w:rPr>
          <w:rFonts w:cs="Times New Roman"/>
        </w:rPr>
        <w:t xml:space="preserve"> pasākumu īstenošanas ietvaros.</w:t>
      </w:r>
    </w:p>
    <w:p w14:paraId="50C6EF18" w14:textId="77777777" w:rsidR="002E0F43" w:rsidRPr="00A02349" w:rsidRDefault="002E0F43" w:rsidP="002E0F43">
      <w:pPr>
        <w:spacing w:after="120" w:line="254" w:lineRule="auto"/>
        <w:ind w:firstLine="720"/>
        <w:jc w:val="both"/>
        <w:rPr>
          <w:rFonts w:cs="Times New Roman"/>
        </w:rPr>
      </w:pPr>
      <w:r>
        <w:rPr>
          <w:rFonts w:cs="Times New Roman"/>
        </w:rPr>
        <w:lastRenderedPageBreak/>
        <w:t>Ieviešot ZM priekšlikumus, tiks nodrošināts, ka</w:t>
      </w:r>
      <w:r w:rsidRPr="00A02349">
        <w:rPr>
          <w:rFonts w:cs="Times New Roman"/>
        </w:rPr>
        <w:t>:</w:t>
      </w:r>
    </w:p>
    <w:p w14:paraId="7ACF5DC2" w14:textId="6AD369CF" w:rsidR="002E0F43" w:rsidRDefault="002E0F43" w:rsidP="002E0F43">
      <w:pPr>
        <w:pStyle w:val="ListParagraph"/>
        <w:numPr>
          <w:ilvl w:val="0"/>
          <w:numId w:val="40"/>
        </w:numPr>
        <w:spacing w:after="120" w:line="254" w:lineRule="auto"/>
        <w:ind w:left="357" w:hanging="357"/>
        <w:contextualSpacing w:val="0"/>
        <w:jc w:val="both"/>
        <w:rPr>
          <w:rFonts w:cs="Times New Roman"/>
        </w:rPr>
      </w:pPr>
      <w:r w:rsidRPr="00A02349">
        <w:rPr>
          <w:rFonts w:cs="Times New Roman"/>
        </w:rPr>
        <w:t>PVD un BIOR 2021. gadam un turpmākajiem</w:t>
      </w:r>
      <w:r>
        <w:rPr>
          <w:rFonts w:cs="Times New Roman"/>
        </w:rPr>
        <w:t xml:space="preserve"> būs pieejami </w:t>
      </w:r>
      <w:r w:rsidRPr="00A02349">
        <w:rPr>
          <w:rFonts w:cs="Times New Roman"/>
        </w:rPr>
        <w:t xml:space="preserve">finanšu līdzekļi, lai turpinātu īstenot </w:t>
      </w:r>
      <w:r w:rsidR="00666E35">
        <w:rPr>
          <w:rFonts w:cs="Times New Roman"/>
        </w:rPr>
        <w:t>ES</w:t>
      </w:r>
      <w:r w:rsidRPr="00A02349">
        <w:rPr>
          <w:rFonts w:cs="Times New Roman"/>
        </w:rPr>
        <w:t xml:space="preserve"> tiesību aktos noteiktos uzraudzības pasākumus;</w:t>
      </w:r>
    </w:p>
    <w:p w14:paraId="004CC6DA" w14:textId="77777777" w:rsidR="002E0F43" w:rsidRDefault="002E0F43" w:rsidP="002E0F43">
      <w:pPr>
        <w:pStyle w:val="ListParagraph"/>
        <w:numPr>
          <w:ilvl w:val="0"/>
          <w:numId w:val="40"/>
        </w:numPr>
        <w:spacing w:after="120" w:line="254" w:lineRule="auto"/>
        <w:ind w:left="357" w:hanging="357"/>
        <w:contextualSpacing w:val="0"/>
        <w:jc w:val="both"/>
        <w:rPr>
          <w:rFonts w:cs="Times New Roman"/>
        </w:rPr>
      </w:pPr>
      <w:r>
        <w:rPr>
          <w:rFonts w:cs="Times New Roman"/>
        </w:rPr>
        <w:t>ZM būs iespēja kārtējā gada ietvaros veikt pārdales starp uzraudzības pasākumiem, ievērojot piešķirtā finansējuma maksimālos apmērus, tādā veidā nodrošinot pasākumu īstenošanu atbilstoši aktualitātēm</w:t>
      </w:r>
      <w:r w:rsidRPr="00A747A8">
        <w:rPr>
          <w:rFonts w:cs="Times New Roman"/>
        </w:rPr>
        <w:t>;</w:t>
      </w:r>
    </w:p>
    <w:p w14:paraId="1C7557EA" w14:textId="77777777" w:rsidR="002E0F43" w:rsidRDefault="002E0F43" w:rsidP="002E0F43">
      <w:pPr>
        <w:pStyle w:val="ListParagraph"/>
        <w:numPr>
          <w:ilvl w:val="0"/>
          <w:numId w:val="40"/>
        </w:numPr>
        <w:spacing w:after="120" w:line="254" w:lineRule="auto"/>
        <w:ind w:left="357" w:hanging="357"/>
        <w:contextualSpacing w:val="0"/>
        <w:jc w:val="both"/>
        <w:rPr>
          <w:rFonts w:cs="Times New Roman"/>
        </w:rPr>
      </w:pPr>
      <w:r>
        <w:rPr>
          <w:rFonts w:cs="Times New Roman"/>
        </w:rPr>
        <w:t xml:space="preserve">būs </w:t>
      </w:r>
      <w:r w:rsidRPr="00E81627">
        <w:rPr>
          <w:rFonts w:cs="Times New Roman"/>
        </w:rPr>
        <w:t>stabilizēta</w:t>
      </w:r>
      <w:r>
        <w:rPr>
          <w:rFonts w:cs="Times New Roman"/>
        </w:rPr>
        <w:t xml:space="preserve"> PVD</w:t>
      </w:r>
      <w:r w:rsidRPr="00E81627">
        <w:rPr>
          <w:rFonts w:cs="Times New Roman"/>
        </w:rPr>
        <w:t xml:space="preserve"> cilvēkresursu kapacitāte, kam ir izšķiroša loma pārtikas un veterinārās jomas uzraudzības funkciju realizēšanā;</w:t>
      </w:r>
    </w:p>
    <w:p w14:paraId="5CBA60C2" w14:textId="77777777" w:rsidR="002E0F43" w:rsidRDefault="002E0F43" w:rsidP="002E0F43">
      <w:pPr>
        <w:pStyle w:val="ListParagraph"/>
        <w:numPr>
          <w:ilvl w:val="0"/>
          <w:numId w:val="40"/>
        </w:numPr>
        <w:spacing w:after="120" w:line="254" w:lineRule="auto"/>
        <w:ind w:left="357" w:hanging="357"/>
        <w:contextualSpacing w:val="0"/>
        <w:jc w:val="both"/>
        <w:rPr>
          <w:rFonts w:cs="Times New Roman"/>
        </w:rPr>
      </w:pPr>
      <w:r>
        <w:rPr>
          <w:rFonts w:cs="Times New Roman"/>
        </w:rPr>
        <w:t xml:space="preserve">ar </w:t>
      </w:r>
      <w:r w:rsidRPr="00E90B5F">
        <w:rPr>
          <w:rFonts w:cs="Times New Roman"/>
        </w:rPr>
        <w:t>finansējumu laboratorisko izdevumu segšanai, tiks nodrošināta pilnvērtīgāka uzraudzība un iegūti pārliecinošāki pierādījumi, ka apritē nonāk tikai normatīvo aktu prasībām atbilstoši un patērētājiem droši pārtikas produkti, kā arī savlaicīgi diagnosticētas dzīvnieku saslimšanas;</w:t>
      </w:r>
    </w:p>
    <w:p w14:paraId="751ED5E7" w14:textId="115F45EE" w:rsidR="002E0F43" w:rsidRDefault="002E0F43" w:rsidP="002E0F43">
      <w:pPr>
        <w:pStyle w:val="ListParagraph"/>
        <w:numPr>
          <w:ilvl w:val="0"/>
          <w:numId w:val="40"/>
        </w:numPr>
        <w:spacing w:after="120" w:line="254" w:lineRule="auto"/>
        <w:ind w:left="357" w:hanging="357"/>
        <w:contextualSpacing w:val="0"/>
        <w:jc w:val="both"/>
        <w:rPr>
          <w:rFonts w:cs="Times New Roman"/>
        </w:rPr>
      </w:pPr>
      <w:r w:rsidRPr="00E90B5F">
        <w:rPr>
          <w:rFonts w:cs="Times New Roman"/>
        </w:rPr>
        <w:t xml:space="preserve">tiks turpināti iedarbīgi uzraudzības un apkarošanas pasākumi saskaņā ar </w:t>
      </w:r>
      <w:r w:rsidR="00666E35">
        <w:rPr>
          <w:rFonts w:cs="Times New Roman"/>
        </w:rPr>
        <w:t>ES</w:t>
      </w:r>
      <w:r w:rsidRPr="00E90B5F">
        <w:rPr>
          <w:rFonts w:cs="Times New Roman"/>
        </w:rPr>
        <w:t xml:space="preserve"> tiesību aktu prasībām</w:t>
      </w:r>
      <w:r>
        <w:t xml:space="preserve">, </w:t>
      </w:r>
      <w:r w:rsidRPr="00E90B5F">
        <w:rPr>
          <w:rFonts w:cs="Times New Roman"/>
        </w:rPr>
        <w:t xml:space="preserve">lai pasargātu patērētāju un dzīvnieku veselību </w:t>
      </w:r>
      <w:r w:rsidR="00666E35">
        <w:rPr>
          <w:rFonts w:cs="Times New Roman"/>
        </w:rPr>
        <w:t>ES</w:t>
      </w:r>
      <w:r w:rsidRPr="00E90B5F">
        <w:rPr>
          <w:rFonts w:cs="Times New Roman"/>
        </w:rPr>
        <w:t xml:space="preserve"> dalībvalstīs</w:t>
      </w:r>
      <w:r>
        <w:rPr>
          <w:rFonts w:cs="Times New Roman"/>
        </w:rPr>
        <w:t xml:space="preserve"> (š</w:t>
      </w:r>
      <w:r w:rsidRPr="00E90B5F">
        <w:rPr>
          <w:rFonts w:cs="Times New Roman"/>
        </w:rPr>
        <w:t xml:space="preserve">o uzraudzības pasākumu īstenošanas gadījumā, ja pastāv aizdomas par dzīvnieku infekcijas slimības uzliesmojumu vai tiek konstatēta kāda infekcijas slimība, </w:t>
      </w:r>
      <w:r w:rsidR="00666E35">
        <w:rPr>
          <w:rFonts w:cs="Times New Roman"/>
        </w:rPr>
        <w:t>ES</w:t>
      </w:r>
      <w:r w:rsidRPr="00E90B5F">
        <w:rPr>
          <w:rFonts w:cs="Times New Roman"/>
        </w:rPr>
        <w:t xml:space="preserve"> dalībvalstīm, tostarp Latvijai ir tiesības pieprasīt no Eiropas Komisijas kompensācijas izmaksu, lai valsts budžetā daļēji atgūtu līdzekļus par dzīvnieku īpašniekiem izmaksāto kompensāciju, kas tiem radušies infekcijas slimību uzliesmojuma apkarošanas laikā</w:t>
      </w:r>
      <w:r>
        <w:rPr>
          <w:rFonts w:cs="Times New Roman"/>
        </w:rPr>
        <w:t>);</w:t>
      </w:r>
    </w:p>
    <w:p w14:paraId="3B01008B" w14:textId="4437FDA4" w:rsidR="002E0F43" w:rsidRDefault="002E0F43" w:rsidP="002E0F43">
      <w:pPr>
        <w:pStyle w:val="ListParagraph"/>
        <w:numPr>
          <w:ilvl w:val="0"/>
          <w:numId w:val="40"/>
        </w:numPr>
        <w:spacing w:after="120" w:line="254" w:lineRule="auto"/>
        <w:ind w:left="357" w:hanging="357"/>
        <w:contextualSpacing w:val="0"/>
        <w:jc w:val="both"/>
        <w:rPr>
          <w:rFonts w:cs="Times New Roman"/>
        </w:rPr>
      </w:pPr>
      <w:r>
        <w:rPr>
          <w:rFonts w:cs="Times New Roman"/>
        </w:rPr>
        <w:t>n</w:t>
      </w:r>
      <w:r w:rsidRPr="00E90B5F">
        <w:rPr>
          <w:rFonts w:cs="Times New Roman"/>
        </w:rPr>
        <w:t>e</w:t>
      </w:r>
      <w:r>
        <w:rPr>
          <w:rFonts w:cs="Times New Roman"/>
        </w:rPr>
        <w:t xml:space="preserve">tiek radīti papildu izdevumi saistībā ar obligāto </w:t>
      </w:r>
      <w:r w:rsidR="00371B3E">
        <w:rPr>
          <w:rFonts w:cs="Times New Roman"/>
        </w:rPr>
        <w:t>ES</w:t>
      </w:r>
      <w:r w:rsidRPr="00E90B5F">
        <w:rPr>
          <w:rFonts w:cs="Times New Roman"/>
        </w:rPr>
        <w:t xml:space="preserve"> tiesību aktos noteiktos uzraudzības pasākumus </w:t>
      </w:r>
      <w:r>
        <w:rPr>
          <w:rFonts w:cs="Times New Roman"/>
        </w:rPr>
        <w:t>neīstenošanu atbilstoši prasībām</w:t>
      </w:r>
      <w:r w:rsidRPr="00E90B5F">
        <w:rPr>
          <w:rFonts w:cs="Times New Roman"/>
        </w:rPr>
        <w:t>, kā piemēram:</w:t>
      </w:r>
    </w:p>
    <w:p w14:paraId="307EB7A1" w14:textId="77777777" w:rsidR="002E0F43" w:rsidRDefault="002E0F43" w:rsidP="002E0F43">
      <w:pPr>
        <w:pStyle w:val="ListParagraph"/>
        <w:numPr>
          <w:ilvl w:val="1"/>
          <w:numId w:val="40"/>
        </w:numPr>
        <w:spacing w:after="120" w:line="254" w:lineRule="auto"/>
        <w:ind w:left="714" w:hanging="357"/>
        <w:contextualSpacing w:val="0"/>
        <w:jc w:val="both"/>
        <w:rPr>
          <w:rFonts w:cs="Times New Roman"/>
        </w:rPr>
      </w:pPr>
      <w:r w:rsidRPr="00E90B5F">
        <w:rPr>
          <w:rFonts w:cs="Times New Roman"/>
        </w:rPr>
        <w:t xml:space="preserve">Eiropas Komisija </w:t>
      </w:r>
      <w:r>
        <w:rPr>
          <w:rFonts w:cs="Times New Roman"/>
        </w:rPr>
        <w:t xml:space="preserve">var ierosināt </w:t>
      </w:r>
      <w:r w:rsidRPr="00E90B5F">
        <w:rPr>
          <w:rFonts w:cs="Times New Roman"/>
        </w:rPr>
        <w:t>pārkāpuma pro</w:t>
      </w:r>
      <w:r>
        <w:rPr>
          <w:rFonts w:cs="Times New Roman"/>
        </w:rPr>
        <w:t>cedūras un noteikt</w:t>
      </w:r>
      <w:r w:rsidRPr="00E90B5F">
        <w:rPr>
          <w:rFonts w:cs="Times New Roman"/>
        </w:rPr>
        <w:t xml:space="preserve"> sankcijas pret Latviju par noteiktu tiesību normu neievērošanu;</w:t>
      </w:r>
    </w:p>
    <w:p w14:paraId="08575AE2" w14:textId="2C93A6C6" w:rsidR="002E0F43" w:rsidRDefault="002E0F43" w:rsidP="002E0F43">
      <w:pPr>
        <w:pStyle w:val="ListParagraph"/>
        <w:numPr>
          <w:ilvl w:val="1"/>
          <w:numId w:val="40"/>
        </w:numPr>
        <w:spacing w:after="120" w:line="254" w:lineRule="auto"/>
        <w:ind w:left="714" w:hanging="357"/>
        <w:contextualSpacing w:val="0"/>
        <w:jc w:val="both"/>
        <w:rPr>
          <w:rFonts w:cs="Times New Roman"/>
        </w:rPr>
      </w:pPr>
      <w:r w:rsidRPr="00E90B5F">
        <w:rPr>
          <w:rFonts w:cs="Times New Roman"/>
        </w:rPr>
        <w:t xml:space="preserve">Eiropas Komisija </w:t>
      </w:r>
      <w:r>
        <w:rPr>
          <w:rFonts w:cs="Times New Roman"/>
        </w:rPr>
        <w:t>var atteikt</w:t>
      </w:r>
      <w:r w:rsidRPr="00E90B5F">
        <w:rPr>
          <w:rFonts w:cs="Times New Roman"/>
        </w:rPr>
        <w:t xml:space="preserve"> līdzfinansējumu uzraudzības pasākumu īstenošanai, ja uzraudzības un apkarošanas pasākumi netiek īstenoti atbilstoši </w:t>
      </w:r>
      <w:r w:rsidR="00371B3E">
        <w:rPr>
          <w:rFonts w:cs="Times New Roman"/>
        </w:rPr>
        <w:t>ES</w:t>
      </w:r>
      <w:r w:rsidRPr="00E90B5F">
        <w:rPr>
          <w:rFonts w:cs="Times New Roman"/>
        </w:rPr>
        <w:t xml:space="preserve"> normatīvo aktu prasībām;</w:t>
      </w:r>
    </w:p>
    <w:p w14:paraId="1A4636D8" w14:textId="77777777" w:rsidR="002E0F43" w:rsidRDefault="002E0F43" w:rsidP="002E0F43">
      <w:pPr>
        <w:pStyle w:val="ListParagraph"/>
        <w:numPr>
          <w:ilvl w:val="1"/>
          <w:numId w:val="40"/>
        </w:numPr>
        <w:spacing w:after="120" w:line="254" w:lineRule="auto"/>
        <w:ind w:left="714" w:hanging="357"/>
        <w:contextualSpacing w:val="0"/>
        <w:jc w:val="both"/>
        <w:rPr>
          <w:rFonts w:cs="Times New Roman"/>
        </w:rPr>
      </w:pPr>
      <w:r w:rsidRPr="00E90B5F">
        <w:rPr>
          <w:rFonts w:cs="Times New Roman"/>
        </w:rPr>
        <w:t xml:space="preserve">Latvijai nebūtu tiesības pieprasīt no Eiropas Komisijas kompensācijas izmaksas, lai valsts budžetā daļēji atgūtu līdzekļus par dzīvnieku īpašniekiem izmaksātajām kompensācijām par zaudējumiem, kas tiem radušies infekcijas slimību uzliesmojuma apkarošanas laikā; </w:t>
      </w:r>
    </w:p>
    <w:p w14:paraId="12B2AC6D" w14:textId="77777777" w:rsidR="002E0F43" w:rsidRDefault="002E0F43" w:rsidP="002E0F43">
      <w:pPr>
        <w:pStyle w:val="ListParagraph"/>
        <w:numPr>
          <w:ilvl w:val="1"/>
          <w:numId w:val="40"/>
        </w:numPr>
        <w:spacing w:after="120" w:line="254" w:lineRule="auto"/>
        <w:ind w:left="714" w:hanging="357"/>
        <w:contextualSpacing w:val="0"/>
        <w:jc w:val="both"/>
        <w:rPr>
          <w:rFonts w:cs="Times New Roman"/>
        </w:rPr>
      </w:pPr>
      <w:r>
        <w:rPr>
          <w:rFonts w:cs="Times New Roman"/>
        </w:rPr>
        <w:t>bez nepietiekamas uzraudzības var iestāties situācija, ka:</w:t>
      </w:r>
    </w:p>
    <w:p w14:paraId="6B8D8EA9" w14:textId="26127BE7" w:rsidR="002E0F43" w:rsidRDefault="002E0F43" w:rsidP="002E0F43">
      <w:pPr>
        <w:pStyle w:val="ListParagraph"/>
        <w:numPr>
          <w:ilvl w:val="2"/>
          <w:numId w:val="40"/>
        </w:numPr>
        <w:spacing w:after="120" w:line="254" w:lineRule="auto"/>
        <w:ind w:left="1077" w:hanging="357"/>
        <w:contextualSpacing w:val="0"/>
        <w:jc w:val="both"/>
        <w:rPr>
          <w:rFonts w:cs="Times New Roman"/>
        </w:rPr>
      </w:pPr>
      <w:r w:rsidRPr="00E90B5F">
        <w:rPr>
          <w:rFonts w:cs="Times New Roman"/>
        </w:rPr>
        <w:t xml:space="preserve">tikt piemēroti tirdzniecības un pārvietošanas ierobežojumi dzīvniekiem un no tiem iegūtajiem produktiem starptautiskā un </w:t>
      </w:r>
      <w:r w:rsidR="00371B3E">
        <w:rPr>
          <w:rFonts w:cs="Times New Roman"/>
        </w:rPr>
        <w:t>ES</w:t>
      </w:r>
      <w:r w:rsidRPr="00E90B5F">
        <w:rPr>
          <w:rFonts w:cs="Times New Roman"/>
        </w:rPr>
        <w:t xml:space="preserve"> mērogā;</w:t>
      </w:r>
    </w:p>
    <w:p w14:paraId="0E9301F3" w14:textId="430A85AA" w:rsidR="002E0F43" w:rsidRPr="00666E35" w:rsidRDefault="002E0F43" w:rsidP="002E0F43">
      <w:pPr>
        <w:pStyle w:val="ListParagraph"/>
        <w:numPr>
          <w:ilvl w:val="2"/>
          <w:numId w:val="40"/>
        </w:numPr>
        <w:spacing w:after="120" w:line="254" w:lineRule="auto"/>
        <w:ind w:left="1077" w:hanging="357"/>
        <w:contextualSpacing w:val="0"/>
        <w:jc w:val="both"/>
        <w:rPr>
          <w:rFonts w:cs="Times New Roman"/>
        </w:rPr>
      </w:pPr>
      <w:r>
        <w:rPr>
          <w:rFonts w:cs="Times New Roman"/>
        </w:rPr>
        <w:t xml:space="preserve">notiek </w:t>
      </w:r>
      <w:r w:rsidRPr="00E90B5F">
        <w:rPr>
          <w:rFonts w:cs="Times New Roman"/>
        </w:rPr>
        <w:t>sevišķi bīstamo infekcijas slimību un zoonožu neparedzama izplatība cilvēku un dzīvnieku populācijā.</w:t>
      </w:r>
    </w:p>
    <w:p w14:paraId="38BE86AB" w14:textId="77777777" w:rsidR="002E0F43" w:rsidRPr="005B4A3C" w:rsidRDefault="002E0F43" w:rsidP="002E0F43">
      <w:pPr>
        <w:spacing w:after="120" w:line="254" w:lineRule="auto"/>
        <w:ind w:firstLine="720"/>
        <w:jc w:val="both"/>
        <w:rPr>
          <w:rFonts w:cs="Times New Roman"/>
        </w:rPr>
      </w:pPr>
      <w:r>
        <w:rPr>
          <w:rFonts w:cs="Times New Roman"/>
        </w:rPr>
        <w:t xml:space="preserve">Līdz šim </w:t>
      </w:r>
      <w:r w:rsidRPr="005B4A3C">
        <w:rPr>
          <w:rFonts w:cs="Times New Roman"/>
        </w:rPr>
        <w:t xml:space="preserve">Latvijā tiek veiksmīgi veikti uzraudzības un apkarošanas pasākumi, ir ļāvis Latvijai laikā no 2014. gada līdz šim brīdim atgūt no Eiropas Komisijas 13 623 634 </w:t>
      </w:r>
      <w:r w:rsidRPr="00666E35">
        <w:rPr>
          <w:rFonts w:cs="Times New Roman"/>
          <w:i/>
        </w:rPr>
        <w:t>euro</w:t>
      </w:r>
      <w:r w:rsidRPr="005B4A3C">
        <w:rPr>
          <w:rFonts w:cs="Times New Roman"/>
        </w:rPr>
        <w:t xml:space="preserve"> par īstenotajiem uzraudzības un apkarošanas pasākumiem un dzīvnieku īpašniekiem izmaksātajām kompensācijām par zaudējumiem, kas tiem radušies infekcijas slimību</w:t>
      </w:r>
      <w:r>
        <w:rPr>
          <w:rFonts w:cs="Times New Roman"/>
        </w:rPr>
        <w:t xml:space="preserve"> uzliesmojuma apkarošanas laikā.</w:t>
      </w:r>
    </w:p>
    <w:p w14:paraId="5CBE3006" w14:textId="7E3BDEBE" w:rsidR="002E0F43" w:rsidRPr="00A02349" w:rsidRDefault="002E0F43" w:rsidP="00666E35">
      <w:pPr>
        <w:spacing w:after="120" w:line="254" w:lineRule="auto"/>
        <w:ind w:firstLine="720"/>
        <w:jc w:val="both"/>
        <w:rPr>
          <w:rFonts w:cs="Times New Roman"/>
        </w:rPr>
      </w:pPr>
      <w:r>
        <w:rPr>
          <w:rFonts w:cs="Times New Roman"/>
        </w:rPr>
        <w:lastRenderedPageBreak/>
        <w:t>P</w:t>
      </w:r>
      <w:r w:rsidRPr="005B4A3C">
        <w:rPr>
          <w:rFonts w:cs="Times New Roman"/>
        </w:rPr>
        <w:t xml:space="preserve">lānots, ka 2021. gadā un turpmāk no </w:t>
      </w:r>
      <w:r w:rsidR="00371B3E">
        <w:rPr>
          <w:rFonts w:cs="Times New Roman"/>
        </w:rPr>
        <w:t>ES</w:t>
      </w:r>
      <w:r w:rsidRPr="005B4A3C">
        <w:rPr>
          <w:rFonts w:cs="Times New Roman"/>
        </w:rPr>
        <w:t xml:space="preserve"> budžeta pēc gala ziņojuma izskatīšanas Eiropas Komisijā valsts varētu atgūt kopumā ik gadu 1 797 308 </w:t>
      </w:r>
      <w:r w:rsidRPr="00666E35">
        <w:rPr>
          <w:rFonts w:cs="Times New Roman"/>
          <w:i/>
        </w:rPr>
        <w:t xml:space="preserve">euro </w:t>
      </w:r>
      <w:r w:rsidRPr="005B4A3C">
        <w:rPr>
          <w:rFonts w:cs="Times New Roman"/>
        </w:rPr>
        <w:t>par iepriekšējā gadā īstenotajiem uzraudzī</w:t>
      </w:r>
      <w:r w:rsidR="005131FD">
        <w:rPr>
          <w:rFonts w:cs="Times New Roman"/>
        </w:rPr>
        <w:t>bas  un apkarošanas pasākumiem.</w:t>
      </w:r>
    </w:p>
    <w:p w14:paraId="24D4BB74" w14:textId="1FB87DE7" w:rsidR="00BF774E" w:rsidRPr="005131FD" w:rsidRDefault="00C40A4D" w:rsidP="005131FD">
      <w:pPr>
        <w:spacing w:after="120" w:line="240" w:lineRule="auto"/>
        <w:jc w:val="both"/>
        <w:rPr>
          <w:rFonts w:cs="Times New Roman"/>
          <w:b/>
        </w:rPr>
      </w:pPr>
      <w:r w:rsidRPr="00C40A4D">
        <w:rPr>
          <w:rFonts w:cs="Times New Roman"/>
          <w:b/>
        </w:rPr>
        <w:t xml:space="preserve">ZM ir iesniegusi priekšlikumu par papildu finansējumu budžeta apakšprogrammā 21.01.00 “Valsts atbalsts lauksaimniecības un lauku attīstībai” 2021.gadam, vienlaikus piedāvājot palielināt akciju sabiedrības "Latvijas Valsts meži" dividendēs izmaksājamo peļņas daļu par 2020. gadu par 15 000 000 </w:t>
      </w:r>
      <w:r w:rsidRPr="00C40A4D">
        <w:rPr>
          <w:rFonts w:cs="Times New Roman"/>
          <w:b/>
          <w:i/>
        </w:rPr>
        <w:t>euro</w:t>
      </w:r>
      <w:r w:rsidRPr="00C40A4D">
        <w:rPr>
          <w:rFonts w:cs="Times New Roman"/>
          <w:b/>
        </w:rPr>
        <w:t xml:space="preserve"> apmērā.</w:t>
      </w:r>
      <w:r w:rsidR="005131FD">
        <w:rPr>
          <w:rFonts w:cs="Times New Roman"/>
          <w:b/>
        </w:rPr>
        <w:t xml:space="preserve"> </w:t>
      </w:r>
      <w:r w:rsidR="00BF774E" w:rsidRPr="00BF774E">
        <w:rPr>
          <w:rFonts w:cs="Times New Roman"/>
          <w:b/>
        </w:rPr>
        <w:t>Akciju sabiedrības "Latvijas Valsts meži" dividendēs</w:t>
      </w:r>
      <w:r w:rsidR="00BF774E" w:rsidRPr="00BF774E">
        <w:t xml:space="preserve"> </w:t>
      </w:r>
      <w:r w:rsidR="00BF774E" w:rsidRPr="00BF774E">
        <w:rPr>
          <w:rFonts w:cs="Times New Roman"/>
          <w:b/>
        </w:rPr>
        <w:t>izmaksājamajā peļņas daļa</w:t>
      </w:r>
    </w:p>
    <w:p w14:paraId="1028085E" w14:textId="25C5042B" w:rsidR="00BF774E" w:rsidRPr="00BF774E" w:rsidRDefault="00BF774E" w:rsidP="005131FD">
      <w:pPr>
        <w:tabs>
          <w:tab w:val="left" w:pos="426"/>
        </w:tabs>
        <w:spacing w:after="120" w:line="254" w:lineRule="auto"/>
        <w:jc w:val="both"/>
        <w:rPr>
          <w:rFonts w:cs="Times New Roman"/>
        </w:rPr>
      </w:pPr>
      <w:r w:rsidRPr="00BF774E">
        <w:rPr>
          <w:rFonts w:cs="Times New Roman"/>
        </w:rPr>
        <w:tab/>
      </w:r>
      <w:r w:rsidR="005131FD">
        <w:rPr>
          <w:rFonts w:cs="Times New Roman"/>
        </w:rPr>
        <w:tab/>
      </w:r>
      <w:r w:rsidR="00C40A4D">
        <w:rPr>
          <w:rFonts w:cs="Times New Roman"/>
        </w:rPr>
        <w:t>ZM izsaka priekšlikumu p</w:t>
      </w:r>
      <w:r w:rsidR="00C40A4D" w:rsidRPr="00355EA2">
        <w:rPr>
          <w:rFonts w:cs="Times New Roman"/>
        </w:rPr>
        <w:t xml:space="preserve">alielināt akciju sabiedrības </w:t>
      </w:r>
      <w:r w:rsidR="00C40A4D">
        <w:rPr>
          <w:rFonts w:cs="Times New Roman"/>
        </w:rPr>
        <w:t>“</w:t>
      </w:r>
      <w:r w:rsidR="00C40A4D" w:rsidRPr="00355EA2">
        <w:rPr>
          <w:rFonts w:cs="Times New Roman"/>
        </w:rPr>
        <w:t>Latvijas Valsts meži</w:t>
      </w:r>
      <w:r w:rsidR="00C40A4D">
        <w:rPr>
          <w:rFonts w:cs="Times New Roman"/>
        </w:rPr>
        <w:t>”</w:t>
      </w:r>
      <w:r w:rsidR="00C40A4D" w:rsidRPr="00355EA2">
        <w:rPr>
          <w:rFonts w:cs="Times New Roman"/>
        </w:rPr>
        <w:t xml:space="preserve"> dividendēs izmaksājamo peļņas daļu par 2020.</w:t>
      </w:r>
      <w:r w:rsidR="00C40A4D">
        <w:rPr>
          <w:rFonts w:cs="Times New Roman"/>
        </w:rPr>
        <w:t xml:space="preserve"> </w:t>
      </w:r>
      <w:r w:rsidR="00C40A4D" w:rsidRPr="00355EA2">
        <w:rPr>
          <w:rFonts w:cs="Times New Roman"/>
        </w:rPr>
        <w:t xml:space="preserve">gadu </w:t>
      </w:r>
      <w:r w:rsidR="00C40A4D">
        <w:rPr>
          <w:rFonts w:cs="Times New Roman"/>
        </w:rPr>
        <w:t xml:space="preserve">un attiecīgi. </w:t>
      </w:r>
      <w:r w:rsidR="00C40A4D" w:rsidRPr="00483979">
        <w:rPr>
          <w:rFonts w:cs="Times New Roman"/>
        </w:rPr>
        <w:t>palielināt maksājumu par valsts kapitāla izmantošanu ieņēmumu prognozi 2021.</w:t>
      </w:r>
      <w:r w:rsidR="00C40A4D">
        <w:rPr>
          <w:rFonts w:cs="Times New Roman"/>
        </w:rPr>
        <w:t xml:space="preserve"> </w:t>
      </w:r>
      <w:r w:rsidR="00C40A4D" w:rsidRPr="00483979">
        <w:rPr>
          <w:rFonts w:cs="Times New Roman"/>
        </w:rPr>
        <w:t xml:space="preserve">gadam par 15 000 </w:t>
      </w:r>
      <w:r w:rsidR="00C40A4D" w:rsidRPr="006B4AFD">
        <w:rPr>
          <w:rFonts w:cs="Times New Roman"/>
        </w:rPr>
        <w:t xml:space="preserve">000 </w:t>
      </w:r>
      <w:r w:rsidR="00C40A4D" w:rsidRPr="00C40A4D">
        <w:rPr>
          <w:rFonts w:cs="Times New Roman"/>
          <w:i/>
        </w:rPr>
        <w:t>euro</w:t>
      </w:r>
      <w:r w:rsidR="00C40A4D" w:rsidRPr="006B4AFD">
        <w:rPr>
          <w:rFonts w:cs="Times New Roman"/>
        </w:rPr>
        <w:t xml:space="preserve"> (tai skaitā 12 000 000 </w:t>
      </w:r>
      <w:r w:rsidR="00C40A4D" w:rsidRPr="00C40A4D">
        <w:rPr>
          <w:rFonts w:cs="Times New Roman"/>
          <w:i/>
        </w:rPr>
        <w:t>euro</w:t>
      </w:r>
      <w:r w:rsidR="00C40A4D" w:rsidRPr="006B4AFD">
        <w:rPr>
          <w:rFonts w:cs="Times New Roman"/>
        </w:rPr>
        <w:t xml:space="preserve"> maksājums par valsts kapitāla izmantošanu un 3 000 000 </w:t>
      </w:r>
      <w:r w:rsidR="00C40A4D" w:rsidRPr="00C40A4D">
        <w:rPr>
          <w:rFonts w:cs="Times New Roman"/>
          <w:i/>
        </w:rPr>
        <w:t>euro</w:t>
      </w:r>
      <w:r w:rsidR="00C40A4D" w:rsidRPr="006B4AFD">
        <w:rPr>
          <w:rFonts w:cs="Times New Roman"/>
        </w:rPr>
        <w:t xml:space="preserve"> uzņēmumu </w:t>
      </w:r>
      <w:r w:rsidR="00C40A4D" w:rsidRPr="00483979">
        <w:rPr>
          <w:rFonts w:cs="Times New Roman"/>
        </w:rPr>
        <w:t>ienākuma nodoklis)</w:t>
      </w:r>
      <w:r w:rsidR="00C40A4D">
        <w:rPr>
          <w:rFonts w:cs="Times New Roman"/>
        </w:rPr>
        <w:t xml:space="preserve">. </w:t>
      </w:r>
      <w:r w:rsidR="00C40A4D" w:rsidRPr="00E60CFA">
        <w:rPr>
          <w:rFonts w:cs="Times New Roman"/>
        </w:rPr>
        <w:t xml:space="preserve">Papildu finansējums 15 000 000 </w:t>
      </w:r>
      <w:r w:rsidR="00C40A4D" w:rsidRPr="00C40A4D">
        <w:rPr>
          <w:rFonts w:cs="Times New Roman"/>
          <w:i/>
        </w:rPr>
        <w:t>euro</w:t>
      </w:r>
      <w:r w:rsidR="00C40A4D" w:rsidRPr="00E60CFA">
        <w:rPr>
          <w:rFonts w:cs="Times New Roman"/>
        </w:rPr>
        <w:t xml:space="preserve"> apmērā ir rasts no akciju sabiedrības "Latvijas Valsts meži" 2019.</w:t>
      </w:r>
      <w:r w:rsidR="00C40A4D">
        <w:rPr>
          <w:rFonts w:cs="Times New Roman"/>
        </w:rPr>
        <w:t xml:space="preserve"> </w:t>
      </w:r>
      <w:r w:rsidR="00C40A4D" w:rsidRPr="00E60CFA">
        <w:rPr>
          <w:rFonts w:cs="Times New Roman"/>
        </w:rPr>
        <w:t>gada nesadalītās peļņas</w:t>
      </w:r>
      <w:r w:rsidR="00C40A4D">
        <w:rPr>
          <w:rFonts w:cs="Times New Roman"/>
        </w:rPr>
        <w:t>.</w:t>
      </w:r>
    </w:p>
    <w:p w14:paraId="6AD5AC9A" w14:textId="511629C9" w:rsidR="00BF774E" w:rsidRDefault="00BF774E" w:rsidP="005131FD">
      <w:pPr>
        <w:tabs>
          <w:tab w:val="left" w:pos="426"/>
        </w:tabs>
        <w:spacing w:after="120" w:line="254" w:lineRule="auto"/>
        <w:jc w:val="both"/>
        <w:rPr>
          <w:rFonts w:cs="Times New Roman"/>
        </w:rPr>
      </w:pPr>
      <w:r w:rsidRPr="00BF774E">
        <w:rPr>
          <w:rFonts w:cs="Times New Roman"/>
        </w:rPr>
        <w:tab/>
      </w:r>
      <w:r w:rsidR="005131FD">
        <w:rPr>
          <w:rFonts w:cs="Times New Roman"/>
        </w:rPr>
        <w:tab/>
      </w:r>
      <w:r w:rsidRPr="00BF774E">
        <w:rPr>
          <w:rFonts w:cs="Times New Roman"/>
        </w:rPr>
        <w:t xml:space="preserve">Vienlaikus ZM izsaka priekšlikumu palielināt izdevumus budžeta apakšprogrammā </w:t>
      </w:r>
      <w:bookmarkStart w:id="37" w:name="_Hlk47694311"/>
      <w:r w:rsidRPr="00BF774E">
        <w:rPr>
          <w:rFonts w:cs="Times New Roman"/>
        </w:rPr>
        <w:t>21.01.00 “Valsts atbalsts lauksaimniecības un lauku attīstībai</w:t>
      </w:r>
      <w:bookmarkEnd w:id="37"/>
      <w:r w:rsidRPr="00BF774E">
        <w:rPr>
          <w:rFonts w:cs="Times New Roman"/>
        </w:rPr>
        <w:t xml:space="preserve">” 2021. gadam par 15 000 000 </w:t>
      </w:r>
      <w:r w:rsidR="00C40A4D" w:rsidRPr="00C40A4D">
        <w:rPr>
          <w:rFonts w:cs="Times New Roman"/>
          <w:i/>
        </w:rPr>
        <w:t>euro</w:t>
      </w:r>
      <w:r w:rsidRPr="00BF774E">
        <w:rPr>
          <w:rFonts w:cs="Times New Roman"/>
        </w:rPr>
        <w:t xml:space="preserve">, lai nodrošinātu Eiropas Komisijas Kopējās lauksaimniecības politikas stratēģiskā plāna regulas priekšlikumu par dalībvalstu iespēju nodrošināt papildu finansējumu vienlīdzīgāku konkurences apstākļu nodrošināšanai ar citām </w:t>
      </w:r>
      <w:r w:rsidR="00C40A4D">
        <w:rPr>
          <w:rFonts w:cs="Times New Roman"/>
        </w:rPr>
        <w:t>ES</w:t>
      </w:r>
      <w:r w:rsidRPr="00BF774E">
        <w:rPr>
          <w:rFonts w:cs="Times New Roman"/>
        </w:rPr>
        <w:t xml:space="preserve"> dalībvalstīm. </w:t>
      </w:r>
    </w:p>
    <w:p w14:paraId="387A5656" w14:textId="5E01A6DF" w:rsidR="00A24096" w:rsidRPr="00BF774E" w:rsidRDefault="00A24096" w:rsidP="00A24096">
      <w:pPr>
        <w:pStyle w:val="Caption"/>
        <w:rPr>
          <w:rFonts w:cs="Times New Roman"/>
          <w:szCs w:val="24"/>
        </w:rPr>
      </w:pPr>
      <w:r>
        <w:t xml:space="preserve">Tabula Nr. </w:t>
      </w:r>
      <w:fldSimple w:instr=" SEQ Tabula_Nr. \* ARABIC ">
        <w:r w:rsidR="00D96F20">
          <w:rPr>
            <w:noProof/>
          </w:rPr>
          <w:t>2</w:t>
        </w:r>
      </w:fldSimple>
    </w:p>
    <w:p w14:paraId="224B8177" w14:textId="750571EB" w:rsidR="00BF774E" w:rsidRPr="00BF774E" w:rsidRDefault="00BF774E" w:rsidP="00BF774E">
      <w:pPr>
        <w:tabs>
          <w:tab w:val="left" w:pos="426"/>
        </w:tabs>
        <w:spacing w:after="120" w:line="240" w:lineRule="auto"/>
        <w:jc w:val="center"/>
        <w:rPr>
          <w:rFonts w:cs="Times New Roman"/>
          <w:b/>
          <w:i/>
        </w:rPr>
      </w:pPr>
      <w:r w:rsidRPr="00BF774E">
        <w:rPr>
          <w:rFonts w:cs="Times New Roman"/>
          <w:b/>
          <w:bCs/>
        </w:rPr>
        <w:t>Papildu finansējuma sadalījums</w:t>
      </w:r>
      <w:r w:rsidRPr="00BF774E">
        <w:rPr>
          <w:rFonts w:cs="Times New Roman"/>
          <w:b/>
        </w:rPr>
        <w:t xml:space="preserve"> valsts atbalsta lauksaimniecībai pasākumos 2021.gadam, </w:t>
      </w:r>
      <w:r w:rsidRPr="00BF774E">
        <w:rPr>
          <w:rFonts w:cs="Times New Roman"/>
          <w:i/>
          <w:iCs/>
        </w:rPr>
        <w:t>euro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41"/>
        <w:gridCol w:w="1396"/>
      </w:tblGrid>
      <w:tr w:rsidR="00BF774E" w:rsidRPr="00BF774E" w14:paraId="096FBE7F" w14:textId="77777777" w:rsidTr="00EA2024">
        <w:trPr>
          <w:trHeight w:val="131"/>
          <w:tblHeader/>
          <w:jc w:val="center"/>
        </w:trPr>
        <w:tc>
          <w:tcPr>
            <w:tcW w:w="6241" w:type="dxa"/>
            <w:shd w:val="clear" w:color="auto" w:fill="D9D9D9" w:themeFill="background1" w:themeFillShade="D9"/>
            <w:tcMar>
              <w:top w:w="0" w:type="dxa"/>
              <w:left w:w="108" w:type="dxa"/>
              <w:bottom w:w="0" w:type="dxa"/>
              <w:right w:w="108" w:type="dxa"/>
            </w:tcMar>
            <w:vAlign w:val="center"/>
            <w:hideMark/>
          </w:tcPr>
          <w:p w14:paraId="45B26CE6" w14:textId="77777777" w:rsidR="00BF774E" w:rsidRPr="00BF774E" w:rsidRDefault="00BF774E" w:rsidP="00EA2024">
            <w:pPr>
              <w:spacing w:after="120" w:line="240" w:lineRule="auto"/>
              <w:jc w:val="center"/>
              <w:rPr>
                <w:rFonts w:cs="Times New Roman"/>
              </w:rPr>
            </w:pPr>
          </w:p>
        </w:tc>
        <w:tc>
          <w:tcPr>
            <w:tcW w:w="1396" w:type="dxa"/>
            <w:shd w:val="clear" w:color="auto" w:fill="D9D9D9" w:themeFill="background1" w:themeFillShade="D9"/>
            <w:tcMar>
              <w:top w:w="0" w:type="dxa"/>
              <w:left w:w="108" w:type="dxa"/>
              <w:bottom w:w="0" w:type="dxa"/>
              <w:right w:w="108" w:type="dxa"/>
            </w:tcMar>
            <w:vAlign w:val="center"/>
            <w:hideMark/>
          </w:tcPr>
          <w:p w14:paraId="69089602" w14:textId="77777777" w:rsidR="00BF774E" w:rsidRPr="00BF774E" w:rsidRDefault="00BF774E" w:rsidP="00EA2024">
            <w:pPr>
              <w:spacing w:after="120" w:line="240" w:lineRule="auto"/>
              <w:jc w:val="center"/>
              <w:rPr>
                <w:rFonts w:cs="Times New Roman"/>
              </w:rPr>
            </w:pPr>
            <w:r w:rsidRPr="00BF774E">
              <w:rPr>
                <w:rFonts w:cs="Times New Roman"/>
                <w:bCs/>
              </w:rPr>
              <w:t>2021</w:t>
            </w:r>
          </w:p>
        </w:tc>
      </w:tr>
      <w:tr w:rsidR="00BF774E" w:rsidRPr="00BF774E" w14:paraId="22942097" w14:textId="77777777" w:rsidTr="00EA2024">
        <w:trPr>
          <w:jc w:val="center"/>
        </w:trPr>
        <w:tc>
          <w:tcPr>
            <w:tcW w:w="6241" w:type="dxa"/>
            <w:tcMar>
              <w:top w:w="0" w:type="dxa"/>
              <w:left w:w="108" w:type="dxa"/>
              <w:bottom w:w="0" w:type="dxa"/>
              <w:right w:w="108" w:type="dxa"/>
            </w:tcMar>
            <w:vAlign w:val="center"/>
            <w:hideMark/>
          </w:tcPr>
          <w:p w14:paraId="1EEBB39A" w14:textId="77777777" w:rsidR="00BF774E" w:rsidRPr="00BF774E" w:rsidRDefault="00BF774E" w:rsidP="00EA2024">
            <w:pPr>
              <w:spacing w:after="120" w:line="240" w:lineRule="auto"/>
              <w:jc w:val="both"/>
              <w:rPr>
                <w:rFonts w:cs="Times New Roman"/>
              </w:rPr>
            </w:pPr>
            <w:r w:rsidRPr="00BF774E">
              <w:rPr>
                <w:rFonts w:cs="Times New Roman"/>
                <w:iCs/>
              </w:rPr>
              <w:t xml:space="preserve">Valsts atbalstam vaislas lauksaimniecības dzīvnieku ierakstīšanai ciltsgrāmatā, kā arī to ģenētiskās kvalitātes noteikšanai un produktivitātes datu izvērtēšanai </w:t>
            </w:r>
          </w:p>
        </w:tc>
        <w:tc>
          <w:tcPr>
            <w:tcW w:w="1396" w:type="dxa"/>
            <w:tcMar>
              <w:top w:w="0" w:type="dxa"/>
              <w:left w:w="108" w:type="dxa"/>
              <w:bottom w:w="0" w:type="dxa"/>
              <w:right w:w="108" w:type="dxa"/>
            </w:tcMar>
            <w:vAlign w:val="center"/>
            <w:hideMark/>
          </w:tcPr>
          <w:p w14:paraId="5355EDE4" w14:textId="1696DDE2" w:rsidR="00BF774E" w:rsidRPr="00BF774E" w:rsidRDefault="00C40A4D" w:rsidP="00EA2024">
            <w:pPr>
              <w:spacing w:after="120" w:line="240" w:lineRule="auto"/>
              <w:jc w:val="right"/>
              <w:rPr>
                <w:rFonts w:cs="Times New Roman"/>
              </w:rPr>
            </w:pPr>
            <w:r>
              <w:rPr>
                <w:rFonts w:cs="Times New Roman"/>
                <w:iCs/>
              </w:rPr>
              <w:t>9 000 000</w:t>
            </w:r>
          </w:p>
        </w:tc>
      </w:tr>
      <w:tr w:rsidR="00BF774E" w:rsidRPr="00BF774E" w14:paraId="32D09FD9" w14:textId="77777777" w:rsidTr="00EA2024">
        <w:trPr>
          <w:jc w:val="center"/>
        </w:trPr>
        <w:tc>
          <w:tcPr>
            <w:tcW w:w="6241" w:type="dxa"/>
            <w:tcMar>
              <w:top w:w="0" w:type="dxa"/>
              <w:left w:w="108" w:type="dxa"/>
              <w:bottom w:w="0" w:type="dxa"/>
              <w:right w:w="108" w:type="dxa"/>
            </w:tcMar>
            <w:vAlign w:val="center"/>
            <w:hideMark/>
          </w:tcPr>
          <w:p w14:paraId="27B315C0" w14:textId="77777777" w:rsidR="00BF774E" w:rsidRPr="00BF774E" w:rsidRDefault="00BF774E" w:rsidP="00EA2024">
            <w:pPr>
              <w:spacing w:after="120" w:line="240" w:lineRule="auto"/>
              <w:jc w:val="both"/>
              <w:rPr>
                <w:rFonts w:cs="Times New Roman"/>
              </w:rPr>
            </w:pPr>
            <w:r w:rsidRPr="00BF774E">
              <w:rPr>
                <w:rFonts w:cs="Times New Roman"/>
                <w:iCs/>
              </w:rPr>
              <w:t xml:space="preserve">Lauksaimniecībā izmantojamiem zinātnes pētījumiem un lauksaimniecības zinātnisko institūciju materiāli tehniskās bāzes pilnveidošanai </w:t>
            </w:r>
          </w:p>
        </w:tc>
        <w:tc>
          <w:tcPr>
            <w:tcW w:w="1396" w:type="dxa"/>
            <w:tcMar>
              <w:top w:w="0" w:type="dxa"/>
              <w:left w:w="108" w:type="dxa"/>
              <w:bottom w:w="0" w:type="dxa"/>
              <w:right w:w="108" w:type="dxa"/>
            </w:tcMar>
            <w:vAlign w:val="center"/>
            <w:hideMark/>
          </w:tcPr>
          <w:p w14:paraId="1C5638E0" w14:textId="77777777" w:rsidR="00BF774E" w:rsidRPr="00BF774E" w:rsidRDefault="00BF774E" w:rsidP="00EA2024">
            <w:pPr>
              <w:spacing w:after="120" w:line="240" w:lineRule="auto"/>
              <w:jc w:val="right"/>
              <w:rPr>
                <w:rFonts w:cs="Times New Roman"/>
              </w:rPr>
            </w:pPr>
            <w:r w:rsidRPr="00BF774E">
              <w:rPr>
                <w:rFonts w:cs="Times New Roman"/>
                <w:iCs/>
              </w:rPr>
              <w:t>3 000 000</w:t>
            </w:r>
          </w:p>
        </w:tc>
      </w:tr>
      <w:tr w:rsidR="00BF774E" w:rsidRPr="00BF774E" w14:paraId="526523F8" w14:textId="77777777" w:rsidTr="00EA2024">
        <w:trPr>
          <w:jc w:val="center"/>
        </w:trPr>
        <w:tc>
          <w:tcPr>
            <w:tcW w:w="6241" w:type="dxa"/>
            <w:tcMar>
              <w:top w:w="0" w:type="dxa"/>
              <w:left w:w="108" w:type="dxa"/>
              <w:bottom w:w="0" w:type="dxa"/>
              <w:right w:w="108" w:type="dxa"/>
            </w:tcMar>
            <w:vAlign w:val="center"/>
          </w:tcPr>
          <w:p w14:paraId="089123B3" w14:textId="77777777" w:rsidR="00BF774E" w:rsidRPr="00BF774E" w:rsidRDefault="00BF774E" w:rsidP="00EA2024">
            <w:pPr>
              <w:spacing w:after="120" w:line="240" w:lineRule="auto"/>
              <w:jc w:val="both"/>
              <w:rPr>
                <w:rFonts w:cs="Times New Roman"/>
              </w:rPr>
            </w:pPr>
            <w:r w:rsidRPr="00BF774E">
              <w:rPr>
                <w:rFonts w:cs="Times New Roman"/>
                <w:iCs/>
              </w:rPr>
              <w:t xml:space="preserve">Mazo lauksaimniecības ražotāju ienākumu valsts atbalstam </w:t>
            </w:r>
          </w:p>
        </w:tc>
        <w:tc>
          <w:tcPr>
            <w:tcW w:w="1396" w:type="dxa"/>
            <w:tcMar>
              <w:top w:w="0" w:type="dxa"/>
              <w:left w:w="108" w:type="dxa"/>
              <w:bottom w:w="0" w:type="dxa"/>
              <w:right w:w="108" w:type="dxa"/>
            </w:tcMar>
            <w:vAlign w:val="center"/>
          </w:tcPr>
          <w:p w14:paraId="431331AA" w14:textId="77777777" w:rsidR="00BF774E" w:rsidRPr="00BF774E" w:rsidRDefault="00BF774E" w:rsidP="00EA2024">
            <w:pPr>
              <w:spacing w:after="120" w:line="240" w:lineRule="auto"/>
              <w:jc w:val="right"/>
              <w:rPr>
                <w:rFonts w:cs="Times New Roman"/>
              </w:rPr>
            </w:pPr>
            <w:r w:rsidRPr="00BF774E">
              <w:rPr>
                <w:rFonts w:cs="Times New Roman"/>
                <w:iCs/>
              </w:rPr>
              <w:t>3 000 000</w:t>
            </w:r>
          </w:p>
        </w:tc>
      </w:tr>
      <w:tr w:rsidR="00BF774E" w:rsidRPr="00BF774E" w14:paraId="12237FB7" w14:textId="77777777" w:rsidTr="00EA2024">
        <w:trPr>
          <w:jc w:val="center"/>
        </w:trPr>
        <w:tc>
          <w:tcPr>
            <w:tcW w:w="6241" w:type="dxa"/>
            <w:tcMar>
              <w:top w:w="0" w:type="dxa"/>
              <w:left w:w="108" w:type="dxa"/>
              <w:bottom w:w="0" w:type="dxa"/>
              <w:right w:w="108" w:type="dxa"/>
            </w:tcMar>
            <w:vAlign w:val="center"/>
          </w:tcPr>
          <w:p w14:paraId="0D21B970" w14:textId="77777777" w:rsidR="00BF774E" w:rsidRPr="00BF774E" w:rsidRDefault="00BF774E" w:rsidP="00EA2024">
            <w:pPr>
              <w:spacing w:after="120" w:line="240" w:lineRule="auto"/>
              <w:jc w:val="right"/>
              <w:rPr>
                <w:rFonts w:cs="Times New Roman"/>
                <w:b/>
                <w:bCs/>
              </w:rPr>
            </w:pPr>
            <w:r w:rsidRPr="00BF774E">
              <w:rPr>
                <w:rFonts w:cs="Times New Roman"/>
                <w:b/>
                <w:bCs/>
                <w:iCs/>
              </w:rPr>
              <w:t>Kopā</w:t>
            </w:r>
          </w:p>
        </w:tc>
        <w:tc>
          <w:tcPr>
            <w:tcW w:w="1396" w:type="dxa"/>
            <w:tcMar>
              <w:top w:w="0" w:type="dxa"/>
              <w:left w:w="108" w:type="dxa"/>
              <w:bottom w:w="0" w:type="dxa"/>
              <w:right w:w="108" w:type="dxa"/>
            </w:tcMar>
            <w:vAlign w:val="center"/>
          </w:tcPr>
          <w:p w14:paraId="61D3B715" w14:textId="08A2ECB0" w:rsidR="00BF774E" w:rsidRPr="00BF774E" w:rsidRDefault="00BF774E" w:rsidP="00EA2024">
            <w:pPr>
              <w:spacing w:after="120" w:line="240" w:lineRule="auto"/>
              <w:jc w:val="right"/>
              <w:rPr>
                <w:rFonts w:cs="Times New Roman"/>
                <w:b/>
                <w:bCs/>
              </w:rPr>
            </w:pPr>
            <w:r w:rsidRPr="00BF774E">
              <w:rPr>
                <w:rFonts w:cs="Times New Roman"/>
                <w:b/>
                <w:bCs/>
                <w:iCs/>
              </w:rPr>
              <w:t>1</w:t>
            </w:r>
            <w:r w:rsidR="00C40A4D">
              <w:rPr>
                <w:rFonts w:cs="Times New Roman"/>
                <w:b/>
                <w:bCs/>
                <w:iCs/>
              </w:rPr>
              <w:t>5</w:t>
            </w:r>
            <w:r w:rsidRPr="00BF774E">
              <w:rPr>
                <w:rFonts w:cs="Times New Roman"/>
                <w:b/>
                <w:bCs/>
                <w:iCs/>
              </w:rPr>
              <w:t xml:space="preserve"> 000 000 </w:t>
            </w:r>
          </w:p>
        </w:tc>
      </w:tr>
    </w:tbl>
    <w:p w14:paraId="76E75636" w14:textId="77777777" w:rsidR="00BF774E" w:rsidRPr="00BF774E" w:rsidRDefault="00BF774E" w:rsidP="00BF774E">
      <w:pPr>
        <w:spacing w:after="120" w:line="240" w:lineRule="auto"/>
        <w:jc w:val="both"/>
        <w:rPr>
          <w:rFonts w:cs="Times New Roman"/>
        </w:rPr>
      </w:pPr>
    </w:p>
    <w:p w14:paraId="23E34171" w14:textId="5C491DD2" w:rsidR="00BF774E" w:rsidRPr="00BF774E" w:rsidRDefault="00BF774E" w:rsidP="00BF774E">
      <w:pPr>
        <w:spacing w:after="120" w:line="254" w:lineRule="auto"/>
        <w:ind w:firstLine="720"/>
        <w:jc w:val="both"/>
        <w:rPr>
          <w:rFonts w:cs="Times New Roman"/>
        </w:rPr>
      </w:pPr>
      <w:r w:rsidRPr="00BF774E">
        <w:rPr>
          <w:rFonts w:cs="Times New Roman"/>
        </w:rPr>
        <w:t xml:space="preserve">ZM ieskatā ir nepieciešams nodrošināt lauksaimniecībā izmantojamiem zinātnes pētījumu un lauksaimniecības zinātnisko institūciju materiāli tehniskās bāzes pilnveidošanu, tāpēc 2021.gadam ZM plāno izlietot 3 000 000 </w:t>
      </w:r>
      <w:r w:rsidRPr="00BF774E">
        <w:rPr>
          <w:rFonts w:cs="Times New Roman"/>
          <w:i/>
          <w:iCs/>
        </w:rPr>
        <w:t>euro</w:t>
      </w:r>
      <w:r w:rsidRPr="00BF774E">
        <w:rPr>
          <w:rFonts w:cs="Times New Roman"/>
        </w:rPr>
        <w:t xml:space="preserve">. </w:t>
      </w:r>
    </w:p>
    <w:p w14:paraId="60524E36" w14:textId="77777777" w:rsidR="00BF774E" w:rsidRPr="00BF774E" w:rsidRDefault="00BF774E" w:rsidP="00BF774E">
      <w:pPr>
        <w:spacing w:after="120" w:line="254" w:lineRule="auto"/>
        <w:ind w:firstLine="720"/>
        <w:jc w:val="both"/>
        <w:rPr>
          <w:rFonts w:cs="Times New Roman"/>
        </w:rPr>
      </w:pPr>
      <w:r w:rsidRPr="00BF774E">
        <w:rPr>
          <w:rFonts w:cs="Times New Roman"/>
        </w:rPr>
        <w:t>ZM, izstrādājot Kopējās lauksaimniecības politikas stratēģisko plānu 2021.</w:t>
      </w:r>
      <w:r w:rsidRPr="00BF774E">
        <w:rPr>
          <w:rFonts w:cs="Times New Roman"/>
        </w:rPr>
        <w:noBreakHyphen/>
        <w:t xml:space="preserve">2027.gadam ir paredzējusi pēc iespējas vairāk izmantot finanšu instrumentus un pievērst lielu vērību vides un klimata pārmaiņu jautājumiem, kā arī iespējam plaši ieviest risku pārvaldības instrumentus. Lai īstenotu iecerēto atbalsta reformu lauksaimniecības, mežsaimniecības un lauksaimniecības produktu pārstrādes jomās, Zemkopības ministrijai būs nepieciešama zinātniski pamatota argumentācija ieplānoto izmaiņu ieviešanai. </w:t>
      </w:r>
    </w:p>
    <w:p w14:paraId="508F565E" w14:textId="77777777" w:rsidR="00BF774E" w:rsidRPr="00BF774E" w:rsidRDefault="00BF774E" w:rsidP="00BF774E">
      <w:pPr>
        <w:spacing w:after="120" w:line="254" w:lineRule="auto"/>
        <w:ind w:firstLine="720"/>
        <w:jc w:val="both"/>
        <w:rPr>
          <w:rFonts w:cs="Times New Roman"/>
        </w:rPr>
      </w:pPr>
      <w:r w:rsidRPr="00BF774E">
        <w:rPr>
          <w:rFonts w:cs="Times New Roman"/>
        </w:rPr>
        <w:lastRenderedPageBreak/>
        <w:t xml:space="preserve">ZM vērtējumā pieprasītais finansējums noteikts, vērtējot iepriekšējo gadu tendences par vidējo finansējuma nepieciešamību šajās jomās, bet ņemts vērā arī piesardzības princips par atbalstāmajiem iesniegumiem.     </w:t>
      </w:r>
    </w:p>
    <w:p w14:paraId="25F12B71" w14:textId="77777777" w:rsidR="00BF774E" w:rsidRPr="00BF774E" w:rsidRDefault="00BF774E" w:rsidP="00BF774E">
      <w:pPr>
        <w:spacing w:after="120" w:line="254" w:lineRule="auto"/>
        <w:ind w:firstLine="720"/>
        <w:jc w:val="both"/>
        <w:rPr>
          <w:rFonts w:cs="Times New Roman"/>
        </w:rPr>
      </w:pPr>
      <w:r w:rsidRPr="00BF774E">
        <w:rPr>
          <w:rFonts w:cs="Times New Roman"/>
        </w:rPr>
        <w:t>Minētais finansējums nodrošinās šajā plānošanas periodā uzsākto atbalsta pasākumu turpināšanos nozaru konkurētspējas stiprināšanai, investīciju veicināšanai lauksaimniecībā un investīcijas materiālās bāzes pilnveidošanai, kā arī ZM pasūtītos pētījumus valsts vajadzībām, kuru mērķis ir ar zinātniskās pētniecības palīdzību veicināt nozares attīstību un konkrētu problēmu risināšanu attiecīgās valsts pārvaldes institūcijas kompetences jomā. ZM šādus pētījumus pasūta konkursa kārtībā sava  budžeta ietvaros.</w:t>
      </w:r>
    </w:p>
    <w:p w14:paraId="301C58FB" w14:textId="6EFB75E7" w:rsidR="00BF774E" w:rsidRDefault="00BF774E" w:rsidP="00BF774E">
      <w:pPr>
        <w:spacing w:after="120" w:line="254" w:lineRule="auto"/>
        <w:ind w:firstLine="720"/>
        <w:jc w:val="both"/>
        <w:rPr>
          <w:rFonts w:cs="Times New Roman"/>
        </w:rPr>
      </w:pPr>
      <w:r w:rsidRPr="00BF774E">
        <w:rPr>
          <w:rFonts w:cs="Times New Roman"/>
        </w:rPr>
        <w:t xml:space="preserve">Pēdējos gados ir vērojamas lielas iepirkuma cenu svārstības pienam, cūkgaļai, liellopu gaļai un citām dzīvnieku izcelsmes izejvielām. Lai mazinātu lauksaimnieku finanšu plūsmas nekontrolējamas svārstības un nodrošinātu to konkurētspēju starp Baltijas valstīm, ir nepieciešamas saglabāt valsts atbalstu lopkopības sektorā un kopējā nepieciešamā summa būtu 16 000 002 </w:t>
      </w:r>
      <w:r w:rsidRPr="00BF774E">
        <w:rPr>
          <w:rFonts w:cs="Times New Roman"/>
          <w:i/>
          <w:iCs/>
        </w:rPr>
        <w:t>euro</w:t>
      </w:r>
      <w:r w:rsidRPr="00BF774E">
        <w:rPr>
          <w:rFonts w:cs="Times New Roman"/>
        </w:rPr>
        <w:t xml:space="preserve">. Tā kā ZM šim mērķim pieejamais finansējums ir </w:t>
      </w:r>
      <w:r w:rsidR="00C40A4D">
        <w:rPr>
          <w:rFonts w:cs="Times New Roman"/>
        </w:rPr>
        <w:t>15</w:t>
      </w:r>
      <w:r w:rsidRPr="00BF774E">
        <w:rPr>
          <w:rFonts w:cs="Times New Roman"/>
        </w:rPr>
        <w:t xml:space="preserve"> 000 000 </w:t>
      </w:r>
      <w:r w:rsidRPr="00BF774E">
        <w:rPr>
          <w:rFonts w:cs="Times New Roman"/>
          <w:i/>
          <w:iCs/>
        </w:rPr>
        <w:t>euro</w:t>
      </w:r>
      <w:r w:rsidRPr="00BF774E">
        <w:rPr>
          <w:rFonts w:cs="Times New Roman"/>
        </w:rPr>
        <w:t xml:space="preserve">, tad papildu valsts finansējums lopkopības attīstībai 2021.gadam ir nepieciešams vismaz </w:t>
      </w:r>
      <w:r w:rsidR="00C40A4D">
        <w:rPr>
          <w:rFonts w:cs="Times New Roman"/>
        </w:rPr>
        <w:t>9</w:t>
      </w:r>
      <w:r w:rsidRPr="00BF774E">
        <w:rPr>
          <w:rFonts w:cs="Times New Roman"/>
        </w:rPr>
        <w:t xml:space="preserve"> 000 000 </w:t>
      </w:r>
      <w:r w:rsidRPr="00BF774E">
        <w:rPr>
          <w:rFonts w:cs="Times New Roman"/>
          <w:i/>
          <w:iCs/>
        </w:rPr>
        <w:t>euro</w:t>
      </w:r>
      <w:r w:rsidRPr="00BF774E">
        <w:rPr>
          <w:rFonts w:cs="Times New Roman"/>
        </w:rPr>
        <w:t>, lai izlīdzinātu KLP finansējuma līmeni starp Latvijā, Lietuvā un Igaunijā izmaksājamo kopējo finansējumu. Minētais finansējums nodrošinās valsts atbalsta turpināšanu lopkopības nozarei ciltsdarba maksājumu veidā.</w:t>
      </w:r>
    </w:p>
    <w:p w14:paraId="3FE70BB7" w14:textId="289BFD6F" w:rsidR="00C40A4D" w:rsidRPr="00BF774E" w:rsidRDefault="00C40A4D" w:rsidP="00C40A4D">
      <w:pPr>
        <w:pStyle w:val="Caption"/>
        <w:rPr>
          <w:rFonts w:cs="Times New Roman"/>
          <w:szCs w:val="24"/>
        </w:rPr>
      </w:pPr>
      <w:r>
        <w:t xml:space="preserve">Tabula Nr. </w:t>
      </w:r>
      <w:fldSimple w:instr=" SEQ Tabula_Nr. \* ARABIC ">
        <w:r w:rsidR="00D96F20">
          <w:rPr>
            <w:noProof/>
          </w:rPr>
          <w:t>3</w:t>
        </w:r>
      </w:fldSimple>
    </w:p>
    <w:p w14:paraId="4A8E613C" w14:textId="5D56A0FE" w:rsidR="00BF774E" w:rsidRDefault="00BF774E" w:rsidP="00BF774E">
      <w:pPr>
        <w:spacing w:after="120" w:line="240" w:lineRule="auto"/>
        <w:jc w:val="center"/>
        <w:rPr>
          <w:rFonts w:cs="Times New Roman"/>
          <w:b/>
        </w:rPr>
      </w:pPr>
      <w:r w:rsidRPr="00BF774E">
        <w:rPr>
          <w:rFonts w:cs="Times New Roman"/>
          <w:b/>
        </w:rPr>
        <w:t>Finansējums valsts atbalstam vaislas lauksaimniecības dzīvnieku ierakstīšanai ciltsgrāmatā, kā arī to ģenētiskās kvalitātes noteikšanai un produktivitātes datu izvērtēšanai 2021. gadam</w:t>
      </w:r>
    </w:p>
    <w:tbl>
      <w:tblPr>
        <w:tblW w:w="9538" w:type="dxa"/>
        <w:jc w:val="center"/>
        <w:tblLayout w:type="fixed"/>
        <w:tblLook w:val="04A0" w:firstRow="1" w:lastRow="0" w:firstColumn="1" w:lastColumn="0" w:noHBand="0" w:noVBand="1"/>
      </w:tblPr>
      <w:tblGrid>
        <w:gridCol w:w="1817"/>
        <w:gridCol w:w="1406"/>
        <w:gridCol w:w="1547"/>
        <w:gridCol w:w="1546"/>
        <w:gridCol w:w="1546"/>
        <w:gridCol w:w="1676"/>
      </w:tblGrid>
      <w:tr w:rsidR="00C40A4D" w:rsidRPr="00C40A4D" w14:paraId="6F25E058" w14:textId="77777777" w:rsidTr="00C40A4D">
        <w:trPr>
          <w:trHeight w:val="1241"/>
          <w:jc w:val="center"/>
        </w:trPr>
        <w:tc>
          <w:tcPr>
            <w:tcW w:w="1817"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0EA2F19" w14:textId="77777777" w:rsidR="00C40A4D" w:rsidRPr="00C40A4D" w:rsidRDefault="00C40A4D" w:rsidP="00C40A4D">
            <w:pPr>
              <w:spacing w:after="0" w:line="240" w:lineRule="auto"/>
              <w:jc w:val="center"/>
              <w:rPr>
                <w:rFonts w:eastAsia="Times New Roman" w:cs="Times New Roman"/>
                <w:color w:val="000000"/>
                <w:sz w:val="22"/>
                <w:szCs w:val="22"/>
                <w:lang w:eastAsia="lv-LV"/>
              </w:rPr>
            </w:pPr>
            <w:r w:rsidRPr="00C40A4D">
              <w:rPr>
                <w:rFonts w:eastAsia="Times New Roman" w:cs="Times New Roman"/>
                <w:color w:val="000000"/>
                <w:sz w:val="22"/>
                <w:szCs w:val="22"/>
                <w:lang w:eastAsia="lv-LV"/>
              </w:rPr>
              <w:t>Nozare</w:t>
            </w:r>
          </w:p>
        </w:tc>
        <w:tc>
          <w:tcPr>
            <w:tcW w:w="1406" w:type="dxa"/>
            <w:tcBorders>
              <w:top w:val="single" w:sz="8" w:space="0" w:color="auto"/>
              <w:left w:val="nil"/>
              <w:bottom w:val="single" w:sz="8" w:space="0" w:color="auto"/>
              <w:right w:val="single" w:sz="8" w:space="0" w:color="auto"/>
            </w:tcBorders>
            <w:shd w:val="clear" w:color="000000" w:fill="D9D9D9"/>
            <w:vAlign w:val="center"/>
            <w:hideMark/>
          </w:tcPr>
          <w:p w14:paraId="031D8DF4" w14:textId="77777777" w:rsidR="00C40A4D" w:rsidRPr="00C40A4D" w:rsidRDefault="00C40A4D" w:rsidP="00C40A4D">
            <w:pPr>
              <w:spacing w:after="0" w:line="240" w:lineRule="auto"/>
              <w:jc w:val="center"/>
              <w:rPr>
                <w:rFonts w:eastAsia="Times New Roman" w:cs="Times New Roman"/>
                <w:color w:val="000000"/>
                <w:sz w:val="22"/>
                <w:szCs w:val="22"/>
                <w:lang w:eastAsia="lv-LV"/>
              </w:rPr>
            </w:pPr>
            <w:r w:rsidRPr="00C40A4D">
              <w:rPr>
                <w:rFonts w:eastAsia="Times New Roman" w:cs="Times New Roman"/>
                <w:color w:val="000000"/>
                <w:sz w:val="22"/>
                <w:szCs w:val="22"/>
                <w:lang w:eastAsia="lv-LV"/>
              </w:rPr>
              <w:t>Prognozētais vaislas dzīvnieku skaits</w:t>
            </w:r>
          </w:p>
        </w:tc>
        <w:tc>
          <w:tcPr>
            <w:tcW w:w="1546" w:type="dxa"/>
            <w:tcBorders>
              <w:top w:val="single" w:sz="8" w:space="0" w:color="auto"/>
              <w:left w:val="nil"/>
              <w:bottom w:val="single" w:sz="8" w:space="0" w:color="auto"/>
              <w:right w:val="single" w:sz="8" w:space="0" w:color="auto"/>
            </w:tcBorders>
            <w:shd w:val="clear" w:color="000000" w:fill="D9D9D9"/>
            <w:vAlign w:val="center"/>
            <w:hideMark/>
          </w:tcPr>
          <w:p w14:paraId="1FDB8224" w14:textId="77777777" w:rsidR="00C40A4D" w:rsidRPr="00C40A4D" w:rsidRDefault="00C40A4D" w:rsidP="00C40A4D">
            <w:pPr>
              <w:spacing w:after="0" w:line="240" w:lineRule="auto"/>
              <w:jc w:val="center"/>
              <w:rPr>
                <w:rFonts w:eastAsia="Times New Roman" w:cs="Times New Roman"/>
                <w:color w:val="000000"/>
                <w:sz w:val="22"/>
                <w:szCs w:val="22"/>
                <w:lang w:eastAsia="lv-LV"/>
              </w:rPr>
            </w:pPr>
            <w:r w:rsidRPr="00C40A4D">
              <w:rPr>
                <w:rFonts w:eastAsia="Times New Roman" w:cs="Times New Roman"/>
                <w:color w:val="000000"/>
                <w:sz w:val="22"/>
                <w:szCs w:val="22"/>
                <w:lang w:eastAsia="lv-LV"/>
              </w:rPr>
              <w:t>Ciltsdarba pakalpojuma groza izcenojums 70 % apmērā</w:t>
            </w:r>
          </w:p>
        </w:tc>
        <w:tc>
          <w:tcPr>
            <w:tcW w:w="1546" w:type="dxa"/>
            <w:tcBorders>
              <w:top w:val="single" w:sz="8" w:space="0" w:color="auto"/>
              <w:left w:val="nil"/>
              <w:bottom w:val="single" w:sz="8" w:space="0" w:color="auto"/>
              <w:right w:val="nil"/>
            </w:tcBorders>
            <w:shd w:val="clear" w:color="000000" w:fill="D9D9D9"/>
            <w:vAlign w:val="center"/>
            <w:hideMark/>
          </w:tcPr>
          <w:p w14:paraId="431C50E8" w14:textId="77777777" w:rsidR="00C40A4D" w:rsidRPr="00C40A4D" w:rsidRDefault="00C40A4D" w:rsidP="00C40A4D">
            <w:pPr>
              <w:spacing w:after="0" w:line="240" w:lineRule="auto"/>
              <w:jc w:val="center"/>
              <w:rPr>
                <w:rFonts w:eastAsia="Times New Roman" w:cs="Times New Roman"/>
                <w:color w:val="000000"/>
                <w:sz w:val="22"/>
                <w:szCs w:val="22"/>
                <w:lang w:eastAsia="lv-LV"/>
              </w:rPr>
            </w:pPr>
            <w:r w:rsidRPr="00C40A4D">
              <w:rPr>
                <w:rFonts w:eastAsia="Times New Roman" w:cs="Times New Roman"/>
                <w:color w:val="000000"/>
                <w:sz w:val="22"/>
                <w:szCs w:val="22"/>
                <w:lang w:eastAsia="lv-LV"/>
              </w:rPr>
              <w:t xml:space="preserve">Nepieciešamā summa, </w:t>
            </w:r>
            <w:r w:rsidRPr="00C40A4D">
              <w:rPr>
                <w:rFonts w:eastAsia="Times New Roman" w:cs="Times New Roman"/>
                <w:i/>
                <w:iCs/>
                <w:color w:val="000000"/>
                <w:sz w:val="22"/>
                <w:szCs w:val="22"/>
                <w:lang w:eastAsia="lv-LV"/>
              </w:rPr>
              <w:t>EUR</w:t>
            </w:r>
          </w:p>
        </w:tc>
        <w:tc>
          <w:tcPr>
            <w:tcW w:w="1546"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058BD1B" w14:textId="77777777" w:rsidR="00C40A4D" w:rsidRPr="00C40A4D" w:rsidRDefault="00C40A4D" w:rsidP="00C40A4D">
            <w:pPr>
              <w:spacing w:after="0" w:line="240" w:lineRule="auto"/>
              <w:jc w:val="center"/>
              <w:rPr>
                <w:rFonts w:eastAsia="Times New Roman" w:cs="Times New Roman"/>
                <w:b/>
                <w:bCs/>
                <w:color w:val="000000"/>
                <w:sz w:val="22"/>
                <w:szCs w:val="22"/>
                <w:lang w:eastAsia="lv-LV"/>
              </w:rPr>
            </w:pPr>
            <w:r w:rsidRPr="00C40A4D">
              <w:rPr>
                <w:rFonts w:eastAsia="Times New Roman" w:cs="Times New Roman"/>
                <w:b/>
                <w:bCs/>
                <w:color w:val="000000"/>
                <w:sz w:val="22"/>
                <w:szCs w:val="22"/>
                <w:lang w:eastAsia="lv-LV"/>
              </w:rPr>
              <w:t xml:space="preserve">Plānotais finansējums, </w:t>
            </w:r>
            <w:r w:rsidRPr="00C40A4D">
              <w:rPr>
                <w:rFonts w:eastAsia="Times New Roman" w:cs="Times New Roman"/>
                <w:b/>
                <w:bCs/>
                <w:i/>
                <w:iCs/>
                <w:color w:val="000000"/>
                <w:sz w:val="22"/>
                <w:szCs w:val="22"/>
                <w:lang w:eastAsia="lv-LV"/>
              </w:rPr>
              <w:t>EUR*</w:t>
            </w:r>
          </w:p>
        </w:tc>
        <w:tc>
          <w:tcPr>
            <w:tcW w:w="1676" w:type="dxa"/>
            <w:tcBorders>
              <w:top w:val="single" w:sz="8" w:space="0" w:color="auto"/>
              <w:left w:val="single" w:sz="8" w:space="0" w:color="auto"/>
              <w:bottom w:val="single" w:sz="8" w:space="0" w:color="auto"/>
              <w:right w:val="single" w:sz="8" w:space="0" w:color="auto"/>
            </w:tcBorders>
            <w:shd w:val="clear" w:color="000000" w:fill="D9D9D9"/>
            <w:vAlign w:val="center"/>
          </w:tcPr>
          <w:p w14:paraId="575B9311" w14:textId="77777777" w:rsidR="00C40A4D" w:rsidRPr="00C40A4D" w:rsidRDefault="00C40A4D" w:rsidP="00C40A4D">
            <w:pPr>
              <w:spacing w:after="0" w:line="240" w:lineRule="auto"/>
              <w:jc w:val="center"/>
              <w:rPr>
                <w:rFonts w:eastAsia="Times New Roman" w:cs="Times New Roman"/>
                <w:bCs/>
                <w:color w:val="000000"/>
                <w:sz w:val="22"/>
                <w:szCs w:val="22"/>
                <w:lang w:eastAsia="lv-LV"/>
              </w:rPr>
            </w:pPr>
            <w:r w:rsidRPr="00C40A4D">
              <w:rPr>
                <w:rFonts w:eastAsia="Calibri" w:cs="Times New Roman"/>
                <w:bCs/>
                <w:sz w:val="22"/>
                <w:szCs w:val="22"/>
              </w:rPr>
              <w:t>Plānotais/ nepieciešamais, samazinājums %</w:t>
            </w:r>
          </w:p>
        </w:tc>
      </w:tr>
      <w:tr w:rsidR="00C40A4D" w:rsidRPr="00C40A4D" w14:paraId="6E1A80E4" w14:textId="77777777" w:rsidTr="00C40A4D">
        <w:trPr>
          <w:trHeight w:val="334"/>
          <w:jc w:val="center"/>
        </w:trPr>
        <w:tc>
          <w:tcPr>
            <w:tcW w:w="1817" w:type="dxa"/>
            <w:tcBorders>
              <w:top w:val="nil"/>
              <w:left w:val="single" w:sz="8" w:space="0" w:color="auto"/>
              <w:bottom w:val="single" w:sz="8" w:space="0" w:color="auto"/>
              <w:right w:val="single" w:sz="8" w:space="0" w:color="auto"/>
            </w:tcBorders>
            <w:shd w:val="clear" w:color="auto" w:fill="auto"/>
            <w:noWrap/>
            <w:vAlign w:val="center"/>
            <w:hideMark/>
          </w:tcPr>
          <w:p w14:paraId="1B1C82C3" w14:textId="77777777" w:rsidR="00C40A4D" w:rsidRPr="00C40A4D" w:rsidRDefault="00C40A4D" w:rsidP="00C40A4D">
            <w:pPr>
              <w:spacing w:after="0" w:line="240" w:lineRule="auto"/>
              <w:rPr>
                <w:rFonts w:eastAsia="Times New Roman" w:cs="Times New Roman"/>
                <w:color w:val="000000"/>
                <w:sz w:val="22"/>
                <w:szCs w:val="22"/>
                <w:lang w:eastAsia="lv-LV"/>
              </w:rPr>
            </w:pPr>
            <w:r w:rsidRPr="00C40A4D">
              <w:rPr>
                <w:rFonts w:eastAsia="Times New Roman" w:cs="Times New Roman"/>
                <w:color w:val="000000"/>
                <w:sz w:val="22"/>
                <w:szCs w:val="22"/>
                <w:lang w:eastAsia="lv-LV"/>
              </w:rPr>
              <w:t>Cūkkopība</w:t>
            </w:r>
          </w:p>
        </w:tc>
        <w:tc>
          <w:tcPr>
            <w:tcW w:w="1406" w:type="dxa"/>
            <w:tcBorders>
              <w:top w:val="nil"/>
              <w:left w:val="nil"/>
              <w:bottom w:val="single" w:sz="8" w:space="0" w:color="auto"/>
              <w:right w:val="single" w:sz="8" w:space="0" w:color="auto"/>
            </w:tcBorders>
            <w:shd w:val="clear" w:color="auto" w:fill="auto"/>
            <w:vAlign w:val="center"/>
            <w:hideMark/>
          </w:tcPr>
          <w:p w14:paraId="2FD130CF"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29 110</w:t>
            </w:r>
          </w:p>
        </w:tc>
        <w:tc>
          <w:tcPr>
            <w:tcW w:w="1546" w:type="dxa"/>
            <w:tcBorders>
              <w:top w:val="nil"/>
              <w:left w:val="nil"/>
              <w:bottom w:val="single" w:sz="8" w:space="0" w:color="auto"/>
              <w:right w:val="single" w:sz="8" w:space="0" w:color="auto"/>
            </w:tcBorders>
            <w:shd w:val="clear" w:color="auto" w:fill="auto"/>
            <w:vAlign w:val="center"/>
            <w:hideMark/>
          </w:tcPr>
          <w:p w14:paraId="074A30FF"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239,92</w:t>
            </w:r>
          </w:p>
        </w:tc>
        <w:tc>
          <w:tcPr>
            <w:tcW w:w="1546" w:type="dxa"/>
            <w:tcBorders>
              <w:top w:val="nil"/>
              <w:left w:val="nil"/>
              <w:bottom w:val="single" w:sz="8" w:space="0" w:color="auto"/>
              <w:right w:val="nil"/>
            </w:tcBorders>
            <w:shd w:val="clear" w:color="auto" w:fill="auto"/>
            <w:noWrap/>
            <w:vAlign w:val="center"/>
            <w:hideMark/>
          </w:tcPr>
          <w:p w14:paraId="4446582A"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6 984 071</w:t>
            </w:r>
          </w:p>
        </w:tc>
        <w:tc>
          <w:tcPr>
            <w:tcW w:w="1546" w:type="dxa"/>
            <w:tcBorders>
              <w:top w:val="nil"/>
              <w:left w:val="single" w:sz="8" w:space="0" w:color="auto"/>
              <w:bottom w:val="single" w:sz="4" w:space="0" w:color="auto"/>
              <w:right w:val="single" w:sz="8" w:space="0" w:color="auto"/>
            </w:tcBorders>
            <w:shd w:val="clear" w:color="auto" w:fill="auto"/>
            <w:noWrap/>
            <w:vAlign w:val="center"/>
            <w:hideMark/>
          </w:tcPr>
          <w:p w14:paraId="59B11F91" w14:textId="77777777" w:rsidR="00C40A4D" w:rsidRPr="00C40A4D" w:rsidRDefault="00C40A4D" w:rsidP="00C40A4D">
            <w:pPr>
              <w:spacing w:after="0" w:line="240" w:lineRule="auto"/>
              <w:jc w:val="right"/>
              <w:rPr>
                <w:rFonts w:eastAsia="Times New Roman" w:cs="Times New Roman"/>
                <w:b/>
                <w:bCs/>
                <w:color w:val="FF0000"/>
                <w:sz w:val="22"/>
                <w:szCs w:val="22"/>
                <w:lang w:eastAsia="lv-LV"/>
              </w:rPr>
            </w:pPr>
            <w:r w:rsidRPr="00C40A4D">
              <w:rPr>
                <w:rFonts w:eastAsia="Calibri" w:cs="Times New Roman"/>
                <w:b/>
                <w:bCs/>
                <w:sz w:val="22"/>
                <w:szCs w:val="22"/>
              </w:rPr>
              <w:t xml:space="preserve">        5 008 407 </w:t>
            </w:r>
          </w:p>
        </w:tc>
        <w:tc>
          <w:tcPr>
            <w:tcW w:w="1676" w:type="dxa"/>
            <w:tcBorders>
              <w:top w:val="nil"/>
              <w:left w:val="single" w:sz="8" w:space="0" w:color="auto"/>
              <w:bottom w:val="single" w:sz="4" w:space="0" w:color="auto"/>
              <w:right w:val="single" w:sz="8" w:space="0" w:color="auto"/>
            </w:tcBorders>
            <w:vAlign w:val="center"/>
          </w:tcPr>
          <w:p w14:paraId="7B14F57C" w14:textId="77777777" w:rsidR="00C40A4D" w:rsidRPr="00C40A4D" w:rsidRDefault="00C40A4D" w:rsidP="00C40A4D">
            <w:pPr>
              <w:spacing w:after="0" w:line="240" w:lineRule="auto"/>
              <w:jc w:val="right"/>
              <w:rPr>
                <w:rFonts w:eastAsia="Calibri" w:cs="Times New Roman"/>
                <w:b/>
                <w:bCs/>
                <w:sz w:val="22"/>
                <w:szCs w:val="22"/>
              </w:rPr>
            </w:pPr>
            <w:r w:rsidRPr="00C40A4D">
              <w:rPr>
                <w:rFonts w:eastAsia="Calibri" w:cs="Times New Roman"/>
                <w:bCs/>
                <w:sz w:val="22"/>
                <w:szCs w:val="22"/>
              </w:rPr>
              <w:t xml:space="preserve">- 28,3 </w:t>
            </w:r>
          </w:p>
        </w:tc>
      </w:tr>
      <w:tr w:rsidR="00C40A4D" w:rsidRPr="00C40A4D" w14:paraId="2B312132" w14:textId="77777777" w:rsidTr="00C40A4D">
        <w:trPr>
          <w:trHeight w:val="334"/>
          <w:jc w:val="center"/>
        </w:trPr>
        <w:tc>
          <w:tcPr>
            <w:tcW w:w="1817" w:type="dxa"/>
            <w:tcBorders>
              <w:top w:val="nil"/>
              <w:left w:val="single" w:sz="8" w:space="0" w:color="auto"/>
              <w:bottom w:val="single" w:sz="8" w:space="0" w:color="auto"/>
              <w:right w:val="single" w:sz="8" w:space="0" w:color="auto"/>
            </w:tcBorders>
            <w:shd w:val="clear" w:color="auto" w:fill="auto"/>
            <w:noWrap/>
            <w:vAlign w:val="center"/>
            <w:hideMark/>
          </w:tcPr>
          <w:p w14:paraId="09CFABEF" w14:textId="77777777" w:rsidR="00C40A4D" w:rsidRPr="00C40A4D" w:rsidRDefault="00C40A4D" w:rsidP="00C40A4D">
            <w:pPr>
              <w:spacing w:after="0" w:line="240" w:lineRule="auto"/>
              <w:rPr>
                <w:rFonts w:eastAsia="Times New Roman" w:cs="Times New Roman"/>
                <w:color w:val="000000"/>
                <w:sz w:val="22"/>
                <w:szCs w:val="22"/>
                <w:lang w:eastAsia="lv-LV"/>
              </w:rPr>
            </w:pPr>
            <w:r w:rsidRPr="00C40A4D">
              <w:rPr>
                <w:rFonts w:eastAsia="Times New Roman" w:cs="Times New Roman"/>
                <w:color w:val="000000"/>
                <w:sz w:val="22"/>
                <w:szCs w:val="22"/>
                <w:lang w:eastAsia="lv-LV"/>
              </w:rPr>
              <w:t>Piensaimniecība</w:t>
            </w:r>
          </w:p>
        </w:tc>
        <w:tc>
          <w:tcPr>
            <w:tcW w:w="1406" w:type="dxa"/>
            <w:tcBorders>
              <w:top w:val="nil"/>
              <w:left w:val="nil"/>
              <w:bottom w:val="single" w:sz="8" w:space="0" w:color="auto"/>
              <w:right w:val="single" w:sz="8" w:space="0" w:color="auto"/>
            </w:tcBorders>
            <w:shd w:val="clear" w:color="auto" w:fill="auto"/>
            <w:vAlign w:val="center"/>
            <w:hideMark/>
          </w:tcPr>
          <w:p w14:paraId="7F03A219"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116 324</w:t>
            </w:r>
          </w:p>
        </w:tc>
        <w:tc>
          <w:tcPr>
            <w:tcW w:w="1546" w:type="dxa"/>
            <w:tcBorders>
              <w:top w:val="nil"/>
              <w:left w:val="nil"/>
              <w:bottom w:val="single" w:sz="8" w:space="0" w:color="auto"/>
              <w:right w:val="single" w:sz="8" w:space="0" w:color="auto"/>
            </w:tcBorders>
            <w:shd w:val="clear" w:color="auto" w:fill="auto"/>
            <w:vAlign w:val="center"/>
            <w:hideMark/>
          </w:tcPr>
          <w:p w14:paraId="496E94B7"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57,12</w:t>
            </w:r>
          </w:p>
        </w:tc>
        <w:tc>
          <w:tcPr>
            <w:tcW w:w="1546" w:type="dxa"/>
            <w:tcBorders>
              <w:top w:val="nil"/>
              <w:left w:val="nil"/>
              <w:bottom w:val="single" w:sz="8" w:space="0" w:color="auto"/>
              <w:right w:val="nil"/>
            </w:tcBorders>
            <w:shd w:val="clear" w:color="auto" w:fill="auto"/>
            <w:noWrap/>
            <w:vAlign w:val="center"/>
            <w:hideMark/>
          </w:tcPr>
          <w:p w14:paraId="324BFF3B"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6 644 427</w:t>
            </w:r>
          </w:p>
        </w:tc>
        <w:tc>
          <w:tcPr>
            <w:tcW w:w="1546" w:type="dxa"/>
            <w:tcBorders>
              <w:top w:val="nil"/>
              <w:left w:val="single" w:sz="8" w:space="0" w:color="auto"/>
              <w:bottom w:val="single" w:sz="4" w:space="0" w:color="auto"/>
              <w:right w:val="single" w:sz="8" w:space="0" w:color="auto"/>
            </w:tcBorders>
            <w:shd w:val="clear" w:color="auto" w:fill="auto"/>
            <w:noWrap/>
            <w:vAlign w:val="center"/>
            <w:hideMark/>
          </w:tcPr>
          <w:p w14:paraId="288B509A" w14:textId="77777777" w:rsidR="00C40A4D" w:rsidRPr="00C40A4D" w:rsidRDefault="00C40A4D" w:rsidP="00C40A4D">
            <w:pPr>
              <w:spacing w:after="0" w:line="240" w:lineRule="auto"/>
              <w:jc w:val="right"/>
              <w:rPr>
                <w:rFonts w:eastAsia="Times New Roman" w:cs="Times New Roman"/>
                <w:b/>
                <w:bCs/>
                <w:color w:val="FF0000"/>
                <w:sz w:val="22"/>
                <w:szCs w:val="22"/>
                <w:lang w:eastAsia="lv-LV"/>
              </w:rPr>
            </w:pPr>
            <w:r w:rsidRPr="00C40A4D">
              <w:rPr>
                <w:rFonts w:eastAsia="Calibri" w:cs="Times New Roman"/>
                <w:b/>
                <w:bCs/>
                <w:sz w:val="22"/>
                <w:szCs w:val="22"/>
              </w:rPr>
              <w:t xml:space="preserve">        2 889 992 </w:t>
            </w:r>
          </w:p>
        </w:tc>
        <w:tc>
          <w:tcPr>
            <w:tcW w:w="1676" w:type="dxa"/>
            <w:tcBorders>
              <w:top w:val="nil"/>
              <w:left w:val="single" w:sz="8" w:space="0" w:color="auto"/>
              <w:bottom w:val="single" w:sz="4" w:space="0" w:color="auto"/>
              <w:right w:val="single" w:sz="8" w:space="0" w:color="auto"/>
            </w:tcBorders>
            <w:vAlign w:val="center"/>
          </w:tcPr>
          <w:p w14:paraId="039FF971" w14:textId="77777777" w:rsidR="00C40A4D" w:rsidRPr="00C40A4D" w:rsidRDefault="00C40A4D" w:rsidP="00C40A4D">
            <w:pPr>
              <w:spacing w:after="0" w:line="240" w:lineRule="auto"/>
              <w:jc w:val="right"/>
              <w:rPr>
                <w:rFonts w:eastAsia="Calibri" w:cs="Times New Roman"/>
                <w:b/>
                <w:bCs/>
                <w:sz w:val="22"/>
                <w:szCs w:val="22"/>
              </w:rPr>
            </w:pPr>
            <w:r w:rsidRPr="00C40A4D">
              <w:rPr>
                <w:rFonts w:eastAsia="Calibri" w:cs="Times New Roman"/>
                <w:bCs/>
                <w:sz w:val="22"/>
                <w:szCs w:val="22"/>
              </w:rPr>
              <w:t xml:space="preserve">- 56,5 </w:t>
            </w:r>
          </w:p>
        </w:tc>
      </w:tr>
      <w:tr w:rsidR="00C40A4D" w:rsidRPr="00C40A4D" w14:paraId="409FE790" w14:textId="77777777" w:rsidTr="00C40A4D">
        <w:trPr>
          <w:trHeight w:val="334"/>
          <w:jc w:val="center"/>
        </w:trPr>
        <w:tc>
          <w:tcPr>
            <w:tcW w:w="1817" w:type="dxa"/>
            <w:tcBorders>
              <w:top w:val="nil"/>
              <w:left w:val="single" w:sz="8" w:space="0" w:color="auto"/>
              <w:bottom w:val="single" w:sz="8" w:space="0" w:color="auto"/>
              <w:right w:val="single" w:sz="8" w:space="0" w:color="auto"/>
            </w:tcBorders>
            <w:shd w:val="clear" w:color="auto" w:fill="auto"/>
            <w:noWrap/>
            <w:vAlign w:val="center"/>
            <w:hideMark/>
          </w:tcPr>
          <w:p w14:paraId="16D33709" w14:textId="77777777" w:rsidR="00C40A4D" w:rsidRPr="00C40A4D" w:rsidRDefault="00C40A4D" w:rsidP="00C40A4D">
            <w:pPr>
              <w:spacing w:after="0" w:line="240" w:lineRule="auto"/>
              <w:rPr>
                <w:rFonts w:eastAsia="Times New Roman" w:cs="Times New Roman"/>
                <w:color w:val="000000"/>
                <w:sz w:val="22"/>
                <w:szCs w:val="22"/>
                <w:lang w:eastAsia="lv-LV"/>
              </w:rPr>
            </w:pPr>
            <w:r w:rsidRPr="00C40A4D">
              <w:rPr>
                <w:rFonts w:eastAsia="Times New Roman" w:cs="Times New Roman"/>
                <w:color w:val="000000"/>
                <w:sz w:val="22"/>
                <w:szCs w:val="22"/>
                <w:lang w:eastAsia="lv-LV"/>
              </w:rPr>
              <w:t>Zīdītājgovis</w:t>
            </w:r>
          </w:p>
        </w:tc>
        <w:tc>
          <w:tcPr>
            <w:tcW w:w="1406" w:type="dxa"/>
            <w:tcBorders>
              <w:top w:val="nil"/>
              <w:left w:val="nil"/>
              <w:bottom w:val="single" w:sz="8" w:space="0" w:color="auto"/>
              <w:right w:val="single" w:sz="8" w:space="0" w:color="auto"/>
            </w:tcBorders>
            <w:shd w:val="clear" w:color="auto" w:fill="auto"/>
            <w:vAlign w:val="center"/>
            <w:hideMark/>
          </w:tcPr>
          <w:p w14:paraId="3FF30CC4"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39 147</w:t>
            </w:r>
          </w:p>
        </w:tc>
        <w:tc>
          <w:tcPr>
            <w:tcW w:w="1546" w:type="dxa"/>
            <w:tcBorders>
              <w:top w:val="nil"/>
              <w:left w:val="nil"/>
              <w:bottom w:val="single" w:sz="8" w:space="0" w:color="auto"/>
              <w:right w:val="single" w:sz="8" w:space="0" w:color="auto"/>
            </w:tcBorders>
            <w:shd w:val="clear" w:color="auto" w:fill="auto"/>
            <w:vAlign w:val="center"/>
            <w:hideMark/>
          </w:tcPr>
          <w:p w14:paraId="6A3D9364"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50,63</w:t>
            </w:r>
          </w:p>
        </w:tc>
        <w:tc>
          <w:tcPr>
            <w:tcW w:w="1546" w:type="dxa"/>
            <w:tcBorders>
              <w:top w:val="nil"/>
              <w:left w:val="nil"/>
              <w:bottom w:val="single" w:sz="8" w:space="0" w:color="auto"/>
              <w:right w:val="nil"/>
            </w:tcBorders>
            <w:shd w:val="clear" w:color="auto" w:fill="auto"/>
            <w:noWrap/>
            <w:vAlign w:val="center"/>
            <w:hideMark/>
          </w:tcPr>
          <w:p w14:paraId="574C5B83"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1 982 013</w:t>
            </w:r>
          </w:p>
        </w:tc>
        <w:tc>
          <w:tcPr>
            <w:tcW w:w="1546" w:type="dxa"/>
            <w:tcBorders>
              <w:top w:val="nil"/>
              <w:left w:val="single" w:sz="8" w:space="0" w:color="auto"/>
              <w:bottom w:val="single" w:sz="4" w:space="0" w:color="auto"/>
              <w:right w:val="single" w:sz="8" w:space="0" w:color="auto"/>
            </w:tcBorders>
            <w:shd w:val="clear" w:color="auto" w:fill="auto"/>
            <w:noWrap/>
            <w:vAlign w:val="center"/>
            <w:hideMark/>
          </w:tcPr>
          <w:p w14:paraId="275F97EB" w14:textId="77777777" w:rsidR="00C40A4D" w:rsidRPr="00C40A4D" w:rsidRDefault="00C40A4D" w:rsidP="00C40A4D">
            <w:pPr>
              <w:spacing w:after="0" w:line="240" w:lineRule="auto"/>
              <w:jc w:val="right"/>
              <w:rPr>
                <w:rFonts w:eastAsia="Times New Roman" w:cs="Times New Roman"/>
                <w:b/>
                <w:bCs/>
                <w:color w:val="FF0000"/>
                <w:sz w:val="22"/>
                <w:szCs w:val="22"/>
                <w:lang w:eastAsia="lv-LV"/>
              </w:rPr>
            </w:pPr>
            <w:r w:rsidRPr="00C40A4D">
              <w:rPr>
                <w:rFonts w:eastAsia="Calibri" w:cs="Times New Roman"/>
                <w:b/>
                <w:bCs/>
                <w:sz w:val="22"/>
                <w:szCs w:val="22"/>
              </w:rPr>
              <w:t xml:space="preserve">           900 000 </w:t>
            </w:r>
          </w:p>
        </w:tc>
        <w:tc>
          <w:tcPr>
            <w:tcW w:w="1676" w:type="dxa"/>
            <w:tcBorders>
              <w:top w:val="nil"/>
              <w:left w:val="single" w:sz="8" w:space="0" w:color="auto"/>
              <w:bottom w:val="single" w:sz="4" w:space="0" w:color="auto"/>
              <w:right w:val="single" w:sz="8" w:space="0" w:color="auto"/>
            </w:tcBorders>
            <w:vAlign w:val="center"/>
          </w:tcPr>
          <w:p w14:paraId="1953D85B" w14:textId="77777777" w:rsidR="00C40A4D" w:rsidRPr="00C40A4D" w:rsidRDefault="00C40A4D" w:rsidP="00C40A4D">
            <w:pPr>
              <w:spacing w:after="0" w:line="240" w:lineRule="auto"/>
              <w:jc w:val="right"/>
              <w:rPr>
                <w:rFonts w:eastAsia="Calibri" w:cs="Times New Roman"/>
                <w:b/>
                <w:bCs/>
                <w:sz w:val="22"/>
                <w:szCs w:val="22"/>
              </w:rPr>
            </w:pPr>
            <w:r w:rsidRPr="00C40A4D">
              <w:rPr>
                <w:rFonts w:eastAsia="Calibri" w:cs="Times New Roman"/>
                <w:bCs/>
                <w:sz w:val="22"/>
                <w:szCs w:val="22"/>
              </w:rPr>
              <w:t xml:space="preserve">- 54,6 </w:t>
            </w:r>
          </w:p>
        </w:tc>
      </w:tr>
      <w:tr w:rsidR="00C40A4D" w:rsidRPr="00C40A4D" w14:paraId="1BBC01F7" w14:textId="77777777" w:rsidTr="00C40A4D">
        <w:trPr>
          <w:trHeight w:val="334"/>
          <w:jc w:val="center"/>
        </w:trPr>
        <w:tc>
          <w:tcPr>
            <w:tcW w:w="1817" w:type="dxa"/>
            <w:tcBorders>
              <w:top w:val="nil"/>
              <w:left w:val="single" w:sz="8" w:space="0" w:color="auto"/>
              <w:bottom w:val="single" w:sz="8" w:space="0" w:color="auto"/>
              <w:right w:val="single" w:sz="8" w:space="0" w:color="auto"/>
            </w:tcBorders>
            <w:shd w:val="clear" w:color="auto" w:fill="auto"/>
            <w:noWrap/>
            <w:vAlign w:val="center"/>
            <w:hideMark/>
          </w:tcPr>
          <w:p w14:paraId="5183443F" w14:textId="77777777" w:rsidR="00C40A4D" w:rsidRPr="00C40A4D" w:rsidRDefault="00C40A4D" w:rsidP="00C40A4D">
            <w:pPr>
              <w:spacing w:after="0" w:line="240" w:lineRule="auto"/>
              <w:rPr>
                <w:rFonts w:eastAsia="Times New Roman" w:cs="Times New Roman"/>
                <w:color w:val="000000"/>
                <w:sz w:val="22"/>
                <w:szCs w:val="22"/>
                <w:lang w:eastAsia="lv-LV"/>
              </w:rPr>
            </w:pPr>
            <w:r w:rsidRPr="00C40A4D">
              <w:rPr>
                <w:rFonts w:eastAsia="Times New Roman" w:cs="Times New Roman"/>
                <w:color w:val="000000"/>
                <w:sz w:val="22"/>
                <w:szCs w:val="22"/>
                <w:lang w:eastAsia="lv-LV"/>
              </w:rPr>
              <w:t>Aitkopība</w:t>
            </w:r>
          </w:p>
        </w:tc>
        <w:tc>
          <w:tcPr>
            <w:tcW w:w="1406" w:type="dxa"/>
            <w:tcBorders>
              <w:top w:val="nil"/>
              <w:left w:val="nil"/>
              <w:bottom w:val="single" w:sz="8" w:space="0" w:color="auto"/>
              <w:right w:val="single" w:sz="8" w:space="0" w:color="auto"/>
            </w:tcBorders>
            <w:shd w:val="clear" w:color="auto" w:fill="auto"/>
            <w:vAlign w:val="center"/>
            <w:hideMark/>
          </w:tcPr>
          <w:p w14:paraId="33DE02EC"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15 000</w:t>
            </w:r>
          </w:p>
        </w:tc>
        <w:tc>
          <w:tcPr>
            <w:tcW w:w="1546" w:type="dxa"/>
            <w:tcBorders>
              <w:top w:val="nil"/>
              <w:left w:val="nil"/>
              <w:bottom w:val="single" w:sz="8" w:space="0" w:color="auto"/>
              <w:right w:val="single" w:sz="8" w:space="0" w:color="auto"/>
            </w:tcBorders>
            <w:shd w:val="clear" w:color="auto" w:fill="auto"/>
            <w:vAlign w:val="center"/>
            <w:hideMark/>
          </w:tcPr>
          <w:p w14:paraId="6722EFFF"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19,01</w:t>
            </w:r>
          </w:p>
        </w:tc>
        <w:tc>
          <w:tcPr>
            <w:tcW w:w="1546" w:type="dxa"/>
            <w:tcBorders>
              <w:top w:val="nil"/>
              <w:left w:val="nil"/>
              <w:bottom w:val="single" w:sz="8" w:space="0" w:color="auto"/>
              <w:right w:val="nil"/>
            </w:tcBorders>
            <w:shd w:val="clear" w:color="auto" w:fill="auto"/>
            <w:noWrap/>
            <w:vAlign w:val="center"/>
            <w:hideMark/>
          </w:tcPr>
          <w:p w14:paraId="425E08CA"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285 150</w:t>
            </w:r>
          </w:p>
        </w:tc>
        <w:tc>
          <w:tcPr>
            <w:tcW w:w="1546" w:type="dxa"/>
            <w:tcBorders>
              <w:top w:val="nil"/>
              <w:left w:val="single" w:sz="8" w:space="0" w:color="auto"/>
              <w:bottom w:val="single" w:sz="4" w:space="0" w:color="auto"/>
              <w:right w:val="single" w:sz="8" w:space="0" w:color="auto"/>
            </w:tcBorders>
            <w:shd w:val="clear" w:color="auto" w:fill="auto"/>
            <w:noWrap/>
            <w:vAlign w:val="center"/>
            <w:hideMark/>
          </w:tcPr>
          <w:p w14:paraId="2C841097" w14:textId="77777777" w:rsidR="00C40A4D" w:rsidRPr="00C40A4D" w:rsidRDefault="00C40A4D" w:rsidP="00C40A4D">
            <w:pPr>
              <w:spacing w:after="0" w:line="240" w:lineRule="auto"/>
              <w:jc w:val="right"/>
              <w:rPr>
                <w:rFonts w:eastAsia="Times New Roman" w:cs="Times New Roman"/>
                <w:b/>
                <w:bCs/>
                <w:color w:val="FF0000"/>
                <w:sz w:val="22"/>
                <w:szCs w:val="22"/>
                <w:lang w:eastAsia="lv-LV"/>
              </w:rPr>
            </w:pPr>
            <w:r w:rsidRPr="00C40A4D">
              <w:rPr>
                <w:rFonts w:eastAsia="Calibri" w:cs="Times New Roman"/>
                <w:b/>
                <w:bCs/>
                <w:sz w:val="22"/>
                <w:szCs w:val="22"/>
              </w:rPr>
              <w:t xml:space="preserve">           185 150 </w:t>
            </w:r>
          </w:p>
        </w:tc>
        <w:tc>
          <w:tcPr>
            <w:tcW w:w="1676" w:type="dxa"/>
            <w:tcBorders>
              <w:top w:val="nil"/>
              <w:left w:val="single" w:sz="8" w:space="0" w:color="auto"/>
              <w:bottom w:val="single" w:sz="4" w:space="0" w:color="auto"/>
              <w:right w:val="single" w:sz="8" w:space="0" w:color="auto"/>
            </w:tcBorders>
            <w:vAlign w:val="center"/>
          </w:tcPr>
          <w:p w14:paraId="617D3736" w14:textId="77777777" w:rsidR="00C40A4D" w:rsidRPr="00C40A4D" w:rsidRDefault="00C40A4D" w:rsidP="00C40A4D">
            <w:pPr>
              <w:spacing w:after="0" w:line="240" w:lineRule="auto"/>
              <w:jc w:val="right"/>
              <w:rPr>
                <w:rFonts w:eastAsia="Calibri" w:cs="Times New Roman"/>
                <w:b/>
                <w:bCs/>
                <w:sz w:val="22"/>
                <w:szCs w:val="22"/>
              </w:rPr>
            </w:pPr>
            <w:r w:rsidRPr="00C40A4D">
              <w:rPr>
                <w:rFonts w:eastAsia="Calibri" w:cs="Times New Roman"/>
                <w:bCs/>
                <w:sz w:val="22"/>
                <w:szCs w:val="22"/>
              </w:rPr>
              <w:t xml:space="preserve">- 35,1 </w:t>
            </w:r>
          </w:p>
        </w:tc>
      </w:tr>
      <w:tr w:rsidR="00C40A4D" w:rsidRPr="00C40A4D" w14:paraId="3C658AEF" w14:textId="77777777" w:rsidTr="00C40A4D">
        <w:trPr>
          <w:trHeight w:val="334"/>
          <w:jc w:val="center"/>
        </w:trPr>
        <w:tc>
          <w:tcPr>
            <w:tcW w:w="1817" w:type="dxa"/>
            <w:tcBorders>
              <w:top w:val="nil"/>
              <w:left w:val="single" w:sz="8" w:space="0" w:color="auto"/>
              <w:bottom w:val="single" w:sz="8" w:space="0" w:color="auto"/>
              <w:right w:val="single" w:sz="8" w:space="0" w:color="auto"/>
            </w:tcBorders>
            <w:shd w:val="clear" w:color="auto" w:fill="auto"/>
            <w:noWrap/>
            <w:vAlign w:val="center"/>
            <w:hideMark/>
          </w:tcPr>
          <w:p w14:paraId="16A41110" w14:textId="77777777" w:rsidR="00C40A4D" w:rsidRPr="00C40A4D" w:rsidRDefault="00C40A4D" w:rsidP="00C40A4D">
            <w:pPr>
              <w:spacing w:after="0" w:line="240" w:lineRule="auto"/>
              <w:rPr>
                <w:rFonts w:eastAsia="Times New Roman" w:cs="Times New Roman"/>
                <w:color w:val="000000"/>
                <w:sz w:val="22"/>
                <w:szCs w:val="22"/>
                <w:lang w:eastAsia="lv-LV"/>
              </w:rPr>
            </w:pPr>
            <w:r w:rsidRPr="00C40A4D">
              <w:rPr>
                <w:rFonts w:eastAsia="Times New Roman" w:cs="Times New Roman"/>
                <w:color w:val="000000"/>
                <w:sz w:val="22"/>
                <w:szCs w:val="22"/>
                <w:lang w:eastAsia="lv-LV"/>
              </w:rPr>
              <w:t>Kazkopība</w:t>
            </w:r>
          </w:p>
        </w:tc>
        <w:tc>
          <w:tcPr>
            <w:tcW w:w="1406" w:type="dxa"/>
            <w:tcBorders>
              <w:top w:val="nil"/>
              <w:left w:val="nil"/>
              <w:bottom w:val="single" w:sz="8" w:space="0" w:color="auto"/>
              <w:right w:val="single" w:sz="8" w:space="0" w:color="auto"/>
            </w:tcBorders>
            <w:shd w:val="clear" w:color="auto" w:fill="auto"/>
            <w:vAlign w:val="center"/>
            <w:hideMark/>
          </w:tcPr>
          <w:p w14:paraId="2F2F4C5C"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1 776</w:t>
            </w:r>
          </w:p>
        </w:tc>
        <w:tc>
          <w:tcPr>
            <w:tcW w:w="1546" w:type="dxa"/>
            <w:tcBorders>
              <w:top w:val="nil"/>
              <w:left w:val="nil"/>
              <w:bottom w:val="single" w:sz="8" w:space="0" w:color="auto"/>
              <w:right w:val="single" w:sz="8" w:space="0" w:color="auto"/>
            </w:tcBorders>
            <w:shd w:val="clear" w:color="auto" w:fill="auto"/>
            <w:vAlign w:val="center"/>
            <w:hideMark/>
          </w:tcPr>
          <w:p w14:paraId="44912C14"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26,35</w:t>
            </w:r>
          </w:p>
        </w:tc>
        <w:tc>
          <w:tcPr>
            <w:tcW w:w="1546" w:type="dxa"/>
            <w:tcBorders>
              <w:top w:val="nil"/>
              <w:left w:val="nil"/>
              <w:bottom w:val="single" w:sz="8" w:space="0" w:color="auto"/>
              <w:right w:val="nil"/>
            </w:tcBorders>
            <w:shd w:val="clear" w:color="auto" w:fill="auto"/>
            <w:noWrap/>
            <w:vAlign w:val="center"/>
            <w:hideMark/>
          </w:tcPr>
          <w:p w14:paraId="1054E01F"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46 798</w:t>
            </w:r>
          </w:p>
        </w:tc>
        <w:tc>
          <w:tcPr>
            <w:tcW w:w="1546" w:type="dxa"/>
            <w:tcBorders>
              <w:top w:val="nil"/>
              <w:left w:val="single" w:sz="8" w:space="0" w:color="auto"/>
              <w:bottom w:val="single" w:sz="4" w:space="0" w:color="auto"/>
              <w:right w:val="single" w:sz="8" w:space="0" w:color="auto"/>
            </w:tcBorders>
            <w:shd w:val="clear" w:color="auto" w:fill="auto"/>
            <w:noWrap/>
            <w:vAlign w:val="center"/>
            <w:hideMark/>
          </w:tcPr>
          <w:p w14:paraId="2326CB79" w14:textId="77777777" w:rsidR="00C40A4D" w:rsidRPr="00C40A4D" w:rsidRDefault="00C40A4D" w:rsidP="00C40A4D">
            <w:pPr>
              <w:spacing w:after="0" w:line="240" w:lineRule="auto"/>
              <w:jc w:val="right"/>
              <w:rPr>
                <w:rFonts w:eastAsia="Times New Roman" w:cs="Times New Roman"/>
                <w:b/>
                <w:bCs/>
                <w:color w:val="FF0000"/>
                <w:sz w:val="22"/>
                <w:szCs w:val="22"/>
                <w:lang w:eastAsia="lv-LV"/>
              </w:rPr>
            </w:pPr>
            <w:r w:rsidRPr="00C40A4D">
              <w:rPr>
                <w:rFonts w:eastAsia="Calibri" w:cs="Times New Roman"/>
                <w:b/>
                <w:bCs/>
                <w:sz w:val="22"/>
                <w:szCs w:val="22"/>
              </w:rPr>
              <w:t xml:space="preserve">             37 438 </w:t>
            </w:r>
          </w:p>
        </w:tc>
        <w:tc>
          <w:tcPr>
            <w:tcW w:w="1676" w:type="dxa"/>
            <w:tcBorders>
              <w:top w:val="nil"/>
              <w:left w:val="single" w:sz="8" w:space="0" w:color="auto"/>
              <w:bottom w:val="single" w:sz="4" w:space="0" w:color="auto"/>
              <w:right w:val="single" w:sz="8" w:space="0" w:color="auto"/>
            </w:tcBorders>
            <w:vAlign w:val="center"/>
          </w:tcPr>
          <w:p w14:paraId="22589C01" w14:textId="77777777" w:rsidR="00C40A4D" w:rsidRPr="00C40A4D" w:rsidRDefault="00C40A4D" w:rsidP="00C40A4D">
            <w:pPr>
              <w:spacing w:after="0" w:line="240" w:lineRule="auto"/>
              <w:jc w:val="right"/>
              <w:rPr>
                <w:rFonts w:eastAsia="Calibri" w:cs="Times New Roman"/>
                <w:b/>
                <w:bCs/>
                <w:sz w:val="22"/>
                <w:szCs w:val="22"/>
              </w:rPr>
            </w:pPr>
            <w:r w:rsidRPr="00C40A4D">
              <w:rPr>
                <w:rFonts w:eastAsia="Calibri" w:cs="Times New Roman"/>
                <w:bCs/>
                <w:sz w:val="22"/>
                <w:szCs w:val="22"/>
              </w:rPr>
              <w:t xml:space="preserve">- 20,0 </w:t>
            </w:r>
          </w:p>
        </w:tc>
      </w:tr>
      <w:tr w:rsidR="00C40A4D" w:rsidRPr="00C40A4D" w14:paraId="6D3B6FD0" w14:textId="77777777" w:rsidTr="00C40A4D">
        <w:trPr>
          <w:trHeight w:val="334"/>
          <w:jc w:val="center"/>
        </w:trPr>
        <w:tc>
          <w:tcPr>
            <w:tcW w:w="1817" w:type="dxa"/>
            <w:tcBorders>
              <w:top w:val="nil"/>
              <w:left w:val="single" w:sz="8" w:space="0" w:color="auto"/>
              <w:bottom w:val="single" w:sz="8" w:space="0" w:color="auto"/>
              <w:right w:val="single" w:sz="8" w:space="0" w:color="auto"/>
            </w:tcBorders>
            <w:shd w:val="clear" w:color="auto" w:fill="auto"/>
            <w:noWrap/>
            <w:vAlign w:val="center"/>
            <w:hideMark/>
          </w:tcPr>
          <w:p w14:paraId="1E8FD1FC" w14:textId="77777777" w:rsidR="00C40A4D" w:rsidRPr="00C40A4D" w:rsidRDefault="00C40A4D" w:rsidP="00C40A4D">
            <w:pPr>
              <w:spacing w:after="0" w:line="240" w:lineRule="auto"/>
              <w:rPr>
                <w:rFonts w:eastAsia="Times New Roman" w:cs="Times New Roman"/>
                <w:color w:val="000000"/>
                <w:sz w:val="22"/>
                <w:szCs w:val="22"/>
                <w:lang w:eastAsia="lv-LV"/>
              </w:rPr>
            </w:pPr>
            <w:r w:rsidRPr="00C40A4D">
              <w:rPr>
                <w:rFonts w:eastAsia="Times New Roman" w:cs="Times New Roman"/>
                <w:color w:val="000000"/>
                <w:sz w:val="22"/>
                <w:szCs w:val="22"/>
                <w:lang w:eastAsia="lv-LV"/>
              </w:rPr>
              <w:t>Zirgkopība</w:t>
            </w:r>
          </w:p>
        </w:tc>
        <w:tc>
          <w:tcPr>
            <w:tcW w:w="1406" w:type="dxa"/>
            <w:tcBorders>
              <w:top w:val="nil"/>
              <w:left w:val="nil"/>
              <w:bottom w:val="single" w:sz="8" w:space="0" w:color="auto"/>
              <w:right w:val="single" w:sz="8" w:space="0" w:color="auto"/>
            </w:tcBorders>
            <w:shd w:val="clear" w:color="auto" w:fill="auto"/>
            <w:vAlign w:val="center"/>
            <w:hideMark/>
          </w:tcPr>
          <w:p w14:paraId="0E777E40"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400</w:t>
            </w:r>
          </w:p>
        </w:tc>
        <w:tc>
          <w:tcPr>
            <w:tcW w:w="1546" w:type="dxa"/>
            <w:tcBorders>
              <w:top w:val="nil"/>
              <w:left w:val="nil"/>
              <w:bottom w:val="single" w:sz="8" w:space="0" w:color="auto"/>
              <w:right w:val="single" w:sz="8" w:space="0" w:color="auto"/>
            </w:tcBorders>
            <w:shd w:val="clear" w:color="auto" w:fill="auto"/>
            <w:vAlign w:val="center"/>
            <w:hideMark/>
          </w:tcPr>
          <w:p w14:paraId="19331E97"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143,86</w:t>
            </w:r>
          </w:p>
        </w:tc>
        <w:tc>
          <w:tcPr>
            <w:tcW w:w="1546" w:type="dxa"/>
            <w:tcBorders>
              <w:top w:val="nil"/>
              <w:left w:val="nil"/>
              <w:bottom w:val="single" w:sz="8" w:space="0" w:color="auto"/>
              <w:right w:val="nil"/>
            </w:tcBorders>
            <w:shd w:val="clear" w:color="auto" w:fill="auto"/>
            <w:noWrap/>
            <w:vAlign w:val="center"/>
            <w:hideMark/>
          </w:tcPr>
          <w:p w14:paraId="59294951" w14:textId="77777777" w:rsidR="00C40A4D" w:rsidRPr="00C40A4D" w:rsidRDefault="00C40A4D" w:rsidP="00C40A4D">
            <w:pPr>
              <w:spacing w:after="0" w:line="240" w:lineRule="auto"/>
              <w:jc w:val="right"/>
              <w:rPr>
                <w:rFonts w:eastAsia="Times New Roman" w:cs="Times New Roman"/>
                <w:color w:val="FF0000"/>
                <w:sz w:val="22"/>
                <w:szCs w:val="22"/>
                <w:lang w:eastAsia="lv-LV"/>
              </w:rPr>
            </w:pPr>
            <w:r w:rsidRPr="00C40A4D">
              <w:rPr>
                <w:rFonts w:eastAsia="Calibri" w:cs="Times New Roman"/>
                <w:bCs/>
                <w:sz w:val="22"/>
                <w:szCs w:val="22"/>
              </w:rPr>
              <w:t>57 544</w:t>
            </w:r>
          </w:p>
        </w:tc>
        <w:tc>
          <w:tcPr>
            <w:tcW w:w="1546" w:type="dxa"/>
            <w:tcBorders>
              <w:top w:val="nil"/>
              <w:left w:val="single" w:sz="8" w:space="0" w:color="auto"/>
              <w:bottom w:val="single" w:sz="4" w:space="0" w:color="auto"/>
              <w:right w:val="single" w:sz="8" w:space="0" w:color="auto"/>
            </w:tcBorders>
            <w:shd w:val="clear" w:color="auto" w:fill="auto"/>
            <w:noWrap/>
            <w:vAlign w:val="center"/>
            <w:hideMark/>
          </w:tcPr>
          <w:p w14:paraId="1FEE86B0" w14:textId="77777777" w:rsidR="00C40A4D" w:rsidRPr="00C40A4D" w:rsidRDefault="00C40A4D" w:rsidP="00C40A4D">
            <w:pPr>
              <w:spacing w:after="0" w:line="240" w:lineRule="auto"/>
              <w:jc w:val="right"/>
              <w:rPr>
                <w:rFonts w:eastAsia="Times New Roman" w:cs="Times New Roman"/>
                <w:b/>
                <w:bCs/>
                <w:color w:val="FF0000"/>
                <w:sz w:val="22"/>
                <w:szCs w:val="22"/>
                <w:lang w:eastAsia="lv-LV"/>
              </w:rPr>
            </w:pPr>
            <w:r w:rsidRPr="00C40A4D">
              <w:rPr>
                <w:rFonts w:eastAsia="Calibri" w:cs="Times New Roman"/>
                <w:b/>
                <w:bCs/>
                <w:sz w:val="22"/>
                <w:szCs w:val="22"/>
              </w:rPr>
              <w:t xml:space="preserve">             46 035 </w:t>
            </w:r>
          </w:p>
        </w:tc>
        <w:tc>
          <w:tcPr>
            <w:tcW w:w="1676" w:type="dxa"/>
            <w:tcBorders>
              <w:top w:val="nil"/>
              <w:left w:val="single" w:sz="8" w:space="0" w:color="auto"/>
              <w:bottom w:val="single" w:sz="4" w:space="0" w:color="auto"/>
              <w:right w:val="single" w:sz="8" w:space="0" w:color="auto"/>
            </w:tcBorders>
            <w:vAlign w:val="center"/>
          </w:tcPr>
          <w:p w14:paraId="1CB1D4BF" w14:textId="77777777" w:rsidR="00C40A4D" w:rsidRPr="00C40A4D" w:rsidRDefault="00C40A4D" w:rsidP="00C40A4D">
            <w:pPr>
              <w:spacing w:after="0" w:line="240" w:lineRule="auto"/>
              <w:jc w:val="right"/>
              <w:rPr>
                <w:rFonts w:eastAsia="Calibri" w:cs="Times New Roman"/>
                <w:b/>
                <w:bCs/>
                <w:sz w:val="22"/>
                <w:szCs w:val="22"/>
              </w:rPr>
            </w:pPr>
            <w:r w:rsidRPr="00C40A4D">
              <w:rPr>
                <w:rFonts w:eastAsia="Calibri" w:cs="Times New Roman"/>
                <w:bCs/>
                <w:sz w:val="22"/>
                <w:szCs w:val="22"/>
              </w:rPr>
              <w:t xml:space="preserve">- 20,0 </w:t>
            </w:r>
          </w:p>
        </w:tc>
      </w:tr>
      <w:tr w:rsidR="00C40A4D" w:rsidRPr="00C40A4D" w14:paraId="68A2C364" w14:textId="77777777" w:rsidTr="00C40A4D">
        <w:trPr>
          <w:trHeight w:val="334"/>
          <w:jc w:val="center"/>
        </w:trPr>
        <w:tc>
          <w:tcPr>
            <w:tcW w:w="477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3D62E5" w14:textId="77777777" w:rsidR="00C40A4D" w:rsidRPr="00C40A4D" w:rsidRDefault="00C40A4D" w:rsidP="00C40A4D">
            <w:pPr>
              <w:spacing w:after="0" w:line="240" w:lineRule="auto"/>
              <w:jc w:val="right"/>
              <w:rPr>
                <w:rFonts w:eastAsia="Times New Roman" w:cs="Times New Roman"/>
                <w:b/>
                <w:bCs/>
                <w:color w:val="000000"/>
                <w:sz w:val="22"/>
                <w:szCs w:val="22"/>
                <w:lang w:eastAsia="lv-LV"/>
              </w:rPr>
            </w:pPr>
            <w:r w:rsidRPr="00C40A4D">
              <w:rPr>
                <w:rFonts w:eastAsia="Times New Roman" w:cs="Times New Roman"/>
                <w:b/>
                <w:bCs/>
                <w:color w:val="000000"/>
                <w:sz w:val="22"/>
                <w:szCs w:val="22"/>
                <w:lang w:eastAsia="lv-LV"/>
              </w:rPr>
              <w:t>Kopā</w:t>
            </w:r>
          </w:p>
        </w:tc>
        <w:tc>
          <w:tcPr>
            <w:tcW w:w="1546" w:type="dxa"/>
            <w:tcBorders>
              <w:top w:val="nil"/>
              <w:left w:val="nil"/>
              <w:bottom w:val="single" w:sz="8" w:space="0" w:color="auto"/>
              <w:right w:val="nil"/>
            </w:tcBorders>
            <w:shd w:val="clear" w:color="auto" w:fill="auto"/>
            <w:noWrap/>
            <w:vAlign w:val="center"/>
            <w:hideMark/>
          </w:tcPr>
          <w:p w14:paraId="7A07A70E" w14:textId="77777777" w:rsidR="00C40A4D" w:rsidRPr="00C40A4D" w:rsidRDefault="00C40A4D" w:rsidP="00C40A4D">
            <w:pPr>
              <w:spacing w:after="0" w:line="240" w:lineRule="auto"/>
              <w:jc w:val="right"/>
              <w:rPr>
                <w:rFonts w:eastAsia="Times New Roman" w:cs="Times New Roman"/>
                <w:b/>
                <w:bCs/>
                <w:sz w:val="22"/>
                <w:szCs w:val="22"/>
                <w:lang w:eastAsia="lv-LV"/>
              </w:rPr>
            </w:pPr>
            <w:r w:rsidRPr="00C40A4D">
              <w:rPr>
                <w:rFonts w:eastAsia="Times New Roman" w:cs="Times New Roman"/>
                <w:b/>
                <w:bCs/>
                <w:sz w:val="22"/>
                <w:szCs w:val="22"/>
                <w:lang w:eastAsia="lv-LV"/>
              </w:rPr>
              <w:t>16 000 002</w:t>
            </w:r>
          </w:p>
        </w:tc>
        <w:tc>
          <w:tcPr>
            <w:tcW w:w="1546" w:type="dxa"/>
            <w:tcBorders>
              <w:top w:val="nil"/>
              <w:left w:val="single" w:sz="8" w:space="0" w:color="auto"/>
              <w:bottom w:val="single" w:sz="8" w:space="0" w:color="auto"/>
              <w:right w:val="single" w:sz="8" w:space="0" w:color="auto"/>
            </w:tcBorders>
            <w:shd w:val="clear" w:color="auto" w:fill="auto"/>
            <w:noWrap/>
            <w:vAlign w:val="center"/>
            <w:hideMark/>
          </w:tcPr>
          <w:p w14:paraId="12A0C950" w14:textId="77777777" w:rsidR="00C40A4D" w:rsidRPr="00C40A4D" w:rsidRDefault="00C40A4D" w:rsidP="00C40A4D">
            <w:pPr>
              <w:spacing w:after="0" w:line="240" w:lineRule="auto"/>
              <w:jc w:val="right"/>
              <w:rPr>
                <w:rFonts w:eastAsia="Times New Roman" w:cs="Times New Roman"/>
                <w:b/>
                <w:bCs/>
                <w:color w:val="FF0000"/>
                <w:sz w:val="22"/>
                <w:szCs w:val="22"/>
                <w:lang w:eastAsia="lv-LV"/>
              </w:rPr>
            </w:pPr>
            <w:r w:rsidRPr="00C40A4D">
              <w:rPr>
                <w:rFonts w:eastAsia="Calibri" w:cs="Times New Roman"/>
                <w:b/>
                <w:bCs/>
                <w:sz w:val="22"/>
                <w:szCs w:val="22"/>
              </w:rPr>
              <w:t>9 067 022</w:t>
            </w:r>
          </w:p>
        </w:tc>
        <w:tc>
          <w:tcPr>
            <w:tcW w:w="1676" w:type="dxa"/>
            <w:tcBorders>
              <w:top w:val="nil"/>
              <w:left w:val="single" w:sz="8" w:space="0" w:color="auto"/>
              <w:bottom w:val="single" w:sz="8" w:space="0" w:color="auto"/>
              <w:right w:val="single" w:sz="8" w:space="0" w:color="auto"/>
            </w:tcBorders>
            <w:vAlign w:val="center"/>
          </w:tcPr>
          <w:p w14:paraId="3D57B40A" w14:textId="77777777" w:rsidR="00C40A4D" w:rsidRPr="00C40A4D" w:rsidRDefault="00C40A4D" w:rsidP="00C40A4D">
            <w:pPr>
              <w:spacing w:after="0" w:line="240" w:lineRule="auto"/>
              <w:jc w:val="right"/>
              <w:rPr>
                <w:rFonts w:eastAsia="Times New Roman" w:cs="Times New Roman"/>
                <w:b/>
                <w:bCs/>
                <w:sz w:val="22"/>
                <w:szCs w:val="22"/>
                <w:lang w:eastAsia="lv-LV"/>
              </w:rPr>
            </w:pPr>
          </w:p>
        </w:tc>
      </w:tr>
    </w:tbl>
    <w:p w14:paraId="7EF47651" w14:textId="77777777" w:rsidR="00BF774E" w:rsidRPr="00BF774E" w:rsidRDefault="00BF774E" w:rsidP="00BF774E">
      <w:pPr>
        <w:spacing w:after="120" w:line="240" w:lineRule="auto"/>
        <w:jc w:val="both"/>
        <w:rPr>
          <w:rFonts w:cs="Times New Roman"/>
          <w:i/>
          <w:iCs/>
        </w:rPr>
      </w:pPr>
      <w:r w:rsidRPr="00BF774E">
        <w:rPr>
          <w:rFonts w:cs="Times New Roman"/>
          <w:i/>
          <w:iCs/>
        </w:rPr>
        <w:t>* summas noteiktas preventīvi un tās var mainīties pa sugām atkarībā no faktiskā dzīvnieku skaita</w:t>
      </w:r>
    </w:p>
    <w:p w14:paraId="036C072D" w14:textId="18FFF4FD" w:rsidR="00BF774E" w:rsidRPr="00BF774E" w:rsidRDefault="00BF774E" w:rsidP="00BF774E">
      <w:pPr>
        <w:tabs>
          <w:tab w:val="num" w:pos="720"/>
        </w:tabs>
        <w:spacing w:after="120" w:line="254" w:lineRule="auto"/>
        <w:ind w:firstLine="709"/>
        <w:jc w:val="both"/>
        <w:rPr>
          <w:rFonts w:cs="Times New Roman"/>
        </w:rPr>
      </w:pPr>
      <w:r w:rsidRPr="00BF774E">
        <w:rPr>
          <w:rFonts w:cs="Times New Roman"/>
        </w:rPr>
        <w:t xml:space="preserve">ZM uzskata, ka ir nepieciešams turpināt valsts atbalstu mazo lauksaimniecības ražotāju ienākumu stabilizēšanai, paredzot tam finansējumu par 3 000 000 </w:t>
      </w:r>
      <w:r w:rsidRPr="00BF774E">
        <w:rPr>
          <w:rFonts w:cs="Times New Roman"/>
          <w:i/>
          <w:iCs/>
        </w:rPr>
        <w:t>euro</w:t>
      </w:r>
      <w:r w:rsidRPr="00BF774E">
        <w:rPr>
          <w:rFonts w:cs="Times New Roman"/>
        </w:rPr>
        <w:t>. Atbilstoši Eiropas Savienības tiesiskajam regulējumam, mazo lauksaimniecības ražotāju ienākumu stabilizēšanas nodrošinājumam, dalībvalsts ir tiesīga piešķirt saimniecības ienākumu atbalstu līdz 1</w:t>
      </w:r>
      <w:r w:rsidR="00F02206">
        <w:rPr>
          <w:rFonts w:cs="Times New Roman"/>
        </w:rPr>
        <w:t xml:space="preserve"> </w:t>
      </w:r>
      <w:r w:rsidRPr="00BF774E">
        <w:rPr>
          <w:rFonts w:cs="Times New Roman"/>
        </w:rPr>
        <w:t xml:space="preserve">250 </w:t>
      </w:r>
      <w:r w:rsidRPr="00BF774E">
        <w:rPr>
          <w:rFonts w:cs="Times New Roman"/>
          <w:i/>
          <w:iCs/>
        </w:rPr>
        <w:t>euro</w:t>
      </w:r>
      <w:r w:rsidRPr="00BF774E">
        <w:rPr>
          <w:rFonts w:cs="Times New Roman"/>
        </w:rPr>
        <w:t xml:space="preserve"> uz saimniecību, ko kopumā veidotu ES tiešie maksājumi un papildu valsts atbalsts. </w:t>
      </w:r>
    </w:p>
    <w:p w14:paraId="625C05AA" w14:textId="77777777" w:rsidR="00BF774E" w:rsidRPr="00BF774E" w:rsidRDefault="00BF774E" w:rsidP="00BF774E">
      <w:pPr>
        <w:pStyle w:val="ListParagraph"/>
        <w:spacing w:after="120" w:line="254" w:lineRule="auto"/>
        <w:ind w:left="0" w:firstLine="709"/>
        <w:contextualSpacing w:val="0"/>
        <w:jc w:val="both"/>
        <w:rPr>
          <w:rFonts w:cs="Times New Roman"/>
        </w:rPr>
      </w:pPr>
      <w:r w:rsidRPr="00BF774E">
        <w:rPr>
          <w:rFonts w:cs="Times New Roman"/>
        </w:rPr>
        <w:t>ZM ieskatā ir svarīgi sniegt šādu ienākumu valsts atbalstu mazajiem lauksaimniecības ražotājiem papildu ES tiešmaksājumiem, lai veicinātu šo ražotāju konkurētspēju un stimulētu to integrēšanos tirgū, kā arī sekmētu to dzīvotspēju un lauku teritoriju attīstību kopumā.</w:t>
      </w:r>
    </w:p>
    <w:p w14:paraId="7F522D0F" w14:textId="5D16A3C4" w:rsidR="00BF774E" w:rsidRPr="00BF774E" w:rsidRDefault="00BF774E" w:rsidP="00BF774E">
      <w:pPr>
        <w:spacing w:after="120" w:line="254" w:lineRule="auto"/>
        <w:jc w:val="both"/>
        <w:rPr>
          <w:rFonts w:cs="Times New Roman"/>
        </w:rPr>
      </w:pPr>
      <w:r w:rsidRPr="00BF774E">
        <w:rPr>
          <w:rFonts w:cs="Times New Roman"/>
        </w:rPr>
        <w:lastRenderedPageBreak/>
        <w:tab/>
        <w:t xml:space="preserve">Valsts atbalsts ir maksājums, lai nodrošinātu garantētu atbalstu lauksaimniekiem augkopības un lopkopības jomā, nodrošinot vienlīdzīgu konkurenci ar citām ES dalībvalstīm un nepieļautu būtisku atbalsta samazinājumu lauksaimniecības nozarē. Lai nodrošinātu lauksaimniekiem valsts atbalstu iepriekšējo gadu līmenī līdz šī plānošanas perioda beigām, 2021. gadā ir nepieciešams papildu finansējums 15 000 000 </w:t>
      </w:r>
      <w:r w:rsidRPr="00BF774E">
        <w:rPr>
          <w:rFonts w:cs="Times New Roman"/>
          <w:i/>
          <w:iCs/>
        </w:rPr>
        <w:t>euro</w:t>
      </w:r>
      <w:r w:rsidRPr="00BF774E">
        <w:rPr>
          <w:rFonts w:cs="Times New Roman"/>
        </w:rPr>
        <w:t xml:space="preserve">. Valsts atbalsts ir saskaņots ar Eiropas Komisiju, un tas ir saderīgs ar iekšējo </w:t>
      </w:r>
      <w:r w:rsidR="00F02206">
        <w:rPr>
          <w:rFonts w:cs="Times New Roman"/>
        </w:rPr>
        <w:t>ES</w:t>
      </w:r>
      <w:r w:rsidRPr="00BF774E">
        <w:rPr>
          <w:rFonts w:cs="Times New Roman"/>
        </w:rPr>
        <w:t xml:space="preserve"> tirgu.</w:t>
      </w:r>
    </w:p>
    <w:p w14:paraId="45B0F876" w14:textId="77777777" w:rsidR="00797121" w:rsidRPr="00BF774E" w:rsidRDefault="00797121" w:rsidP="00797121">
      <w:pPr>
        <w:spacing w:after="120"/>
        <w:rPr>
          <w:b/>
        </w:rPr>
      </w:pPr>
      <w:r w:rsidRPr="00BF774E">
        <w:rPr>
          <w:rFonts w:eastAsia="Times New Roman"/>
          <w:b/>
          <w:lang w:eastAsia="lv-LV"/>
        </w:rPr>
        <w:t>TM – pārdale 97.00.00 “</w:t>
      </w:r>
      <w:r w:rsidRPr="00BF774E">
        <w:rPr>
          <w:rFonts w:cs="Times New Roman"/>
          <w:b/>
        </w:rPr>
        <w:t>Nozaru vadība un politikas plānošana”</w:t>
      </w:r>
      <w:r w:rsidRPr="00BF774E">
        <w:rPr>
          <w:b/>
        </w:rPr>
        <w:t xml:space="preserve"> ietvaros</w:t>
      </w:r>
    </w:p>
    <w:p w14:paraId="3138A3A1" w14:textId="77777777" w:rsidR="00797121" w:rsidRPr="00BF774E" w:rsidRDefault="00797121" w:rsidP="00797121">
      <w:pPr>
        <w:spacing w:after="120"/>
        <w:ind w:firstLine="709"/>
        <w:jc w:val="both"/>
        <w:rPr>
          <w:rFonts w:cs="Times New Roman"/>
        </w:rPr>
      </w:pPr>
      <w:r w:rsidRPr="00BF774E">
        <w:rPr>
          <w:rFonts w:cs="Times New Roman"/>
        </w:rPr>
        <w:t>Īstenojot Valsts pārvaldes reformu plāna virzienu – valsts pārvaldes kvalitātes un efektivitātes uzlabošana, TM ir veikusi atbilstošus pasākumus, pārskatot darbinieku skaitu, izvērtējot, pilnveidojot procesus un meklējot iespējas sasniegt reformas mērķi - maza un profesionāla valsts iestāde.</w:t>
      </w:r>
    </w:p>
    <w:p w14:paraId="64EA2C61" w14:textId="77777777" w:rsidR="00797121" w:rsidRPr="00BF774E" w:rsidRDefault="00797121" w:rsidP="00797121">
      <w:pPr>
        <w:spacing w:after="120"/>
        <w:ind w:firstLine="709"/>
        <w:jc w:val="both"/>
        <w:rPr>
          <w:rFonts w:cs="Times New Roman"/>
        </w:rPr>
      </w:pPr>
      <w:r w:rsidRPr="00BF774E">
        <w:rPr>
          <w:rFonts w:cs="Times New Roman"/>
        </w:rPr>
        <w:t>Šobrīd TM darbinieki ir izvietoti trīs dažādās Rīgas vietās. Īstenojot regulāru procesu izvērtēšanu un samazinoties darbinieku skaitam, rasta iespēja ar 2021. gadu TM darbiniekus izvietot divās adresēs, atsakoties no telpām Rīgā, A.Čaka iela 38a.  Līdz ar to, optimizējot telpu nomas, komunālo maksājumu, telpu uzturēšanas un apsardzes izmaksas rasta līdzekļu ekonomija</w:t>
      </w:r>
      <w:r w:rsidRPr="00BF774E">
        <w:t xml:space="preserve"> </w:t>
      </w:r>
      <w:r w:rsidRPr="00BF774E">
        <w:rPr>
          <w:b/>
        </w:rPr>
        <w:t xml:space="preserve">188 160 </w:t>
      </w:r>
      <w:r w:rsidRPr="00BF774E">
        <w:rPr>
          <w:b/>
          <w:i/>
        </w:rPr>
        <w:t>euro</w:t>
      </w:r>
      <w:r w:rsidRPr="00BF774E">
        <w:t xml:space="preserve"> apmērā</w:t>
      </w:r>
      <w:r w:rsidRPr="00BF774E">
        <w:rPr>
          <w:rFonts w:cs="Times New Roman"/>
        </w:rPr>
        <w:t xml:space="preserve">. Papildus, saistībā ar Covid-19 izplatību tika meklēti jauni inovatīvi risinājumi, ieviešot attālinātas darba formas (sanāksmes, konferences, darba grupas), līdz ar to ļaujot samazināt arī komandējumu un darba braucienu izmaksas. </w:t>
      </w:r>
      <w:bookmarkStart w:id="38" w:name="_Hlk47089253"/>
    </w:p>
    <w:p w14:paraId="06B57DBA" w14:textId="77777777" w:rsidR="00797121" w:rsidRPr="00BF774E" w:rsidRDefault="00797121" w:rsidP="00797121">
      <w:pPr>
        <w:spacing w:after="120"/>
        <w:ind w:firstLine="709"/>
        <w:jc w:val="both"/>
        <w:rPr>
          <w:rFonts w:cs="Times New Roman"/>
        </w:rPr>
      </w:pPr>
      <w:r w:rsidRPr="00BF774E">
        <w:rPr>
          <w:rFonts w:cs="Times New Roman"/>
        </w:rPr>
        <w:t xml:space="preserve">Lai nodrošinātu vienlīdzīgu darba samaksu visiem TM darbiniekiem, atbilstoši TM noteiktajai kārtībai, tika palielināts atalgojums darbiniekiem, kuriem atalgojums nesasniedza noteikto likmi. Tā kā pieejamie finanšu līdzekļi tika novirzīti nodarbināto atalgojuma palielināšanai, papildus finanšu līdzekļi nepieciešami atvaļinājumu pabalstu un novērtēšanas prēmiju izmaksai. </w:t>
      </w:r>
    </w:p>
    <w:p w14:paraId="7BA4FF0A" w14:textId="322B156A" w:rsidR="00797121" w:rsidRDefault="00797121" w:rsidP="00797121">
      <w:pPr>
        <w:spacing w:after="120"/>
        <w:ind w:firstLine="709"/>
        <w:rPr>
          <w:rFonts w:cs="Times New Roman"/>
        </w:rPr>
      </w:pPr>
      <w:r w:rsidRPr="00BF774E">
        <w:rPr>
          <w:rFonts w:cs="Times New Roman"/>
        </w:rPr>
        <w:t>Ievērojot minēto, TM ir sagatavojusi priekšlikumu ieekonomēto finansējumu novirzīt darbinieku atvaļinājumu pabalstu un novērtēšanas prēmiju izmaksai.</w:t>
      </w:r>
      <w:bookmarkEnd w:id="38"/>
    </w:p>
    <w:p w14:paraId="39E1522F" w14:textId="0E21BA7E" w:rsidR="000A0884" w:rsidRDefault="000A0884" w:rsidP="000A0884">
      <w:pPr>
        <w:spacing w:after="120"/>
        <w:rPr>
          <w:rFonts w:cs="Times New Roman"/>
          <w:b/>
        </w:rPr>
      </w:pPr>
      <w:r w:rsidRPr="000A0884">
        <w:rPr>
          <w:rFonts w:cs="Times New Roman"/>
          <w:b/>
        </w:rPr>
        <w:t xml:space="preserve">KM - </w:t>
      </w:r>
      <w:r>
        <w:rPr>
          <w:rFonts w:cs="Times New Roman"/>
          <w:b/>
        </w:rPr>
        <w:t>p</w:t>
      </w:r>
      <w:r w:rsidRPr="000A0884">
        <w:rPr>
          <w:rFonts w:cs="Times New Roman"/>
          <w:b/>
        </w:rPr>
        <w:t>ar finansējuma pārvirzīšanu no vienas būvniecības objekta uz otru</w:t>
      </w:r>
    </w:p>
    <w:p w14:paraId="658A4D56" w14:textId="6EFA26FE" w:rsidR="00F04745" w:rsidRDefault="000A0884" w:rsidP="00F04745">
      <w:pPr>
        <w:spacing w:after="120" w:line="254" w:lineRule="auto"/>
        <w:ind w:firstLine="720"/>
        <w:jc w:val="both"/>
        <w:rPr>
          <w:rFonts w:eastAsia="Calibri" w:cs="Times New Roman"/>
          <w:lang w:eastAsia="lv-LV"/>
        </w:rPr>
      </w:pPr>
      <w:r w:rsidRPr="000A0884">
        <w:rPr>
          <w:rFonts w:eastAsia="Calibri" w:cs="Times New Roman"/>
          <w:lang w:eastAsia="lv-LV"/>
        </w:rPr>
        <w:t xml:space="preserve">Saskaņā ar </w:t>
      </w:r>
      <w:r>
        <w:rPr>
          <w:rFonts w:eastAsia="Calibri" w:cs="Times New Roman"/>
          <w:lang w:eastAsia="lv-LV"/>
        </w:rPr>
        <w:t>MK</w:t>
      </w:r>
      <w:r w:rsidRPr="000A0884">
        <w:rPr>
          <w:rFonts w:eastAsia="Calibri" w:cs="Times New Roman"/>
          <w:lang w:eastAsia="lv-LV"/>
        </w:rPr>
        <w:t xml:space="preserve"> 2018.</w:t>
      </w:r>
      <w:r w:rsidR="0021601A">
        <w:rPr>
          <w:rFonts w:eastAsia="Calibri" w:cs="Times New Roman"/>
          <w:lang w:eastAsia="lv-LV"/>
        </w:rPr>
        <w:t xml:space="preserve"> </w:t>
      </w:r>
      <w:r w:rsidRPr="000A0884">
        <w:rPr>
          <w:rFonts w:eastAsia="Calibri" w:cs="Times New Roman"/>
          <w:lang w:eastAsia="lv-LV"/>
        </w:rPr>
        <w:t>gada 16.</w:t>
      </w:r>
      <w:r w:rsidR="0021601A">
        <w:rPr>
          <w:rFonts w:eastAsia="Calibri" w:cs="Times New Roman"/>
          <w:lang w:eastAsia="lv-LV"/>
        </w:rPr>
        <w:t xml:space="preserve"> </w:t>
      </w:r>
      <w:r w:rsidRPr="000A0884">
        <w:rPr>
          <w:rFonts w:eastAsia="Calibri" w:cs="Times New Roman"/>
          <w:lang w:eastAsia="lv-LV"/>
        </w:rPr>
        <w:t xml:space="preserve">oktobra rīkojumu Nr.518 „Par finansējumu ēku Slokas ielā 52A un Slokas ielā 52B, Rīgā, pārbūves darbu izdevumu segšanai, lai pielāgotu ēkas profesionālās izglītības kompetences centra "Nacionālā Mākslu vidusskola" vajadzībām” 1.punktu </w:t>
      </w:r>
      <w:bookmarkStart w:id="39" w:name="_Hlk515585583"/>
      <w:r w:rsidRPr="000A0884">
        <w:rPr>
          <w:rFonts w:eastAsia="Calibri" w:cs="Times New Roman"/>
          <w:lang w:eastAsia="lv-LV"/>
        </w:rPr>
        <w:t xml:space="preserve">nekustamā īpašuma (nekustamā īpašuma kadastra Nr.0100 063 0124) </w:t>
      </w:r>
      <w:bookmarkEnd w:id="39"/>
      <w:r w:rsidRPr="000A0884">
        <w:rPr>
          <w:rFonts w:eastAsia="Calibri" w:cs="Times New Roman"/>
          <w:lang w:eastAsia="lv-LV"/>
        </w:rPr>
        <w:t>sastāvā esošo ēku Slokas ielā 52A, Slokas ielā 52B, Rīgā, pārbūves darbu profesionālās izglītības kompetences centra “Nacionālā Mākslu vidusskola”  (turpmāk - P</w:t>
      </w:r>
      <w:r>
        <w:rPr>
          <w:rFonts w:eastAsia="Calibri" w:cs="Times New Roman"/>
          <w:lang w:eastAsia="lv-LV"/>
        </w:rPr>
        <w:t>I</w:t>
      </w:r>
      <w:r w:rsidRPr="000A0884">
        <w:rPr>
          <w:rFonts w:eastAsia="Calibri" w:cs="Times New Roman"/>
          <w:lang w:eastAsia="lv-LV"/>
        </w:rPr>
        <w:t xml:space="preserve">KC) vajadzībām izdevumu segšanai 2022.gadā piešķirts finansējums 3 000 000 </w:t>
      </w:r>
      <w:r w:rsidRPr="000A0884">
        <w:rPr>
          <w:rFonts w:eastAsia="Calibri" w:cs="Times New Roman"/>
          <w:i/>
          <w:iCs/>
          <w:lang w:eastAsia="lv-LV"/>
        </w:rPr>
        <w:t xml:space="preserve">euro </w:t>
      </w:r>
      <w:r w:rsidRPr="000A0884">
        <w:rPr>
          <w:rFonts w:eastAsia="Calibri" w:cs="Times New Roman"/>
          <w:lang w:eastAsia="lv-LV"/>
        </w:rPr>
        <w:t>apmērā.</w:t>
      </w:r>
      <w:r w:rsidR="00F04745" w:rsidRPr="00F04745">
        <w:rPr>
          <w:rFonts w:eastAsia="Calibri" w:cs="Times New Roman"/>
          <w:lang w:eastAsia="lv-LV"/>
        </w:rPr>
        <w:t xml:space="preserve"> </w:t>
      </w:r>
    </w:p>
    <w:p w14:paraId="674FA821" w14:textId="57EE97F9" w:rsidR="000A0884" w:rsidRPr="000A0884" w:rsidRDefault="00F04745" w:rsidP="00F04745">
      <w:pPr>
        <w:spacing w:after="120" w:line="254" w:lineRule="auto"/>
        <w:ind w:firstLine="720"/>
        <w:jc w:val="both"/>
        <w:rPr>
          <w:rFonts w:eastAsia="Calibri" w:cs="Times New Roman"/>
          <w:lang w:eastAsia="lv-LV"/>
        </w:rPr>
      </w:pPr>
      <w:r w:rsidRPr="000A0884">
        <w:rPr>
          <w:rFonts w:eastAsia="Calibri" w:cs="Times New Roman"/>
          <w:lang w:eastAsia="lv-LV"/>
        </w:rPr>
        <w:t>Prioritāri P</w:t>
      </w:r>
      <w:r>
        <w:rPr>
          <w:rFonts w:eastAsia="Calibri" w:cs="Times New Roman"/>
          <w:lang w:eastAsia="lv-LV"/>
        </w:rPr>
        <w:t>I</w:t>
      </w:r>
      <w:r w:rsidRPr="000A0884">
        <w:rPr>
          <w:rFonts w:eastAsia="Calibri" w:cs="Times New Roman"/>
          <w:lang w:eastAsia="lv-LV"/>
        </w:rPr>
        <w:t>KC ir jārisina tie pārbūves darbi, kam ir piesaistīts ES fondu finansējums izstrādātajiem infrastruktūras attīstības objektiem. P</w:t>
      </w:r>
      <w:r>
        <w:rPr>
          <w:rFonts w:eastAsia="Calibri" w:cs="Times New Roman"/>
          <w:lang w:eastAsia="lv-LV"/>
        </w:rPr>
        <w:t>I</w:t>
      </w:r>
      <w:r w:rsidRPr="000A0884">
        <w:rPr>
          <w:rFonts w:eastAsia="Calibri" w:cs="Times New Roman"/>
          <w:lang w:eastAsia="lv-LV"/>
        </w:rPr>
        <w:t>KC ir piesaistīts šāds finansējums:</w:t>
      </w:r>
    </w:p>
    <w:p w14:paraId="13C98FFC" w14:textId="1D2A841F" w:rsidR="00F04745" w:rsidRPr="00F04745" w:rsidRDefault="00A91F7D" w:rsidP="00F04745">
      <w:pPr>
        <w:spacing w:after="120" w:line="254" w:lineRule="auto"/>
        <w:ind w:firstLine="720"/>
        <w:jc w:val="both"/>
        <w:rPr>
          <w:rFonts w:cs="Times New Roman"/>
        </w:rPr>
      </w:pPr>
      <w:r>
        <w:rPr>
          <w:rFonts w:cs="Times New Roman"/>
        </w:rPr>
        <w:t>“PIKC “</w:t>
      </w:r>
      <w:r w:rsidR="00F04745" w:rsidRPr="00F04745">
        <w:rPr>
          <w:rFonts w:cs="Times New Roman"/>
        </w:rPr>
        <w:t>Nacionālā Mākslu vidusskola</w:t>
      </w:r>
      <w:r>
        <w:rPr>
          <w:rFonts w:cs="Times New Roman"/>
        </w:rPr>
        <w:t>”</w:t>
      </w:r>
      <w:r w:rsidR="00F04745" w:rsidRPr="00F04745">
        <w:rPr>
          <w:rFonts w:cs="Times New Roman"/>
        </w:rPr>
        <w:t xml:space="preserve"> modernizācija" Nr.8.1.3.0/17/I/005 (noslēgta vienošanās  2017.</w:t>
      </w:r>
      <w:r w:rsidR="0021601A">
        <w:rPr>
          <w:rFonts w:cs="Times New Roman"/>
        </w:rPr>
        <w:t xml:space="preserve"> </w:t>
      </w:r>
      <w:r w:rsidR="00F04745" w:rsidRPr="00F04745">
        <w:rPr>
          <w:rFonts w:cs="Times New Roman"/>
        </w:rPr>
        <w:t>gada 30.</w:t>
      </w:r>
      <w:r w:rsidR="0021601A">
        <w:rPr>
          <w:rFonts w:cs="Times New Roman"/>
        </w:rPr>
        <w:t xml:space="preserve"> </w:t>
      </w:r>
      <w:r>
        <w:rPr>
          <w:rFonts w:cs="Times New Roman"/>
        </w:rPr>
        <w:t>novembrī) darbības programmas “</w:t>
      </w:r>
      <w:r w:rsidR="00F04745" w:rsidRPr="00F04745">
        <w:rPr>
          <w:rFonts w:cs="Times New Roman"/>
        </w:rPr>
        <w:t>Izaugsme un nodarbinātība</w:t>
      </w:r>
      <w:r>
        <w:rPr>
          <w:rFonts w:cs="Times New Roman"/>
        </w:rPr>
        <w:t>”</w:t>
      </w:r>
      <w:r w:rsidR="00F04745" w:rsidRPr="00F04745">
        <w:rPr>
          <w:rFonts w:cs="Times New Roman"/>
        </w:rPr>
        <w:t xml:space="preserve"> 8.</w:t>
      </w:r>
      <w:r>
        <w:rPr>
          <w:rFonts w:cs="Times New Roman"/>
        </w:rPr>
        <w:t>1.3. specifiskā atbalsta mērķa “</w:t>
      </w:r>
      <w:r w:rsidR="00F04745" w:rsidRPr="00F04745">
        <w:rPr>
          <w:rFonts w:cs="Times New Roman"/>
        </w:rPr>
        <w:t>Palielināt modernizēto profesionālās izglītības iestāžu skaitu</w:t>
      </w:r>
      <w:r>
        <w:rPr>
          <w:rFonts w:cs="Times New Roman"/>
        </w:rPr>
        <w:t>”</w:t>
      </w:r>
      <w:r w:rsidR="00F04745" w:rsidRPr="00F04745">
        <w:rPr>
          <w:rFonts w:cs="Times New Roman"/>
        </w:rPr>
        <w:t xml:space="preserve"> ietvaros. Projekta kopējas finansējums 4 512 637,65 </w:t>
      </w:r>
      <w:r w:rsidR="00F04745" w:rsidRPr="00F04745">
        <w:rPr>
          <w:rFonts w:cs="Times New Roman"/>
          <w:i/>
          <w:iCs/>
        </w:rPr>
        <w:t> euro</w:t>
      </w:r>
      <w:r w:rsidR="00F04745" w:rsidRPr="00F04745">
        <w:rPr>
          <w:rFonts w:cs="Times New Roman"/>
        </w:rPr>
        <w:t xml:space="preserve">, t.sk. ERAF finansējums – 3 835 742 </w:t>
      </w:r>
      <w:r w:rsidR="00F04745" w:rsidRPr="00F04745">
        <w:rPr>
          <w:rFonts w:cs="Times New Roman"/>
          <w:i/>
          <w:iCs/>
        </w:rPr>
        <w:t> euro</w:t>
      </w:r>
      <w:r w:rsidR="00F04745" w:rsidRPr="00F04745">
        <w:rPr>
          <w:rFonts w:cs="Times New Roman"/>
        </w:rPr>
        <w:t>  un valsts budžeta finansējums –</w:t>
      </w:r>
      <w:r w:rsidR="00F04745">
        <w:rPr>
          <w:rFonts w:cs="Times New Roman"/>
        </w:rPr>
        <w:t xml:space="preserve"> </w:t>
      </w:r>
      <w:r w:rsidR="00F04745" w:rsidRPr="00F04745">
        <w:rPr>
          <w:rFonts w:cs="Times New Roman"/>
        </w:rPr>
        <w:t>676 895,65</w:t>
      </w:r>
      <w:r w:rsidR="00F04745" w:rsidRPr="00F04745">
        <w:rPr>
          <w:rFonts w:cs="Times New Roman"/>
          <w:i/>
          <w:iCs/>
        </w:rPr>
        <w:t xml:space="preserve"> euro</w:t>
      </w:r>
      <w:r w:rsidR="00F04745" w:rsidRPr="00F04745">
        <w:rPr>
          <w:rFonts w:cs="Times New Roman"/>
        </w:rPr>
        <w:t>, kā arī atbilstoši MK 2016. gada 19. aprīļa noteikumos Nr. 249 “Darbības program</w:t>
      </w:r>
      <w:r>
        <w:rPr>
          <w:rFonts w:cs="Times New Roman"/>
        </w:rPr>
        <w:t>mas “</w:t>
      </w:r>
      <w:r w:rsidR="00F04745" w:rsidRPr="00F04745">
        <w:rPr>
          <w:rFonts w:cs="Times New Roman"/>
        </w:rPr>
        <w:t>Izaugsme un nodarbinātība</w:t>
      </w:r>
      <w:r>
        <w:rPr>
          <w:rFonts w:cs="Times New Roman"/>
        </w:rPr>
        <w:t>”</w:t>
      </w:r>
      <w:r w:rsidR="00F04745" w:rsidRPr="00F04745">
        <w:rPr>
          <w:rFonts w:cs="Times New Roman"/>
        </w:rPr>
        <w:t xml:space="preserve"> 8.</w:t>
      </w:r>
      <w:r>
        <w:rPr>
          <w:rFonts w:cs="Times New Roman"/>
        </w:rPr>
        <w:t>1.3. specifiskā atbalsta mērķa “</w:t>
      </w:r>
      <w:r w:rsidR="00F04745" w:rsidRPr="00F04745">
        <w:rPr>
          <w:rFonts w:cs="Times New Roman"/>
        </w:rPr>
        <w:t>Palielināt modernizēto profesionālās izglītības iestāžu skaitu</w:t>
      </w:r>
      <w:r>
        <w:rPr>
          <w:rFonts w:cs="Times New Roman"/>
        </w:rPr>
        <w:t>”</w:t>
      </w:r>
      <w:r w:rsidR="00F04745" w:rsidRPr="00F04745">
        <w:rPr>
          <w:rFonts w:cs="Times New Roman"/>
        </w:rPr>
        <w:t xml:space="preserve"> īstenošanas noteikumi” noteiktajam papildus finansējuma piesaiste pēc 2018. gada 31. decembra  1 217 278,35</w:t>
      </w:r>
      <w:r w:rsidR="00F04745" w:rsidRPr="00F04745">
        <w:rPr>
          <w:rFonts w:cs="Times New Roman"/>
          <w:i/>
          <w:iCs/>
        </w:rPr>
        <w:t xml:space="preserve"> euro</w:t>
      </w:r>
      <w:r w:rsidR="00F04745" w:rsidRPr="00F04745">
        <w:rPr>
          <w:rFonts w:cs="Times New Roman"/>
        </w:rPr>
        <w:t xml:space="preserve"> apmērā: kopā 5 729 916,00</w:t>
      </w:r>
      <w:r w:rsidR="00F04745" w:rsidRPr="00F04745">
        <w:rPr>
          <w:rFonts w:cs="Times New Roman"/>
          <w:i/>
          <w:iCs/>
        </w:rPr>
        <w:t xml:space="preserve"> euro;</w:t>
      </w:r>
    </w:p>
    <w:p w14:paraId="36A57DF4" w14:textId="6615D5AD" w:rsidR="00F04745" w:rsidRPr="00F04745" w:rsidRDefault="00A91F7D" w:rsidP="00F04745">
      <w:pPr>
        <w:spacing w:after="120" w:line="254" w:lineRule="auto"/>
        <w:ind w:firstLine="720"/>
        <w:jc w:val="both"/>
        <w:rPr>
          <w:rFonts w:cs="Times New Roman"/>
        </w:rPr>
      </w:pPr>
      <w:r>
        <w:rPr>
          <w:rFonts w:cs="Times New Roman"/>
        </w:rPr>
        <w:lastRenderedPageBreak/>
        <w:t>“</w:t>
      </w:r>
      <w:r w:rsidR="00F04745" w:rsidRPr="00F04745">
        <w:rPr>
          <w:rFonts w:cs="Times New Roman"/>
        </w:rPr>
        <w:t>Energoefe</w:t>
      </w:r>
      <w:r>
        <w:rPr>
          <w:rFonts w:cs="Times New Roman"/>
        </w:rPr>
        <w:t>ktivitātes paaugstināšana PIKC “</w:t>
      </w:r>
      <w:r w:rsidR="00F04745" w:rsidRPr="00F04745">
        <w:rPr>
          <w:rFonts w:cs="Times New Roman"/>
        </w:rPr>
        <w:t>Nacionālā Mākslu vidusskola</w:t>
      </w:r>
      <w:r>
        <w:rPr>
          <w:rFonts w:cs="Times New Roman"/>
        </w:rPr>
        <w:t>”</w:t>
      </w:r>
      <w:r w:rsidR="00F04745" w:rsidRPr="00F04745">
        <w:rPr>
          <w:rFonts w:cs="Times New Roman"/>
        </w:rPr>
        <w:t xml:space="preserve"> ēkā Slokas ielā 52B, Rīgā” Nr. 4.2.1.2/18/I/014 (pieņemts lēmums ar nosacījumu, precizējumi tiks sniegti 26.09.2018.) darbības programmas "Izaugsme un nodarbinātība" 4.</w:t>
      </w:r>
      <w:r>
        <w:rPr>
          <w:rFonts w:cs="Times New Roman"/>
        </w:rPr>
        <w:t>2.1. specifiskā atbalsta mērķa “</w:t>
      </w:r>
      <w:r w:rsidR="00F04745" w:rsidRPr="00F04745">
        <w:rPr>
          <w:rFonts w:cs="Times New Roman"/>
        </w:rPr>
        <w:t>Veicināt energoefektivitātes paaugstināšanu valsts un dzīv</w:t>
      </w:r>
      <w:r>
        <w:rPr>
          <w:rFonts w:cs="Times New Roman"/>
        </w:rPr>
        <w:t>ojamās ēkās" 4.2.1.2. pasākuma “</w:t>
      </w:r>
      <w:r w:rsidR="00F04745" w:rsidRPr="00F04745">
        <w:rPr>
          <w:rFonts w:cs="Times New Roman"/>
        </w:rPr>
        <w:t>Veicināt energoefektivitātes paaugstināšanu valsts ēkās</w:t>
      </w:r>
      <w:r>
        <w:rPr>
          <w:rFonts w:cs="Times New Roman"/>
        </w:rPr>
        <w:t>”</w:t>
      </w:r>
      <w:r w:rsidR="00F04745" w:rsidRPr="00F04745">
        <w:rPr>
          <w:rFonts w:cs="Times New Roman"/>
        </w:rPr>
        <w:t xml:space="preserve"> pirmās projektu iesniegumu atlases kārtas ietvaros. Projekta kopējais finansējums 674 620</w:t>
      </w:r>
      <w:r w:rsidR="00F04745" w:rsidRPr="00F04745">
        <w:rPr>
          <w:rFonts w:cs="Times New Roman"/>
          <w:i/>
          <w:iCs/>
        </w:rPr>
        <w:t xml:space="preserve"> euro,</w:t>
      </w:r>
      <w:r w:rsidR="00F04745" w:rsidRPr="00F04745">
        <w:rPr>
          <w:rFonts w:cs="Times New Roman"/>
        </w:rPr>
        <w:t xml:space="preserve"> t.sk. ERAF finansējums 573 426,95</w:t>
      </w:r>
      <w:r w:rsidR="00F04745" w:rsidRPr="00F04745">
        <w:rPr>
          <w:rFonts w:cs="Times New Roman"/>
          <w:i/>
          <w:iCs/>
        </w:rPr>
        <w:t xml:space="preserve"> euro</w:t>
      </w:r>
      <w:r w:rsidR="00F04745" w:rsidRPr="00F04745">
        <w:rPr>
          <w:rFonts w:cs="Times New Roman"/>
        </w:rPr>
        <w:t>  un valsts budžeta finansējums 01 193,05</w:t>
      </w:r>
      <w:r w:rsidR="00F04745" w:rsidRPr="00F04745">
        <w:rPr>
          <w:rFonts w:cs="Times New Roman"/>
          <w:i/>
          <w:iCs/>
        </w:rPr>
        <w:t xml:space="preserve"> euro</w:t>
      </w:r>
      <w:r w:rsidR="00F04745" w:rsidRPr="00F04745">
        <w:rPr>
          <w:rFonts w:cs="Times New Roman"/>
        </w:rPr>
        <w:t>.</w:t>
      </w:r>
    </w:p>
    <w:p w14:paraId="05DDD774" w14:textId="00090B12" w:rsidR="00F04745" w:rsidRPr="00F04745" w:rsidRDefault="00F04745" w:rsidP="00F04745">
      <w:pPr>
        <w:spacing w:after="120" w:line="254" w:lineRule="auto"/>
        <w:jc w:val="both"/>
        <w:rPr>
          <w:rFonts w:cs="Times New Roman"/>
        </w:rPr>
      </w:pPr>
      <w:r w:rsidRPr="00F04745">
        <w:rPr>
          <w:rFonts w:cs="Times New Roman"/>
        </w:rPr>
        <w:t xml:space="preserve">          </w:t>
      </w:r>
      <w:r w:rsidR="00083858">
        <w:rPr>
          <w:rFonts w:cs="Times New Roman"/>
        </w:rPr>
        <w:tab/>
      </w:r>
      <w:r w:rsidRPr="00F04745">
        <w:rPr>
          <w:rFonts w:cs="Times New Roman"/>
        </w:rPr>
        <w:t xml:space="preserve">Šobrīd projektu ietvaros ir izstrādāti un saskaņoti būvprojekti, saņemtas būvatļaujas un veikti būvdarbu veicēju iepirkumi. Uz šo brīdi līgums ir noslēgts un uzsākti būvdarbi objektā Slokas ielā 52B. Savukārt,  līgumu  par būvdarbu veikšanu objektiem Kalnciema ielā nevar noslēgt un uzsākt darbus nav iespējams, jo atbilstoši iepirkuma rezultātiem plānotās būvdarbu izmaksas pārsniedz pieejamo finansējumu apmēru ES investīciju piesaistes projektos par 3 267 721,23 </w:t>
      </w:r>
      <w:r w:rsidRPr="00F04745">
        <w:rPr>
          <w:rFonts w:cs="Times New Roman"/>
          <w:i/>
          <w:iCs/>
        </w:rPr>
        <w:t>euro</w:t>
      </w:r>
      <w:r w:rsidRPr="00F04745">
        <w:rPr>
          <w:rFonts w:cs="Times New Roman"/>
        </w:rPr>
        <w:t>. Ņemot vērā, ka Kalnciema ielas būvdarbu veikšana pilnā apmērā, nodrošinot gan mācību korpusa pārbūvi, atjaunojot vispārizglītojošo un profesionālo mācību priekšmetu telpas, koplietošanas un sanmezglu telpas, kā arī inženierkomunikāciju tīklus, gan  sporta zāles izbūvi, ir prioritāri NMV darbības nodrošināšanai, būtiski ir risināt nepieciešamā finansējuma piesaisti šī objekta būvdarbu īstenošanai, Slokas ielas 52a ēkas pārbūvi plānojot ilgākā termiņā.</w:t>
      </w:r>
    </w:p>
    <w:p w14:paraId="2A9F4081" w14:textId="77777777" w:rsidR="00F04745" w:rsidRPr="00F04745" w:rsidRDefault="00F04745" w:rsidP="00F04745">
      <w:pPr>
        <w:spacing w:after="120" w:line="254" w:lineRule="auto"/>
        <w:ind w:firstLine="720"/>
        <w:jc w:val="both"/>
        <w:rPr>
          <w:rFonts w:cs="Times New Roman"/>
        </w:rPr>
      </w:pPr>
      <w:r w:rsidRPr="00F04745">
        <w:rPr>
          <w:rFonts w:cs="Times New Roman"/>
        </w:rPr>
        <w:t xml:space="preserve">Veicot pārdali iztrūkstošais finansējums 267 722 </w:t>
      </w:r>
      <w:r w:rsidRPr="00F04745">
        <w:rPr>
          <w:rFonts w:cs="Times New Roman"/>
          <w:i/>
        </w:rPr>
        <w:t>euro</w:t>
      </w:r>
      <w:r w:rsidRPr="00F04745">
        <w:rPr>
          <w:rFonts w:cs="Times New Roman"/>
        </w:rPr>
        <w:t xml:space="preserve"> apmērā tiks novirzīts no izdevumiem, kuri 2020.gadā plānoti Muzeju krātuves, Pulkas ielā 8, Rīgā uzturēšanai paredzētā finansējuma, jo pēc operatīvajiem datiem krātuves uzturēšanai iepriekš plānotais finansējums nav nepieciešams tik lielā apmērā.</w:t>
      </w:r>
    </w:p>
    <w:p w14:paraId="3EFC2D78" w14:textId="6F9E1D11" w:rsidR="000A0884" w:rsidRDefault="00F04745" w:rsidP="000A0884">
      <w:pPr>
        <w:spacing w:after="120"/>
        <w:jc w:val="both"/>
        <w:rPr>
          <w:rFonts w:cs="Times New Roman"/>
          <w:b/>
        </w:rPr>
      </w:pPr>
      <w:r>
        <w:rPr>
          <w:rFonts w:cs="Times New Roman"/>
          <w:b/>
        </w:rPr>
        <w:t xml:space="preserve">KM - </w:t>
      </w:r>
      <w:r w:rsidRPr="00F04745">
        <w:rPr>
          <w:rFonts w:cs="Times New Roman"/>
          <w:b/>
        </w:rPr>
        <w:t>Par Muzeju krātuves Pulka ielā 8, Rīgā uzturēšanas izdevumiem</w:t>
      </w:r>
    </w:p>
    <w:p w14:paraId="31F846BB" w14:textId="0D45D9FE" w:rsidR="00F04745" w:rsidRDefault="00F04745" w:rsidP="00083858">
      <w:pPr>
        <w:ind w:firstLine="720"/>
        <w:jc w:val="both"/>
        <w:rPr>
          <w:rFonts w:cs="Times New Roman"/>
        </w:rPr>
      </w:pPr>
      <w:r>
        <w:rPr>
          <w:rFonts w:cs="Times New Roman"/>
        </w:rPr>
        <w:t>Saskaņā ar MK 2018.</w:t>
      </w:r>
      <w:r w:rsidR="0021601A">
        <w:rPr>
          <w:rFonts w:cs="Times New Roman"/>
        </w:rPr>
        <w:t xml:space="preserve"> </w:t>
      </w:r>
      <w:r>
        <w:rPr>
          <w:rFonts w:cs="Times New Roman"/>
        </w:rPr>
        <w:t>gada 12.</w:t>
      </w:r>
      <w:r w:rsidR="0021601A">
        <w:rPr>
          <w:rFonts w:cs="Times New Roman"/>
        </w:rPr>
        <w:t xml:space="preserve"> </w:t>
      </w:r>
      <w:r>
        <w:rPr>
          <w:rFonts w:cs="Times New Roman"/>
        </w:rPr>
        <w:t>jūnija rīkojumā Nr. 267 “Par finansējumu Rīgas pils Konventa Pils laukumā 3, Rīgā un Muzeju krātuvju kompleksa Pulka ielā 8, Rīgā, būvniecības projekta, nomas maksas, pārcelšanās un aprīkojuma iegādes izdevumu segšanai” 2.2. punktu Muzeju krātuvju kompleksam Pulka ielā 8, Rīgā uzturēšanas izdevumiem 2021.gadā un 2022.</w:t>
      </w:r>
      <w:r w:rsidR="0021601A">
        <w:rPr>
          <w:rFonts w:cs="Times New Roman"/>
        </w:rPr>
        <w:t xml:space="preserve"> </w:t>
      </w:r>
      <w:r>
        <w:rPr>
          <w:rFonts w:cs="Times New Roman"/>
        </w:rPr>
        <w:t xml:space="preserve">gadā ir plānots papildus valsts budžeta finansējums 783 361 </w:t>
      </w:r>
      <w:r w:rsidRPr="00F04745">
        <w:rPr>
          <w:rFonts w:cs="Times New Roman"/>
          <w:i/>
        </w:rPr>
        <w:t>euro</w:t>
      </w:r>
      <w:r>
        <w:rPr>
          <w:rFonts w:cs="Times New Roman"/>
        </w:rPr>
        <w:t xml:space="preserve"> apmērā, tomēr ņemot vērā 2020.</w:t>
      </w:r>
      <w:r w:rsidR="0021601A">
        <w:rPr>
          <w:rFonts w:cs="Times New Roman"/>
        </w:rPr>
        <w:t xml:space="preserve"> </w:t>
      </w:r>
      <w:r>
        <w:rPr>
          <w:rFonts w:cs="Times New Roman"/>
        </w:rPr>
        <w:t>gada 1.</w:t>
      </w:r>
      <w:r w:rsidR="0021601A">
        <w:rPr>
          <w:rFonts w:cs="Times New Roman"/>
        </w:rPr>
        <w:t xml:space="preserve"> </w:t>
      </w:r>
      <w:r>
        <w:rPr>
          <w:rFonts w:cs="Times New Roman"/>
        </w:rPr>
        <w:t xml:space="preserve">pusgada uzturēšanas izdevumus ir redzams, ka iepriekš plānotais finansējums kompleksa uzturēšanai būs nepieciešams mazākā apmērā jeb 275 980 </w:t>
      </w:r>
      <w:r w:rsidRPr="00F04745">
        <w:rPr>
          <w:rFonts w:cs="Times New Roman"/>
          <w:i/>
        </w:rPr>
        <w:t>euro</w:t>
      </w:r>
      <w:r>
        <w:rPr>
          <w:rFonts w:cs="Times New Roman"/>
        </w:rPr>
        <w:t xml:space="preserve"> katru gadu, līdz ar to ietaupīto finansējumu var novirzīt neatliekamu kultūras infrastruktūras izdevumu segšanai:</w:t>
      </w:r>
    </w:p>
    <w:p w14:paraId="1CBE41F0" w14:textId="458A9AB8" w:rsidR="00F04745" w:rsidRDefault="00F04745" w:rsidP="00083858">
      <w:pPr>
        <w:ind w:firstLine="720"/>
        <w:jc w:val="both"/>
        <w:rPr>
          <w:rFonts w:cs="Times New Roman"/>
        </w:rPr>
      </w:pPr>
      <w:r>
        <w:rPr>
          <w:rFonts w:cs="Times New Roman"/>
        </w:rPr>
        <w:t>1.VSIA “Dailes teātris” šobrīd īsteno energoefektivitātes projektu un veicot paredzētos darbus ir nepieciešams veikt papildus ēkas infrastruktūras uzlabošanas darbus, kas ir projekta neattiecināmās izmaksas, piemēram, dabīgās un piespiedu ventilācijas sistēmu remonts un tīrīšana, un ļautu uzlabot ēkas izmantošanas lietderību un efektivitāti paredzot finansējumu 2021.</w:t>
      </w:r>
      <w:r w:rsidR="0021601A">
        <w:rPr>
          <w:rFonts w:cs="Times New Roman"/>
        </w:rPr>
        <w:t xml:space="preserve"> </w:t>
      </w:r>
      <w:r>
        <w:rPr>
          <w:rFonts w:cs="Times New Roman"/>
        </w:rPr>
        <w:t xml:space="preserve">gadā 377 489 </w:t>
      </w:r>
      <w:r w:rsidRPr="00F04745">
        <w:rPr>
          <w:rFonts w:cs="Times New Roman"/>
          <w:i/>
        </w:rPr>
        <w:t>euro</w:t>
      </w:r>
      <w:r>
        <w:rPr>
          <w:rFonts w:cs="Times New Roman"/>
        </w:rPr>
        <w:t xml:space="preserve"> un 2022.</w:t>
      </w:r>
      <w:r w:rsidR="0021601A">
        <w:rPr>
          <w:rFonts w:cs="Times New Roman"/>
        </w:rPr>
        <w:t xml:space="preserve"> </w:t>
      </w:r>
      <w:r>
        <w:rPr>
          <w:rFonts w:cs="Times New Roman"/>
        </w:rPr>
        <w:t xml:space="preserve">gadā 377 489 </w:t>
      </w:r>
      <w:r w:rsidRPr="00F04745">
        <w:rPr>
          <w:rFonts w:cs="Times New Roman"/>
          <w:i/>
        </w:rPr>
        <w:t>euro</w:t>
      </w:r>
      <w:r>
        <w:rPr>
          <w:rFonts w:cs="Times New Roman"/>
        </w:rPr>
        <w:t>.</w:t>
      </w:r>
    </w:p>
    <w:p w14:paraId="7B9B3EE4" w14:textId="2500FF38" w:rsidR="00F04745" w:rsidRPr="00F04745" w:rsidRDefault="00F04745" w:rsidP="00083858">
      <w:pPr>
        <w:ind w:firstLine="720"/>
        <w:jc w:val="both"/>
        <w:rPr>
          <w:rFonts w:cs="Times New Roman"/>
        </w:rPr>
      </w:pPr>
      <w:r>
        <w:rPr>
          <w:rFonts w:cs="Times New Roman"/>
        </w:rPr>
        <w:t>2. VSIA “Latvijas Leļļu teātris” uzsākot īstenot energoefektivitātes projektu tika atklāts, ka daļa ēkas būvkonstrukcijas ir sliktā tehniskā stāvoklī un ņemot vērā 2020.</w:t>
      </w:r>
      <w:r w:rsidR="0021601A">
        <w:rPr>
          <w:rFonts w:cs="Times New Roman"/>
        </w:rPr>
        <w:t xml:space="preserve"> </w:t>
      </w:r>
      <w:r>
        <w:rPr>
          <w:rFonts w:cs="Times New Roman"/>
        </w:rPr>
        <w:t>gada 26.</w:t>
      </w:r>
      <w:r w:rsidR="0021601A">
        <w:rPr>
          <w:rFonts w:cs="Times New Roman"/>
        </w:rPr>
        <w:t xml:space="preserve"> </w:t>
      </w:r>
      <w:r>
        <w:rPr>
          <w:rFonts w:cs="Times New Roman"/>
        </w:rPr>
        <w:t>jūnija Būvniecības valsts kontroles biroja atzinumu  par būves ekspluatācijas pārbaudi Nr.BIS-BV-15.1-2020-502 šīs ēkas daļās ir jānovēršas bīstamība un teātrim uz energoefektivitātes projekta īstenošanas laiku no 2020.</w:t>
      </w:r>
      <w:r w:rsidR="0021601A">
        <w:rPr>
          <w:rFonts w:cs="Times New Roman"/>
        </w:rPr>
        <w:t xml:space="preserve"> </w:t>
      </w:r>
      <w:r>
        <w:rPr>
          <w:rFonts w:cs="Times New Roman"/>
        </w:rPr>
        <w:t xml:space="preserve">gada rudens darbība ēkā Kr.Barona ielā 16/18, Rīgā ir jāpārtrauc. Līdz ar to teātrim nepieciešams finansējums pagaidu  telpu nomai un uzturēšanai 2021. gadā 129 892 </w:t>
      </w:r>
      <w:r w:rsidRPr="00F04745">
        <w:rPr>
          <w:rFonts w:cs="Times New Roman"/>
          <w:i/>
        </w:rPr>
        <w:t>euro</w:t>
      </w:r>
      <w:r>
        <w:rPr>
          <w:rFonts w:cs="Times New Roman"/>
        </w:rPr>
        <w:t xml:space="preserve"> apmērā un 2022.</w:t>
      </w:r>
      <w:r w:rsidR="0021601A">
        <w:rPr>
          <w:rFonts w:cs="Times New Roman"/>
        </w:rPr>
        <w:t xml:space="preserve"> </w:t>
      </w:r>
      <w:r>
        <w:rPr>
          <w:rFonts w:cs="Times New Roman"/>
        </w:rPr>
        <w:t xml:space="preserve">gadā 129 892 </w:t>
      </w:r>
      <w:r w:rsidRPr="00F04745">
        <w:rPr>
          <w:rFonts w:cs="Times New Roman"/>
          <w:i/>
        </w:rPr>
        <w:t xml:space="preserve">euro </w:t>
      </w:r>
      <w:r>
        <w:rPr>
          <w:rFonts w:cs="Times New Roman"/>
        </w:rPr>
        <w:t>apmērā.</w:t>
      </w:r>
    </w:p>
    <w:p w14:paraId="0B614730" w14:textId="77777777" w:rsidR="00797121" w:rsidRPr="00797121" w:rsidRDefault="00797121" w:rsidP="00797121">
      <w:pPr>
        <w:pStyle w:val="ListParagraph"/>
        <w:spacing w:after="120" w:line="254" w:lineRule="auto"/>
        <w:ind w:left="357"/>
        <w:contextualSpacing w:val="0"/>
        <w:jc w:val="both"/>
        <w:rPr>
          <w:rFonts w:cs="Times New Roman"/>
        </w:rPr>
      </w:pPr>
    </w:p>
    <w:p w14:paraId="0583141C" w14:textId="77777777" w:rsidR="008E3934" w:rsidRDefault="008E3934" w:rsidP="006A15ED">
      <w:pPr>
        <w:pStyle w:val="Heading2"/>
        <w:numPr>
          <w:ilvl w:val="1"/>
          <w:numId w:val="2"/>
        </w:numPr>
      </w:pPr>
      <w:bookmarkStart w:id="40" w:name="_Toc48200647"/>
      <w:r w:rsidRPr="00E41F09">
        <w:lastRenderedPageBreak/>
        <w:t>Veselības nozares izvērtējums</w:t>
      </w:r>
      <w:bookmarkEnd w:id="40"/>
    </w:p>
    <w:p w14:paraId="10A739FC" w14:textId="77777777" w:rsidR="00163732" w:rsidRDefault="00FD44D5" w:rsidP="006A15ED">
      <w:pPr>
        <w:pStyle w:val="Heading3"/>
        <w:numPr>
          <w:ilvl w:val="2"/>
          <w:numId w:val="2"/>
        </w:numPr>
      </w:pPr>
      <w:bookmarkStart w:id="41" w:name="_Valsts_apmaksāto_veselības"/>
      <w:bookmarkStart w:id="42" w:name="_Toc48200648"/>
      <w:bookmarkEnd w:id="41"/>
      <w:r w:rsidRPr="00FD44D5">
        <w:t>Valsts apmaksāto veselības aprūpes pakalpojumu analīze</w:t>
      </w:r>
      <w:bookmarkEnd w:id="42"/>
    </w:p>
    <w:p w14:paraId="2CC9081F" w14:textId="2F58DC15" w:rsidR="00AB14B2" w:rsidRDefault="00EC52FF" w:rsidP="00F17C94">
      <w:pPr>
        <w:pStyle w:val="Caption"/>
        <w:spacing w:before="0" w:line="259" w:lineRule="auto"/>
        <w:ind w:firstLine="720"/>
        <w:jc w:val="both"/>
      </w:pPr>
      <w:r w:rsidRPr="00982AC1">
        <w:t>2014. gadā tika izstrādātas “Sabiedrības veselības pamatnostādnes 2014.–2020.</w:t>
      </w:r>
      <w:r w:rsidR="00050F68">
        <w:t xml:space="preserve"> </w:t>
      </w:r>
      <w:r w:rsidRPr="00982AC1">
        <w:t>gadam”, lai turpinātu aizsāktās sabiedrības veselības politikas īstenošanu, kā arī aktualizētu jaunus attīstības mērķus un rīcības virzienus to sasniegšanai. Sabiedrības veselības politikas virsmērķis ir palielināt Latvijas iedzīvotāju veselīgi nodzīvoto mūža gadu skaitu un novērst priekšlaicīgu nāvi, saglabājot, u</w:t>
      </w:r>
      <w:r>
        <w:t>z</w:t>
      </w:r>
      <w:r w:rsidR="00DA6C88">
        <w:t>labojot un atjaunojot veselību</w:t>
      </w:r>
      <w:r w:rsidRPr="00FF6496">
        <w:rPr>
          <w:rStyle w:val="FootnoteReference"/>
        </w:rPr>
        <w:footnoteReference w:id="3"/>
      </w:r>
      <w:r w:rsidRPr="00FF6496">
        <w:t>.</w:t>
      </w:r>
      <w:bookmarkStart w:id="43" w:name="_Ref46303477"/>
    </w:p>
    <w:bookmarkEnd w:id="43"/>
    <w:p w14:paraId="199F7406" w14:textId="1CA83BAC" w:rsidR="00614F8C" w:rsidRDefault="00666E35" w:rsidP="00666E35">
      <w:pPr>
        <w:pStyle w:val="Caption"/>
        <w:rPr>
          <w:b/>
        </w:rPr>
      </w:pPr>
      <w:r>
        <w:t xml:space="preserve">Tabula Nr. </w:t>
      </w:r>
      <w:fldSimple w:instr=" SEQ Tabula_Nr. \* ARABIC ">
        <w:r w:rsidR="00D96F20">
          <w:rPr>
            <w:noProof/>
          </w:rPr>
          <w:t>4</w:t>
        </w:r>
      </w:fldSimple>
    </w:p>
    <w:p w14:paraId="5C32EB54" w14:textId="12426EC0" w:rsidR="00EC52FF" w:rsidRPr="00E0483D" w:rsidRDefault="00EC52FF" w:rsidP="002A416F">
      <w:pPr>
        <w:spacing w:before="120" w:after="120" w:line="254" w:lineRule="auto"/>
        <w:ind w:firstLine="709"/>
        <w:jc w:val="center"/>
        <w:rPr>
          <w:b/>
        </w:rPr>
      </w:pPr>
      <w:r w:rsidRPr="00E0483D">
        <w:rPr>
          <w:b/>
        </w:rPr>
        <w:t xml:space="preserve">Sabiedrības veselības pamatnostādnes 2014.–2020. gadam </w:t>
      </w:r>
    </w:p>
    <w:tbl>
      <w:tblPr>
        <w:tblStyle w:val="TableGrid"/>
        <w:tblW w:w="9200" w:type="dxa"/>
        <w:tblInd w:w="-5" w:type="dxa"/>
        <w:tblLook w:val="04A0" w:firstRow="1" w:lastRow="0" w:firstColumn="1" w:lastColumn="0" w:noHBand="0" w:noVBand="1"/>
      </w:tblPr>
      <w:tblGrid>
        <w:gridCol w:w="4363"/>
        <w:gridCol w:w="4837"/>
      </w:tblGrid>
      <w:tr w:rsidR="00EC52FF" w14:paraId="115B1A87" w14:textId="77777777" w:rsidTr="00FF6496">
        <w:trPr>
          <w:trHeight w:val="98"/>
        </w:trPr>
        <w:tc>
          <w:tcPr>
            <w:tcW w:w="4363" w:type="dxa"/>
          </w:tcPr>
          <w:p w14:paraId="287AEAA1" w14:textId="77777777" w:rsidR="00EC52FF" w:rsidRPr="007700C0" w:rsidRDefault="00EC52FF" w:rsidP="00EC52FF">
            <w:pPr>
              <w:jc w:val="center"/>
              <w:rPr>
                <w:rFonts w:ascii="Times New Roman" w:hAnsi="Times New Roman" w:cs="Times New Roman"/>
                <w:b/>
                <w:szCs w:val="22"/>
              </w:rPr>
            </w:pPr>
            <w:r w:rsidRPr="007700C0">
              <w:rPr>
                <w:rFonts w:ascii="Times New Roman" w:hAnsi="Times New Roman" w:cs="Times New Roman"/>
                <w:b/>
                <w:szCs w:val="22"/>
              </w:rPr>
              <w:t>Mērķi 2020. gadam</w:t>
            </w:r>
            <w:r w:rsidRPr="007700C0">
              <w:rPr>
                <w:rStyle w:val="FootnoteReference"/>
                <w:rFonts w:ascii="Times New Roman" w:hAnsi="Times New Roman" w:cs="Times New Roman"/>
                <w:b/>
                <w:sz w:val="22"/>
                <w:szCs w:val="22"/>
              </w:rPr>
              <w:footnoteReference w:id="4"/>
            </w:r>
          </w:p>
        </w:tc>
        <w:tc>
          <w:tcPr>
            <w:tcW w:w="4837" w:type="dxa"/>
          </w:tcPr>
          <w:p w14:paraId="0E87F8A9" w14:textId="77777777" w:rsidR="00EC52FF" w:rsidRPr="007700C0" w:rsidRDefault="00EC52FF" w:rsidP="00EC52FF">
            <w:pPr>
              <w:jc w:val="center"/>
              <w:rPr>
                <w:rFonts w:ascii="Times New Roman" w:hAnsi="Times New Roman" w:cs="Times New Roman"/>
                <w:b/>
                <w:szCs w:val="22"/>
              </w:rPr>
            </w:pPr>
            <w:r w:rsidRPr="007700C0">
              <w:rPr>
                <w:rFonts w:ascii="Times New Roman" w:hAnsi="Times New Roman" w:cs="Times New Roman"/>
                <w:b/>
                <w:szCs w:val="22"/>
              </w:rPr>
              <w:t>Līdz šim sasniegtais</w:t>
            </w:r>
          </w:p>
        </w:tc>
      </w:tr>
      <w:tr w:rsidR="00EC52FF" w14:paraId="0395E246" w14:textId="77777777" w:rsidTr="00FF6496">
        <w:trPr>
          <w:trHeight w:val="271"/>
        </w:trPr>
        <w:tc>
          <w:tcPr>
            <w:tcW w:w="4363" w:type="dxa"/>
          </w:tcPr>
          <w:p w14:paraId="6F156A2F" w14:textId="77777777" w:rsidR="00EC52FF" w:rsidRPr="007700C0" w:rsidRDefault="00EC52FF" w:rsidP="00A664D7">
            <w:pPr>
              <w:jc w:val="both"/>
              <w:rPr>
                <w:rFonts w:ascii="Times New Roman" w:hAnsi="Times New Roman" w:cs="Times New Roman"/>
                <w:szCs w:val="22"/>
              </w:rPr>
            </w:pPr>
            <w:r w:rsidRPr="007700C0">
              <w:rPr>
                <w:rFonts w:ascii="Times New Roman" w:hAnsi="Times New Roman" w:cs="Times New Roman"/>
                <w:szCs w:val="22"/>
              </w:rPr>
              <w:t xml:space="preserve">par </w:t>
            </w:r>
            <w:r w:rsidRPr="007700C0">
              <w:rPr>
                <w:rFonts w:ascii="Times New Roman" w:hAnsi="Times New Roman" w:cs="Times New Roman"/>
                <w:bCs/>
                <w:szCs w:val="22"/>
              </w:rPr>
              <w:t xml:space="preserve">trim gadiem </w:t>
            </w:r>
            <w:r w:rsidRPr="007700C0">
              <w:rPr>
                <w:rFonts w:ascii="Times New Roman" w:hAnsi="Times New Roman" w:cs="Times New Roman"/>
                <w:szCs w:val="22"/>
              </w:rPr>
              <w:t xml:space="preserve">palielināt veselīgi nodzīvoto mūža gadu skaitu (2020. gadā sasniegt 57 gadus vīriešiem un 60 gadus sievietēm); </w:t>
            </w:r>
          </w:p>
        </w:tc>
        <w:tc>
          <w:tcPr>
            <w:tcW w:w="4837" w:type="dxa"/>
          </w:tcPr>
          <w:p w14:paraId="23976F4F" w14:textId="77777777" w:rsidR="00EC52FF" w:rsidRPr="007700C0" w:rsidRDefault="00EC52FF" w:rsidP="006A15ED">
            <w:pPr>
              <w:numPr>
                <w:ilvl w:val="0"/>
                <w:numId w:val="15"/>
              </w:numPr>
              <w:ind w:left="316" w:hanging="270"/>
              <w:jc w:val="both"/>
              <w:rPr>
                <w:rFonts w:ascii="Times New Roman" w:hAnsi="Times New Roman" w:cs="Times New Roman"/>
                <w:b/>
                <w:szCs w:val="22"/>
              </w:rPr>
            </w:pPr>
            <w:r w:rsidRPr="007700C0">
              <w:rPr>
                <w:rFonts w:ascii="Times New Roman" w:hAnsi="Times New Roman" w:cs="Times New Roman"/>
                <w:b/>
                <w:szCs w:val="22"/>
              </w:rPr>
              <w:t>2018. gadā veselīgi nodzīvoto mūža gadu skaits vīriešiem 51 gads, sievietēm 53,7 gadi. (</w:t>
            </w:r>
            <w:r w:rsidRPr="007700C0">
              <w:rPr>
                <w:rFonts w:ascii="Times New Roman" w:hAnsi="Times New Roman" w:cs="Times New Roman"/>
                <w:b/>
                <w:i/>
                <w:szCs w:val="22"/>
              </w:rPr>
              <w:t>Eurostat</w:t>
            </w:r>
            <w:r w:rsidRPr="007700C0">
              <w:rPr>
                <w:rFonts w:ascii="Times New Roman" w:hAnsi="Times New Roman" w:cs="Times New Roman"/>
                <w:b/>
                <w:szCs w:val="22"/>
              </w:rPr>
              <w:t>)</w:t>
            </w:r>
            <w:r w:rsidRPr="007700C0">
              <w:rPr>
                <w:rStyle w:val="FootnoteReference"/>
                <w:rFonts w:ascii="Times New Roman" w:hAnsi="Times New Roman" w:cs="Times New Roman"/>
                <w:b/>
                <w:sz w:val="22"/>
                <w:szCs w:val="22"/>
              </w:rPr>
              <w:footnoteReference w:id="5"/>
            </w:r>
          </w:p>
        </w:tc>
      </w:tr>
      <w:tr w:rsidR="00EC52FF" w14:paraId="45420344" w14:textId="77777777" w:rsidTr="00FF6496">
        <w:trPr>
          <w:trHeight w:val="325"/>
        </w:trPr>
        <w:tc>
          <w:tcPr>
            <w:tcW w:w="4363" w:type="dxa"/>
          </w:tcPr>
          <w:p w14:paraId="2816503A" w14:textId="77777777" w:rsidR="00EC52FF" w:rsidRPr="007700C0" w:rsidRDefault="00EC52FF" w:rsidP="00A664D7">
            <w:pPr>
              <w:jc w:val="both"/>
              <w:rPr>
                <w:rFonts w:ascii="Times New Roman" w:hAnsi="Times New Roman" w:cs="Times New Roman"/>
                <w:szCs w:val="22"/>
              </w:rPr>
            </w:pPr>
            <w:r w:rsidRPr="007700C0">
              <w:rPr>
                <w:rFonts w:ascii="Times New Roman" w:hAnsi="Times New Roman" w:cs="Times New Roman"/>
                <w:szCs w:val="22"/>
              </w:rPr>
              <w:t xml:space="preserve">par </w:t>
            </w:r>
            <w:r w:rsidRPr="007700C0">
              <w:rPr>
                <w:rFonts w:ascii="Times New Roman" w:hAnsi="Times New Roman" w:cs="Times New Roman"/>
                <w:bCs/>
                <w:szCs w:val="22"/>
              </w:rPr>
              <w:t>11 %</w:t>
            </w:r>
            <w:r w:rsidRPr="007700C0">
              <w:rPr>
                <w:rFonts w:ascii="Times New Roman" w:hAnsi="Times New Roman" w:cs="Times New Roman"/>
                <w:szCs w:val="22"/>
              </w:rPr>
              <w:t xml:space="preserve"> samazināt potenciāli zaudēto mūža gadu (līdz 64 gadu vecumam) rādītāju (2020. gadā sasniegt </w:t>
            </w:r>
            <w:r w:rsidRPr="007700C0">
              <w:rPr>
                <w:rFonts w:ascii="Times New Roman" w:hAnsi="Times New Roman" w:cs="Times New Roman"/>
                <w:b/>
                <w:szCs w:val="22"/>
              </w:rPr>
              <w:t>5 300 uz 100 000 iedzīvotāju</w:t>
            </w:r>
          </w:p>
        </w:tc>
        <w:tc>
          <w:tcPr>
            <w:tcW w:w="4837" w:type="dxa"/>
          </w:tcPr>
          <w:p w14:paraId="7B108EC5" w14:textId="77777777" w:rsidR="00EC52FF" w:rsidRPr="007700C0" w:rsidRDefault="00EC52FF" w:rsidP="006A15ED">
            <w:pPr>
              <w:numPr>
                <w:ilvl w:val="0"/>
                <w:numId w:val="14"/>
              </w:numPr>
              <w:ind w:left="316" w:hanging="270"/>
              <w:jc w:val="both"/>
              <w:rPr>
                <w:rFonts w:ascii="Times New Roman" w:hAnsi="Times New Roman" w:cs="Times New Roman"/>
                <w:b/>
                <w:szCs w:val="22"/>
              </w:rPr>
            </w:pPr>
            <w:r w:rsidRPr="007700C0">
              <w:rPr>
                <w:rFonts w:ascii="Times New Roman" w:hAnsi="Times New Roman" w:cs="Times New Roman"/>
                <w:b/>
                <w:szCs w:val="22"/>
              </w:rPr>
              <w:t>2018. gadā 5 235 uz 100 000 iedzīvotāju (SPKC)</w:t>
            </w:r>
            <w:r w:rsidRPr="007700C0">
              <w:rPr>
                <w:rStyle w:val="FootnoteReference"/>
                <w:rFonts w:ascii="Times New Roman" w:hAnsi="Times New Roman" w:cs="Times New Roman"/>
                <w:b/>
                <w:sz w:val="22"/>
                <w:szCs w:val="22"/>
              </w:rPr>
              <w:footnoteReference w:id="6"/>
            </w:r>
          </w:p>
        </w:tc>
      </w:tr>
    </w:tbl>
    <w:p w14:paraId="10843088" w14:textId="6762D48D" w:rsidR="002D57C1" w:rsidRDefault="00EC52FF" w:rsidP="00AB14B2">
      <w:pPr>
        <w:pStyle w:val="Caption"/>
        <w:spacing w:line="254" w:lineRule="auto"/>
        <w:ind w:firstLine="720"/>
        <w:jc w:val="both"/>
      </w:pPr>
      <w:r w:rsidRPr="00982AC1">
        <w:t>Lai arī mērķis - samazināt potenciāli zaudēto mūža gadu</w:t>
      </w:r>
      <w:r>
        <w:t xml:space="preserve"> rādītāju</w:t>
      </w:r>
      <w:r w:rsidRPr="00982AC1">
        <w:t xml:space="preserve"> - ir sasniegts un tas turpina samazināties, tomēr tas ir skaits uz visiem iedzīvotājiem. Vīriešiem tas ir joprojām augstāks nekā sievietēm. 2018. gadā vīriešiem potenciāli zaudēt</w:t>
      </w:r>
      <w:r>
        <w:t>ie</w:t>
      </w:r>
      <w:r w:rsidRPr="00982AC1">
        <w:t xml:space="preserve"> mūža gad</w:t>
      </w:r>
      <w:r>
        <w:t>i</w:t>
      </w:r>
      <w:r w:rsidRPr="00982AC1">
        <w:t xml:space="preserve"> 7</w:t>
      </w:r>
      <w:r>
        <w:t xml:space="preserve"> </w:t>
      </w:r>
      <w:r w:rsidRPr="00982AC1">
        <w:t>598 uz 100 000 iedzīvotāju, sievietēm 2</w:t>
      </w:r>
      <w:r>
        <w:t xml:space="preserve"> </w:t>
      </w:r>
      <w:r w:rsidRPr="00982AC1">
        <w:t xml:space="preserve">933 uz </w:t>
      </w:r>
      <w:bookmarkStart w:id="44" w:name="_Ref46303621"/>
      <w:bookmarkStart w:id="45" w:name="_Ref47084799"/>
      <w:bookmarkStart w:id="46" w:name="_Toc24704195"/>
      <w:r w:rsidR="002D57C1">
        <w:t>100 000 iedzīvotāju (</w:t>
      </w:r>
      <w:r w:rsidR="002D57C1">
        <w:fldChar w:fldCharType="begin"/>
      </w:r>
      <w:r w:rsidR="002D57C1">
        <w:instrText xml:space="preserve"> REF _Ref47345657 \h </w:instrText>
      </w:r>
      <w:r w:rsidR="002D57C1">
        <w:fldChar w:fldCharType="separate"/>
      </w:r>
      <w:r w:rsidR="00D96F20">
        <w:t xml:space="preserve">Attēls Nr. </w:t>
      </w:r>
      <w:r w:rsidR="00D96F20">
        <w:rPr>
          <w:noProof/>
        </w:rPr>
        <w:t>9</w:t>
      </w:r>
      <w:r w:rsidR="002D57C1">
        <w:fldChar w:fldCharType="end"/>
      </w:r>
      <w:r w:rsidR="002D57C1">
        <w:t>).</w:t>
      </w:r>
      <w:bookmarkStart w:id="47" w:name="_Ref47102477"/>
    </w:p>
    <w:p w14:paraId="3A46894E" w14:textId="5B7A867D" w:rsidR="00FF6496" w:rsidRDefault="00FF6496" w:rsidP="002A416F">
      <w:pPr>
        <w:pStyle w:val="Caption"/>
        <w:spacing w:line="254" w:lineRule="auto"/>
      </w:pPr>
      <w:bookmarkStart w:id="48" w:name="_Ref47345657"/>
      <w:r>
        <w:t xml:space="preserve">Attēls Nr. </w:t>
      </w:r>
      <w:fldSimple w:instr=" SEQ Attēls_Nr. \* ARABIC ">
        <w:r w:rsidR="00D96F20">
          <w:rPr>
            <w:noProof/>
          </w:rPr>
          <w:t>9</w:t>
        </w:r>
      </w:fldSimple>
      <w:bookmarkEnd w:id="44"/>
      <w:bookmarkEnd w:id="45"/>
      <w:bookmarkEnd w:id="47"/>
      <w:bookmarkEnd w:id="48"/>
    </w:p>
    <w:p w14:paraId="202623DF" w14:textId="736A1E45" w:rsidR="00EC52FF" w:rsidRPr="00666E35" w:rsidRDefault="00EC52FF" w:rsidP="00666E35">
      <w:pPr>
        <w:spacing w:before="120" w:after="120" w:line="254" w:lineRule="auto"/>
        <w:ind w:right="69"/>
        <w:jc w:val="center"/>
        <w:rPr>
          <w:b/>
        </w:rPr>
      </w:pPr>
      <w:r w:rsidRPr="00E35276">
        <w:rPr>
          <w:noProof/>
          <w:sz w:val="16"/>
          <w:szCs w:val="16"/>
          <w:lang w:eastAsia="lv-LV"/>
        </w:rPr>
        <w:drawing>
          <wp:anchor distT="0" distB="0" distL="114300" distR="114300" simplePos="0" relativeHeight="251667456" behindDoc="0" locked="0" layoutInCell="1" allowOverlap="1" wp14:anchorId="7BEF66C7" wp14:editId="2A46CAEB">
            <wp:simplePos x="0" y="0"/>
            <wp:positionH relativeFrom="margin">
              <wp:align>left</wp:align>
            </wp:positionH>
            <wp:positionV relativeFrom="paragraph">
              <wp:posOffset>430725</wp:posOffset>
            </wp:positionV>
            <wp:extent cx="5758522" cy="2549770"/>
            <wp:effectExtent l="0" t="0" r="13970" b="3175"/>
            <wp:wrapTopAndBottom/>
            <wp:docPr id="2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4632A4">
        <w:rPr>
          <w:b/>
        </w:rPr>
        <w:t>Potenciāli zaudētie mūža gadi (līdz 64 gadu vecumam), visi cēloņi, uz 100 000</w:t>
      </w:r>
      <w:r>
        <w:rPr>
          <w:b/>
        </w:rPr>
        <w:t xml:space="preserve"> </w:t>
      </w:r>
      <w:r w:rsidRPr="004632A4">
        <w:rPr>
          <w:b/>
        </w:rPr>
        <w:t>iedzīvotāju</w:t>
      </w:r>
      <w:r>
        <w:rPr>
          <w:rStyle w:val="FootnoteReference"/>
          <w:b/>
        </w:rPr>
        <w:footnoteReference w:id="7"/>
      </w:r>
      <w:bookmarkEnd w:id="46"/>
    </w:p>
    <w:p w14:paraId="06D33957" w14:textId="77777777" w:rsidR="004432B7" w:rsidRDefault="004432B7" w:rsidP="00BF774E">
      <w:pPr>
        <w:pStyle w:val="Caption"/>
        <w:ind w:firstLine="720"/>
        <w:jc w:val="both"/>
      </w:pPr>
    </w:p>
    <w:p w14:paraId="0D12F93A" w14:textId="68D63F66" w:rsidR="00FF369C" w:rsidRPr="00FF369C" w:rsidRDefault="00EC52FF" w:rsidP="00083858">
      <w:pPr>
        <w:pStyle w:val="Caption"/>
        <w:ind w:firstLine="720"/>
        <w:jc w:val="both"/>
      </w:pPr>
      <w:r w:rsidRPr="00982AC1">
        <w:t xml:space="preserve">Lai nodrošinātu sabiedrības veselības pamatnostādņu </w:t>
      </w:r>
      <w:r>
        <w:t>īstenošanu, balstoties uz 2017. </w:t>
      </w:r>
      <w:r w:rsidRPr="00982AC1">
        <w:t xml:space="preserve">gada </w:t>
      </w:r>
      <w:r>
        <w:rPr>
          <w:bCs/>
        </w:rPr>
        <w:t>konceptuālo ziņojumu “</w:t>
      </w:r>
      <w:r w:rsidRPr="00982AC1">
        <w:rPr>
          <w:bCs/>
        </w:rPr>
        <w:t>Par veselības aprūpes sistēmas reformu</w:t>
      </w:r>
      <w:r>
        <w:rPr>
          <w:bCs/>
        </w:rPr>
        <w:t>”</w:t>
      </w:r>
      <w:r w:rsidRPr="00982AC1">
        <w:t xml:space="preserve">, ik gadu </w:t>
      </w:r>
      <w:r w:rsidR="00755E6E">
        <w:t>VM</w:t>
      </w:r>
      <w:r w:rsidRPr="00982AC1">
        <w:t xml:space="preserve"> budžetā tika nodrošināti papildus līdzekļi refor</w:t>
      </w:r>
      <w:r>
        <w:t>mu īstenošanai un turpināšanai</w:t>
      </w:r>
      <w:r w:rsidR="00DA6C88">
        <w:t xml:space="preserve"> </w:t>
      </w:r>
      <w:r w:rsidR="00E67E46">
        <w:t>(</w:t>
      </w:r>
      <w:r w:rsidR="00FF369C">
        <w:fldChar w:fldCharType="begin"/>
      </w:r>
      <w:r w:rsidR="00FF369C">
        <w:instrText xml:space="preserve"> REF _Ref47969196 \h </w:instrText>
      </w:r>
      <w:r w:rsidR="00FF369C">
        <w:fldChar w:fldCharType="separate"/>
      </w:r>
      <w:r w:rsidR="00D96F20">
        <w:t xml:space="preserve">Attēls Nr. </w:t>
      </w:r>
      <w:r w:rsidR="00D96F20">
        <w:rPr>
          <w:noProof/>
        </w:rPr>
        <w:t>10</w:t>
      </w:r>
      <w:r w:rsidR="00FF369C">
        <w:fldChar w:fldCharType="end"/>
      </w:r>
      <w:r w:rsidR="00E67E46">
        <w:t xml:space="preserve">) </w:t>
      </w:r>
      <w:r w:rsidRPr="004750F1">
        <w:t xml:space="preserve">– </w:t>
      </w:r>
      <w:r w:rsidRPr="004750F1">
        <w:rPr>
          <w:b/>
        </w:rPr>
        <w:t xml:space="preserve">34 </w:t>
      </w:r>
      <w:r w:rsidRPr="003837B5">
        <w:rPr>
          <w:b/>
        </w:rPr>
        <w:t xml:space="preserve">milj. </w:t>
      </w:r>
      <w:r w:rsidRPr="003837B5">
        <w:rPr>
          <w:b/>
          <w:i/>
        </w:rPr>
        <w:t>euro</w:t>
      </w:r>
      <w:r w:rsidRPr="003837B5">
        <w:rPr>
          <w:b/>
        </w:rPr>
        <w:t xml:space="preserve"> 2017. gadā, 11</w:t>
      </w:r>
      <w:r w:rsidR="00296937">
        <w:rPr>
          <w:b/>
        </w:rPr>
        <w:t xml:space="preserve">3 </w:t>
      </w:r>
      <w:r w:rsidRPr="003837B5">
        <w:rPr>
          <w:b/>
        </w:rPr>
        <w:t xml:space="preserve">milj. </w:t>
      </w:r>
      <w:r w:rsidRPr="003837B5">
        <w:rPr>
          <w:b/>
          <w:i/>
        </w:rPr>
        <w:t>euro</w:t>
      </w:r>
      <w:r w:rsidRPr="003837B5">
        <w:rPr>
          <w:b/>
        </w:rPr>
        <w:t xml:space="preserve"> 2018. gadā, 154 milj. </w:t>
      </w:r>
      <w:r w:rsidRPr="003837B5">
        <w:rPr>
          <w:b/>
          <w:i/>
        </w:rPr>
        <w:t>euro</w:t>
      </w:r>
      <w:r w:rsidRPr="003837B5">
        <w:rPr>
          <w:b/>
        </w:rPr>
        <w:t xml:space="preserve"> 2019. gadā, 144 milj. </w:t>
      </w:r>
      <w:r w:rsidRPr="003837B5">
        <w:rPr>
          <w:b/>
          <w:i/>
        </w:rPr>
        <w:t>euro</w:t>
      </w:r>
      <w:r w:rsidRPr="003837B5">
        <w:rPr>
          <w:b/>
        </w:rPr>
        <w:t xml:space="preserve"> ik gadu 2020-2022. gadā.</w:t>
      </w:r>
      <w:r>
        <w:t xml:space="preserve"> Papildus piešķirtais finansējums ik gadu novirzīts konkrētu reformu īstenošanai (</w:t>
      </w:r>
      <w:r w:rsidR="002A416F">
        <w:rPr>
          <w:highlight w:val="yellow"/>
        </w:rPr>
        <w:fldChar w:fldCharType="begin"/>
      </w:r>
      <w:r w:rsidR="002A416F">
        <w:instrText xml:space="preserve"> REF _Ref46304552 \h </w:instrText>
      </w:r>
      <w:r w:rsidR="00972659">
        <w:rPr>
          <w:highlight w:val="yellow"/>
        </w:rPr>
        <w:instrText xml:space="preserve"> \* MERGEFORMAT </w:instrText>
      </w:r>
      <w:r w:rsidR="002A416F">
        <w:rPr>
          <w:highlight w:val="yellow"/>
        </w:rPr>
      </w:r>
      <w:r w:rsidR="002A416F">
        <w:rPr>
          <w:highlight w:val="yellow"/>
        </w:rPr>
        <w:fldChar w:fldCharType="separate"/>
      </w:r>
      <w:r w:rsidR="00D96F20">
        <w:t xml:space="preserve">Tabula Nr. </w:t>
      </w:r>
      <w:r w:rsidR="00D96F20">
        <w:rPr>
          <w:noProof/>
        </w:rPr>
        <w:t>5</w:t>
      </w:r>
      <w:r w:rsidR="002A416F">
        <w:rPr>
          <w:highlight w:val="yellow"/>
        </w:rPr>
        <w:fldChar w:fldCharType="end"/>
      </w:r>
      <w:r w:rsidR="002A416F">
        <w:t>).</w:t>
      </w:r>
      <w:bookmarkStart w:id="49" w:name="_Ref46304507"/>
      <w:bookmarkStart w:id="50" w:name="_Ref46995017"/>
      <w:bookmarkStart w:id="51" w:name="_Ref47098056"/>
      <w:bookmarkStart w:id="52" w:name="_Ref47102495"/>
      <w:bookmarkStart w:id="53" w:name="_Ref47345765"/>
      <w:bookmarkStart w:id="54" w:name="_Ref47967661"/>
    </w:p>
    <w:p w14:paraId="7D685DDC" w14:textId="1E02097F" w:rsidR="002A416F" w:rsidRDefault="002A416F" w:rsidP="002A416F">
      <w:pPr>
        <w:pStyle w:val="Caption"/>
      </w:pPr>
      <w:bookmarkStart w:id="55" w:name="_Ref47969196"/>
      <w:r>
        <w:t xml:space="preserve">Attēls Nr. </w:t>
      </w:r>
      <w:fldSimple w:instr=" SEQ Attēls_Nr. \* ARABIC ">
        <w:r w:rsidR="00D96F20">
          <w:rPr>
            <w:noProof/>
          </w:rPr>
          <w:t>10</w:t>
        </w:r>
      </w:fldSimple>
      <w:bookmarkEnd w:id="49"/>
      <w:bookmarkEnd w:id="50"/>
      <w:bookmarkEnd w:id="51"/>
      <w:bookmarkEnd w:id="52"/>
      <w:bookmarkEnd w:id="53"/>
      <w:bookmarkEnd w:id="54"/>
      <w:bookmarkEnd w:id="55"/>
    </w:p>
    <w:p w14:paraId="27E5AB2C" w14:textId="77777777" w:rsidR="00EC52FF" w:rsidRDefault="00EC52FF" w:rsidP="005E683C">
      <w:pPr>
        <w:spacing w:after="120" w:line="254" w:lineRule="auto"/>
        <w:ind w:right="68"/>
        <w:jc w:val="center"/>
        <w:rPr>
          <w:noProof/>
          <w:lang w:eastAsia="lv-LV"/>
        </w:rPr>
      </w:pPr>
      <w:r w:rsidRPr="004632A4">
        <w:rPr>
          <w:b/>
        </w:rPr>
        <w:t>Izdevumi valsts pamatfunkciju un ārvalstu finanšu palīdzības līdzfinansēto projektu īstenošanai</w:t>
      </w:r>
      <w:r w:rsidRPr="004632A4">
        <w:t xml:space="preserve"> (bruto milj. </w:t>
      </w:r>
      <w:r w:rsidRPr="004632A4">
        <w:rPr>
          <w:i/>
        </w:rPr>
        <w:t>euro</w:t>
      </w:r>
      <w:r w:rsidRPr="004632A4">
        <w:t xml:space="preserve">) </w:t>
      </w:r>
      <w:r w:rsidRPr="004632A4">
        <w:rPr>
          <w:b/>
        </w:rPr>
        <w:t>un</w:t>
      </w:r>
      <w:r w:rsidRPr="004632A4">
        <w:t xml:space="preserve"> </w:t>
      </w:r>
      <w:r w:rsidRPr="004632A4">
        <w:rPr>
          <w:b/>
        </w:rPr>
        <w:t>pamatbudžeta izdevumu izmaiņas pret iepriekšējo gadu</w:t>
      </w:r>
      <w:r w:rsidR="005D78BB">
        <w:t xml:space="preserve"> </w:t>
      </w:r>
      <w:r w:rsidRPr="004632A4">
        <w:t>(%)</w:t>
      </w:r>
      <w:r w:rsidRPr="004632A4">
        <w:rPr>
          <w:rStyle w:val="FootnoteReference"/>
        </w:rPr>
        <w:footnoteReference w:id="8"/>
      </w:r>
    </w:p>
    <w:p w14:paraId="30E48057" w14:textId="7E07BD29" w:rsidR="00516F9B" w:rsidRDefault="001D1E19" w:rsidP="001D1E19">
      <w:pPr>
        <w:spacing w:before="120" w:after="0" w:line="254" w:lineRule="auto"/>
        <w:ind w:right="68" w:hanging="284"/>
        <w:jc w:val="center"/>
      </w:pPr>
      <w:r>
        <w:rPr>
          <w:noProof/>
          <w:lang w:eastAsia="lv-LV"/>
        </w:rPr>
        <w:drawing>
          <wp:inline distT="0" distB="0" distL="0" distR="0" wp14:anchorId="10079882" wp14:editId="538A5FD3">
            <wp:extent cx="6143422" cy="362745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77480" cy="3647565"/>
                    </a:xfrm>
                    <a:prstGeom prst="rect">
                      <a:avLst/>
                    </a:prstGeom>
                    <a:noFill/>
                  </pic:spPr>
                </pic:pic>
              </a:graphicData>
            </a:graphic>
          </wp:inline>
        </w:drawing>
      </w:r>
    </w:p>
    <w:p w14:paraId="491C5CC7" w14:textId="33A5EA36" w:rsidR="002A416F" w:rsidRDefault="002A416F" w:rsidP="002A416F">
      <w:pPr>
        <w:keepNext/>
        <w:spacing w:before="120" w:after="120" w:line="254" w:lineRule="auto"/>
        <w:ind w:right="68"/>
        <w:jc w:val="right"/>
        <w:rPr>
          <w:noProof/>
        </w:rPr>
      </w:pPr>
      <w:bookmarkStart w:id="56" w:name="_Ref46304552"/>
      <w:r>
        <w:t xml:space="preserve">Tabula Nr. </w:t>
      </w:r>
      <w:fldSimple w:instr=" SEQ Tabula_Nr. \* ARABIC ">
        <w:r w:rsidR="00D96F20">
          <w:rPr>
            <w:noProof/>
          </w:rPr>
          <w:t>5</w:t>
        </w:r>
      </w:fldSimple>
      <w:bookmarkEnd w:id="56"/>
    </w:p>
    <w:p w14:paraId="60200998" w14:textId="77777777" w:rsidR="00EC52FF" w:rsidRPr="00262512" w:rsidRDefault="00EC52FF" w:rsidP="002A416F">
      <w:pPr>
        <w:spacing w:before="120" w:after="120" w:line="254" w:lineRule="auto"/>
        <w:jc w:val="center"/>
        <w:rPr>
          <w:b/>
        </w:rPr>
      </w:pPr>
      <w:r w:rsidRPr="00262512">
        <w:rPr>
          <w:b/>
        </w:rPr>
        <w:t>Papildus piešķirtais finansējums veselības aprūpes reformu īstenošanai un turpināšanai</w:t>
      </w:r>
    </w:p>
    <w:tbl>
      <w:tblPr>
        <w:tblStyle w:val="TableGrid"/>
        <w:tblW w:w="9264" w:type="dxa"/>
        <w:tblInd w:w="-5" w:type="dxa"/>
        <w:tblLayout w:type="fixed"/>
        <w:tblLook w:val="04A0" w:firstRow="1" w:lastRow="0" w:firstColumn="1" w:lastColumn="0" w:noHBand="0" w:noVBand="1"/>
      </w:tblPr>
      <w:tblGrid>
        <w:gridCol w:w="2037"/>
        <w:gridCol w:w="1317"/>
        <w:gridCol w:w="1467"/>
        <w:gridCol w:w="1558"/>
        <w:gridCol w:w="1418"/>
        <w:gridCol w:w="1467"/>
      </w:tblGrid>
      <w:tr w:rsidR="00EC52FF" w:rsidRPr="00733338" w14:paraId="348918CA" w14:textId="77777777" w:rsidTr="00733338">
        <w:trPr>
          <w:cantSplit/>
          <w:trHeight w:val="649"/>
          <w:tblHeader/>
        </w:trPr>
        <w:tc>
          <w:tcPr>
            <w:tcW w:w="2037" w:type="dxa"/>
            <w:vAlign w:val="center"/>
          </w:tcPr>
          <w:p w14:paraId="481CFB1D" w14:textId="77777777" w:rsidR="00EC52FF" w:rsidRPr="00763A63" w:rsidRDefault="00EC52FF" w:rsidP="00EC52FF">
            <w:pPr>
              <w:tabs>
                <w:tab w:val="left" w:pos="450"/>
              </w:tabs>
              <w:ind w:left="436" w:right="705"/>
              <w:jc w:val="center"/>
              <w:rPr>
                <w:rFonts w:ascii="Times New Roman" w:hAnsi="Times New Roman" w:cs="Times New Roman"/>
                <w:b/>
                <w:sz w:val="18"/>
                <w:szCs w:val="20"/>
              </w:rPr>
            </w:pPr>
            <w:r w:rsidRPr="00763A63">
              <w:rPr>
                <w:rFonts w:ascii="Times New Roman" w:hAnsi="Times New Roman" w:cs="Times New Roman"/>
                <w:b/>
                <w:sz w:val="18"/>
                <w:szCs w:val="20"/>
              </w:rPr>
              <w:t>Reforma</w:t>
            </w:r>
          </w:p>
        </w:tc>
        <w:tc>
          <w:tcPr>
            <w:tcW w:w="1317" w:type="dxa"/>
            <w:vAlign w:val="center"/>
          </w:tcPr>
          <w:p w14:paraId="1ADA5AC8" w14:textId="77777777" w:rsidR="00EC52FF" w:rsidRPr="00763A63" w:rsidRDefault="00EC52FF" w:rsidP="00EC52FF">
            <w:pPr>
              <w:tabs>
                <w:tab w:val="left" w:pos="450"/>
              </w:tabs>
              <w:jc w:val="center"/>
              <w:rPr>
                <w:rFonts w:ascii="Times New Roman" w:hAnsi="Times New Roman" w:cs="Times New Roman"/>
                <w:b/>
                <w:sz w:val="20"/>
                <w:szCs w:val="20"/>
              </w:rPr>
            </w:pPr>
            <w:r w:rsidRPr="00763A63">
              <w:rPr>
                <w:rFonts w:ascii="Times New Roman" w:hAnsi="Times New Roman" w:cs="Times New Roman"/>
                <w:b/>
                <w:sz w:val="20"/>
                <w:szCs w:val="20"/>
              </w:rPr>
              <w:t>Papildus piešķirtais 2017. gadā</w:t>
            </w:r>
          </w:p>
          <w:p w14:paraId="45D97CED" w14:textId="77777777" w:rsidR="00EC52FF" w:rsidRPr="00763A63" w:rsidRDefault="00EC52FF" w:rsidP="00EC52FF">
            <w:pPr>
              <w:tabs>
                <w:tab w:val="left" w:pos="450"/>
              </w:tabs>
              <w:jc w:val="center"/>
              <w:rPr>
                <w:rFonts w:ascii="Times New Roman" w:hAnsi="Times New Roman" w:cs="Times New Roman"/>
                <w:b/>
                <w:sz w:val="20"/>
                <w:szCs w:val="20"/>
              </w:rPr>
            </w:pPr>
            <w:r w:rsidRPr="00763A63">
              <w:rPr>
                <w:rFonts w:ascii="Times New Roman" w:hAnsi="Times New Roman" w:cs="Times New Roman"/>
                <w:b/>
                <w:sz w:val="20"/>
                <w:szCs w:val="20"/>
              </w:rPr>
              <w:t>(deficīta atkāpes finansējums)</w:t>
            </w:r>
          </w:p>
        </w:tc>
        <w:tc>
          <w:tcPr>
            <w:tcW w:w="1467" w:type="dxa"/>
            <w:vAlign w:val="center"/>
          </w:tcPr>
          <w:p w14:paraId="439A7ADF"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b/>
                <w:sz w:val="20"/>
                <w:szCs w:val="20"/>
              </w:rPr>
              <w:t>Papildus piešķirtais 2018. gadā (deficīta atkāpes finansējums)</w:t>
            </w:r>
          </w:p>
        </w:tc>
        <w:tc>
          <w:tcPr>
            <w:tcW w:w="1558" w:type="dxa"/>
            <w:vAlign w:val="center"/>
          </w:tcPr>
          <w:p w14:paraId="186890A2"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b/>
                <w:sz w:val="20"/>
                <w:szCs w:val="20"/>
              </w:rPr>
              <w:t>Papildus piešķirtais 2019. gadā (deficīta atkāpes finansējums)</w:t>
            </w:r>
          </w:p>
        </w:tc>
        <w:tc>
          <w:tcPr>
            <w:tcW w:w="1418" w:type="dxa"/>
            <w:vAlign w:val="center"/>
          </w:tcPr>
          <w:p w14:paraId="7E816599"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b/>
                <w:sz w:val="20"/>
                <w:szCs w:val="20"/>
              </w:rPr>
              <w:t>Kopā</w:t>
            </w:r>
          </w:p>
        </w:tc>
        <w:tc>
          <w:tcPr>
            <w:tcW w:w="1467" w:type="dxa"/>
            <w:vAlign w:val="center"/>
          </w:tcPr>
          <w:p w14:paraId="45239B1D"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b/>
                <w:sz w:val="20"/>
                <w:szCs w:val="20"/>
              </w:rPr>
              <w:t>2020. gadā</w:t>
            </w:r>
          </w:p>
          <w:p w14:paraId="02027D2F"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b/>
                <w:sz w:val="20"/>
                <w:szCs w:val="20"/>
              </w:rPr>
              <w:t>(papildus rezervētais finansējums)</w:t>
            </w:r>
          </w:p>
        </w:tc>
      </w:tr>
      <w:tr w:rsidR="00EC52FF" w:rsidRPr="00733338" w14:paraId="67771965" w14:textId="77777777" w:rsidTr="00733338">
        <w:trPr>
          <w:trHeight w:val="550"/>
        </w:trPr>
        <w:tc>
          <w:tcPr>
            <w:tcW w:w="2037" w:type="dxa"/>
          </w:tcPr>
          <w:p w14:paraId="0A88D761" w14:textId="77777777" w:rsidR="00EC52FF" w:rsidRPr="00763A63" w:rsidRDefault="00EC52FF" w:rsidP="00585442">
            <w:pPr>
              <w:tabs>
                <w:tab w:val="left" w:pos="450"/>
              </w:tabs>
              <w:rPr>
                <w:rFonts w:ascii="Times New Roman" w:hAnsi="Times New Roman" w:cs="Times New Roman"/>
                <w:b/>
                <w:sz w:val="20"/>
                <w:szCs w:val="20"/>
              </w:rPr>
            </w:pPr>
            <w:r w:rsidRPr="00763A63">
              <w:rPr>
                <w:rFonts w:ascii="Times New Roman" w:hAnsi="Times New Roman" w:cs="Times New Roman"/>
                <w:bCs/>
                <w:color w:val="000000"/>
                <w:sz w:val="20"/>
                <w:szCs w:val="20"/>
              </w:rPr>
              <w:t>Rindu mazināšanai pie speciālistiem, uz diagnostiskajiem izmeklējumiem, dienas stacionārā</w:t>
            </w:r>
            <w:r w:rsidRPr="00763A63">
              <w:rPr>
                <w:rFonts w:ascii="Times New Roman" w:hAnsi="Times New Roman" w:cs="Times New Roman"/>
                <w:sz w:val="20"/>
                <w:szCs w:val="20"/>
              </w:rPr>
              <w:t xml:space="preserve"> un ambulatorajā rehabilitācijā</w:t>
            </w:r>
          </w:p>
        </w:tc>
        <w:tc>
          <w:tcPr>
            <w:tcW w:w="1317" w:type="dxa"/>
            <w:vAlign w:val="center"/>
          </w:tcPr>
          <w:p w14:paraId="3EBB4E20" w14:textId="77777777" w:rsidR="00EC52FF" w:rsidRPr="00763A63" w:rsidRDefault="00EC52FF" w:rsidP="00EC52FF">
            <w:pPr>
              <w:tabs>
                <w:tab w:val="left" w:pos="450"/>
              </w:tabs>
              <w:jc w:val="center"/>
              <w:rPr>
                <w:rFonts w:ascii="Times New Roman" w:hAnsi="Times New Roman" w:cs="Times New Roman"/>
                <w:b/>
                <w:sz w:val="20"/>
                <w:szCs w:val="20"/>
              </w:rPr>
            </w:pPr>
            <w:r w:rsidRPr="00763A63">
              <w:rPr>
                <w:rFonts w:ascii="Times New Roman" w:hAnsi="Times New Roman" w:cs="Times New Roman"/>
                <w:bCs/>
                <w:color w:val="000000"/>
                <w:sz w:val="20"/>
                <w:szCs w:val="20"/>
              </w:rPr>
              <w:t>16 599 307</w:t>
            </w:r>
          </w:p>
        </w:tc>
        <w:tc>
          <w:tcPr>
            <w:tcW w:w="1467" w:type="dxa"/>
            <w:vAlign w:val="center"/>
          </w:tcPr>
          <w:p w14:paraId="32B0E9B5"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color w:val="000000"/>
                <w:sz w:val="20"/>
                <w:szCs w:val="20"/>
              </w:rPr>
              <w:t>46 073 209</w:t>
            </w:r>
          </w:p>
        </w:tc>
        <w:tc>
          <w:tcPr>
            <w:tcW w:w="1558" w:type="dxa"/>
            <w:vAlign w:val="center"/>
          </w:tcPr>
          <w:p w14:paraId="4802948D"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color w:val="000000"/>
                <w:sz w:val="20"/>
                <w:szCs w:val="20"/>
              </w:rPr>
              <w:t>57 538 646</w:t>
            </w:r>
          </w:p>
        </w:tc>
        <w:tc>
          <w:tcPr>
            <w:tcW w:w="1418" w:type="dxa"/>
            <w:vAlign w:val="center"/>
          </w:tcPr>
          <w:p w14:paraId="2609D039" w14:textId="77777777" w:rsidR="00EC52FF" w:rsidRPr="00763A63" w:rsidRDefault="00EC52FF" w:rsidP="00EC52FF">
            <w:pPr>
              <w:ind w:right="150"/>
              <w:jc w:val="center"/>
              <w:rPr>
                <w:rFonts w:ascii="Times New Roman" w:hAnsi="Times New Roman" w:cs="Times New Roman"/>
                <w:b/>
                <w:color w:val="000000"/>
                <w:sz w:val="20"/>
                <w:szCs w:val="20"/>
              </w:rPr>
            </w:pPr>
            <w:r w:rsidRPr="00763A63">
              <w:rPr>
                <w:rFonts w:ascii="Times New Roman" w:hAnsi="Times New Roman" w:cs="Times New Roman"/>
                <w:b/>
                <w:color w:val="000000"/>
                <w:sz w:val="20"/>
                <w:szCs w:val="20"/>
              </w:rPr>
              <w:t>120 211 162</w:t>
            </w:r>
          </w:p>
        </w:tc>
        <w:tc>
          <w:tcPr>
            <w:tcW w:w="1467" w:type="dxa"/>
            <w:vAlign w:val="center"/>
          </w:tcPr>
          <w:p w14:paraId="6185DCDE" w14:textId="77777777" w:rsidR="00EC52FF" w:rsidRPr="00763A63" w:rsidRDefault="00EC52FF" w:rsidP="00EC52FF">
            <w:pPr>
              <w:ind w:right="150"/>
              <w:jc w:val="center"/>
              <w:rPr>
                <w:rFonts w:ascii="Times New Roman" w:hAnsi="Times New Roman" w:cs="Times New Roman"/>
                <w:b/>
                <w:color w:val="000000"/>
                <w:sz w:val="20"/>
                <w:szCs w:val="20"/>
              </w:rPr>
            </w:pPr>
            <w:r w:rsidRPr="00763A63">
              <w:rPr>
                <w:rFonts w:ascii="Times New Roman" w:eastAsia="Times New Roman" w:hAnsi="Times New Roman" w:cs="Times New Roman"/>
                <w:bCs/>
                <w:color w:val="000000"/>
                <w:sz w:val="20"/>
                <w:szCs w:val="20"/>
                <w:lang w:eastAsia="lv-LV"/>
              </w:rPr>
              <w:t>56 851 817</w:t>
            </w:r>
          </w:p>
        </w:tc>
      </w:tr>
      <w:tr w:rsidR="00EC52FF" w:rsidRPr="00733338" w14:paraId="2135A253" w14:textId="77777777" w:rsidTr="00733338">
        <w:trPr>
          <w:trHeight w:val="352"/>
        </w:trPr>
        <w:tc>
          <w:tcPr>
            <w:tcW w:w="2037" w:type="dxa"/>
          </w:tcPr>
          <w:p w14:paraId="5F163558" w14:textId="77777777" w:rsidR="00EC52FF" w:rsidRPr="00763A63" w:rsidRDefault="00EC52FF" w:rsidP="00585442">
            <w:pPr>
              <w:tabs>
                <w:tab w:val="left" w:pos="450"/>
              </w:tabs>
              <w:rPr>
                <w:rFonts w:ascii="Times New Roman" w:hAnsi="Times New Roman" w:cs="Times New Roman"/>
                <w:bCs/>
                <w:color w:val="000000"/>
                <w:sz w:val="20"/>
                <w:szCs w:val="20"/>
              </w:rPr>
            </w:pPr>
            <w:r w:rsidRPr="00763A63">
              <w:rPr>
                <w:rFonts w:ascii="Times New Roman" w:hAnsi="Times New Roman" w:cs="Times New Roman"/>
                <w:bCs/>
                <w:color w:val="000000"/>
                <w:sz w:val="20"/>
                <w:szCs w:val="20"/>
              </w:rPr>
              <w:lastRenderedPageBreak/>
              <w:t>Onkoloģisko saslimšanu diagnostikas un ārstēšanas pieejamības uzlabošanai</w:t>
            </w:r>
          </w:p>
        </w:tc>
        <w:tc>
          <w:tcPr>
            <w:tcW w:w="1317" w:type="dxa"/>
            <w:vAlign w:val="center"/>
          </w:tcPr>
          <w:p w14:paraId="72096242" w14:textId="77777777" w:rsidR="00EC52FF" w:rsidRPr="00763A63" w:rsidRDefault="00EC52FF" w:rsidP="00EC52FF">
            <w:pPr>
              <w:tabs>
                <w:tab w:val="left" w:pos="450"/>
              </w:tabs>
              <w:jc w:val="center"/>
              <w:rPr>
                <w:rFonts w:ascii="Times New Roman" w:hAnsi="Times New Roman" w:cs="Times New Roman"/>
                <w:bCs/>
                <w:color w:val="000000"/>
                <w:sz w:val="20"/>
                <w:szCs w:val="20"/>
              </w:rPr>
            </w:pPr>
            <w:r w:rsidRPr="00763A63">
              <w:rPr>
                <w:rFonts w:ascii="Times New Roman" w:hAnsi="Times New Roman" w:cs="Times New Roman"/>
                <w:bCs/>
                <w:color w:val="000000"/>
                <w:sz w:val="20"/>
                <w:szCs w:val="20"/>
              </w:rPr>
              <w:t>12 262 260</w:t>
            </w:r>
          </w:p>
        </w:tc>
        <w:tc>
          <w:tcPr>
            <w:tcW w:w="1467" w:type="dxa"/>
            <w:vAlign w:val="center"/>
          </w:tcPr>
          <w:p w14:paraId="6D0B7064"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color w:val="000000"/>
                <w:sz w:val="20"/>
                <w:szCs w:val="20"/>
              </w:rPr>
              <w:t>29 896 594</w:t>
            </w:r>
          </w:p>
        </w:tc>
        <w:tc>
          <w:tcPr>
            <w:tcW w:w="1558" w:type="dxa"/>
            <w:vAlign w:val="center"/>
          </w:tcPr>
          <w:p w14:paraId="6AE39440"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color w:val="000000"/>
                <w:sz w:val="20"/>
                <w:szCs w:val="20"/>
              </w:rPr>
              <w:t>29 215 914</w:t>
            </w:r>
          </w:p>
        </w:tc>
        <w:tc>
          <w:tcPr>
            <w:tcW w:w="1418" w:type="dxa"/>
            <w:vAlign w:val="center"/>
          </w:tcPr>
          <w:p w14:paraId="37BB590E" w14:textId="77777777" w:rsidR="00EC52FF" w:rsidRPr="00763A63" w:rsidRDefault="00EC52FF" w:rsidP="00EC52FF">
            <w:pPr>
              <w:ind w:right="150"/>
              <w:jc w:val="center"/>
              <w:rPr>
                <w:rFonts w:ascii="Times New Roman" w:hAnsi="Times New Roman" w:cs="Times New Roman"/>
                <w:b/>
                <w:color w:val="000000"/>
                <w:sz w:val="20"/>
                <w:szCs w:val="20"/>
              </w:rPr>
            </w:pPr>
            <w:r w:rsidRPr="00763A63">
              <w:rPr>
                <w:rFonts w:ascii="Times New Roman" w:hAnsi="Times New Roman" w:cs="Times New Roman"/>
                <w:b/>
                <w:color w:val="000000"/>
                <w:sz w:val="20"/>
                <w:szCs w:val="20"/>
              </w:rPr>
              <w:t>71 374 768</w:t>
            </w:r>
          </w:p>
        </w:tc>
        <w:tc>
          <w:tcPr>
            <w:tcW w:w="1467" w:type="dxa"/>
            <w:vAlign w:val="center"/>
          </w:tcPr>
          <w:p w14:paraId="29544707" w14:textId="77777777" w:rsidR="00EC52FF" w:rsidRPr="00763A63" w:rsidRDefault="00EC52FF" w:rsidP="00EC52FF">
            <w:pPr>
              <w:ind w:right="150"/>
              <w:jc w:val="center"/>
              <w:rPr>
                <w:rFonts w:ascii="Times New Roman" w:hAnsi="Times New Roman" w:cs="Times New Roman"/>
                <w:b/>
                <w:color w:val="000000"/>
                <w:sz w:val="20"/>
                <w:szCs w:val="20"/>
              </w:rPr>
            </w:pPr>
            <w:r w:rsidRPr="00763A63">
              <w:rPr>
                <w:rFonts w:ascii="Times New Roman" w:eastAsia="Times New Roman" w:hAnsi="Times New Roman" w:cs="Times New Roman"/>
                <w:bCs/>
                <w:color w:val="000000"/>
                <w:sz w:val="20"/>
                <w:szCs w:val="20"/>
                <w:lang w:eastAsia="lv-LV"/>
              </w:rPr>
              <w:t>24 337 374</w:t>
            </w:r>
          </w:p>
        </w:tc>
      </w:tr>
      <w:tr w:rsidR="00EC52FF" w:rsidRPr="00733338" w14:paraId="18C632E7" w14:textId="77777777" w:rsidTr="00733338">
        <w:trPr>
          <w:trHeight w:val="882"/>
        </w:trPr>
        <w:tc>
          <w:tcPr>
            <w:tcW w:w="2037" w:type="dxa"/>
          </w:tcPr>
          <w:p w14:paraId="21A10845" w14:textId="77777777" w:rsidR="00EC52FF" w:rsidRPr="00763A63" w:rsidRDefault="00EC52FF" w:rsidP="00585442">
            <w:pPr>
              <w:tabs>
                <w:tab w:val="left" w:pos="450"/>
              </w:tabs>
              <w:ind w:right="345"/>
              <w:rPr>
                <w:rFonts w:ascii="Times New Roman" w:hAnsi="Times New Roman" w:cs="Times New Roman"/>
                <w:bCs/>
                <w:color w:val="000000"/>
                <w:sz w:val="20"/>
                <w:szCs w:val="20"/>
              </w:rPr>
            </w:pPr>
            <w:r w:rsidRPr="00763A63">
              <w:rPr>
                <w:rFonts w:ascii="Times New Roman" w:hAnsi="Times New Roman" w:cs="Times New Roman"/>
                <w:bCs/>
                <w:color w:val="000000"/>
                <w:sz w:val="20"/>
                <w:szCs w:val="20"/>
              </w:rPr>
              <w:t>Reformas valsts kompensējamo medikamentu nodrošinājumam VHC pacientiem F3-F4 stadijā/ Infekcijas slimību izplatības mazināšana</w:t>
            </w:r>
          </w:p>
        </w:tc>
        <w:tc>
          <w:tcPr>
            <w:tcW w:w="1317" w:type="dxa"/>
            <w:vAlign w:val="center"/>
          </w:tcPr>
          <w:p w14:paraId="39C708CC" w14:textId="77777777" w:rsidR="00EC52FF" w:rsidRPr="00763A63" w:rsidRDefault="00EC52FF" w:rsidP="00EC52FF">
            <w:pPr>
              <w:tabs>
                <w:tab w:val="left" w:pos="450"/>
              </w:tabs>
              <w:jc w:val="center"/>
              <w:rPr>
                <w:rFonts w:ascii="Times New Roman" w:hAnsi="Times New Roman" w:cs="Times New Roman"/>
                <w:bCs/>
                <w:color w:val="000000"/>
                <w:sz w:val="20"/>
                <w:szCs w:val="20"/>
              </w:rPr>
            </w:pPr>
            <w:r w:rsidRPr="00763A63">
              <w:rPr>
                <w:rFonts w:ascii="Times New Roman" w:hAnsi="Times New Roman" w:cs="Times New Roman"/>
                <w:bCs/>
                <w:color w:val="000000"/>
                <w:sz w:val="20"/>
                <w:szCs w:val="20"/>
              </w:rPr>
              <w:t>5 462 883</w:t>
            </w:r>
          </w:p>
        </w:tc>
        <w:tc>
          <w:tcPr>
            <w:tcW w:w="1467" w:type="dxa"/>
            <w:vAlign w:val="center"/>
          </w:tcPr>
          <w:p w14:paraId="23A949C3"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color w:val="000000"/>
                <w:sz w:val="20"/>
                <w:szCs w:val="20"/>
              </w:rPr>
              <w:t>16 740 741</w:t>
            </w:r>
          </w:p>
        </w:tc>
        <w:tc>
          <w:tcPr>
            <w:tcW w:w="1558" w:type="dxa"/>
            <w:vAlign w:val="center"/>
          </w:tcPr>
          <w:p w14:paraId="307F748A"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color w:val="000000"/>
                <w:sz w:val="20"/>
                <w:szCs w:val="20"/>
              </w:rPr>
              <w:t>16 484 214</w:t>
            </w:r>
          </w:p>
        </w:tc>
        <w:tc>
          <w:tcPr>
            <w:tcW w:w="1418" w:type="dxa"/>
            <w:vAlign w:val="center"/>
          </w:tcPr>
          <w:p w14:paraId="24A69C8A" w14:textId="77777777" w:rsidR="00EC52FF" w:rsidRPr="00763A63" w:rsidRDefault="00EC52FF" w:rsidP="00EC52FF">
            <w:pPr>
              <w:ind w:right="150"/>
              <w:jc w:val="center"/>
              <w:rPr>
                <w:rFonts w:ascii="Times New Roman" w:hAnsi="Times New Roman" w:cs="Times New Roman"/>
                <w:b/>
                <w:color w:val="000000"/>
                <w:sz w:val="20"/>
                <w:szCs w:val="20"/>
              </w:rPr>
            </w:pPr>
            <w:r w:rsidRPr="00763A63">
              <w:rPr>
                <w:rFonts w:ascii="Times New Roman" w:hAnsi="Times New Roman" w:cs="Times New Roman"/>
                <w:b/>
                <w:color w:val="000000"/>
                <w:sz w:val="20"/>
                <w:szCs w:val="20"/>
              </w:rPr>
              <w:t>38 687 838</w:t>
            </w:r>
          </w:p>
        </w:tc>
        <w:tc>
          <w:tcPr>
            <w:tcW w:w="1467" w:type="dxa"/>
            <w:vAlign w:val="center"/>
          </w:tcPr>
          <w:p w14:paraId="26D01BC6" w14:textId="77777777" w:rsidR="00EC52FF" w:rsidRPr="00763A63" w:rsidRDefault="00EC52FF" w:rsidP="00EC52FF">
            <w:pPr>
              <w:ind w:right="150"/>
              <w:jc w:val="center"/>
              <w:rPr>
                <w:rFonts w:ascii="Times New Roman" w:hAnsi="Times New Roman" w:cs="Times New Roman"/>
                <w:b/>
                <w:color w:val="000000"/>
                <w:sz w:val="20"/>
                <w:szCs w:val="20"/>
              </w:rPr>
            </w:pPr>
            <w:r w:rsidRPr="00763A63">
              <w:rPr>
                <w:rFonts w:ascii="Times New Roman" w:eastAsia="Times New Roman" w:hAnsi="Times New Roman" w:cs="Times New Roman"/>
                <w:bCs/>
                <w:color w:val="000000"/>
                <w:sz w:val="20"/>
                <w:szCs w:val="20"/>
                <w:lang w:eastAsia="lv-LV"/>
              </w:rPr>
              <w:t>16 159 183</w:t>
            </w:r>
          </w:p>
        </w:tc>
      </w:tr>
      <w:tr w:rsidR="00EC52FF" w:rsidRPr="00733338" w14:paraId="29C38FB4" w14:textId="77777777" w:rsidTr="00733338">
        <w:trPr>
          <w:trHeight w:val="488"/>
        </w:trPr>
        <w:tc>
          <w:tcPr>
            <w:tcW w:w="2037" w:type="dxa"/>
          </w:tcPr>
          <w:p w14:paraId="069B95B3" w14:textId="77777777" w:rsidR="00EC52FF" w:rsidRPr="00763A63" w:rsidRDefault="00EC52FF" w:rsidP="00585442">
            <w:pPr>
              <w:tabs>
                <w:tab w:val="left" w:pos="450"/>
              </w:tabs>
              <w:ind w:right="255"/>
              <w:rPr>
                <w:rFonts w:ascii="Times New Roman" w:hAnsi="Times New Roman" w:cs="Times New Roman"/>
                <w:bCs/>
                <w:color w:val="000000"/>
                <w:sz w:val="20"/>
                <w:szCs w:val="20"/>
              </w:rPr>
            </w:pPr>
            <w:r w:rsidRPr="00763A63">
              <w:rPr>
                <w:rFonts w:ascii="Times New Roman" w:hAnsi="Times New Roman" w:cs="Times New Roman"/>
                <w:sz w:val="20"/>
                <w:szCs w:val="20"/>
              </w:rPr>
              <w:t>Primārās veselības aprūpes sistēmas kvalitātes un pieejamības uzlabošana</w:t>
            </w:r>
          </w:p>
        </w:tc>
        <w:tc>
          <w:tcPr>
            <w:tcW w:w="1317" w:type="dxa"/>
            <w:vAlign w:val="center"/>
          </w:tcPr>
          <w:p w14:paraId="19CA95F9" w14:textId="77777777" w:rsidR="00EC52FF" w:rsidRPr="00763A63" w:rsidRDefault="00EC52FF" w:rsidP="00EC52FF">
            <w:pPr>
              <w:tabs>
                <w:tab w:val="left" w:pos="450"/>
              </w:tabs>
              <w:jc w:val="center"/>
              <w:rPr>
                <w:rFonts w:ascii="Times New Roman" w:hAnsi="Times New Roman" w:cs="Times New Roman"/>
                <w:bCs/>
                <w:color w:val="000000"/>
                <w:sz w:val="20"/>
                <w:szCs w:val="20"/>
              </w:rPr>
            </w:pPr>
          </w:p>
        </w:tc>
        <w:tc>
          <w:tcPr>
            <w:tcW w:w="1467" w:type="dxa"/>
            <w:vAlign w:val="center"/>
          </w:tcPr>
          <w:p w14:paraId="0BE82FCD" w14:textId="77777777" w:rsidR="00EC52FF" w:rsidRPr="00763A63" w:rsidRDefault="00EC52FF" w:rsidP="00EC52FF">
            <w:pPr>
              <w:tabs>
                <w:tab w:val="left" w:pos="450"/>
              </w:tabs>
              <w:ind w:right="150"/>
              <w:jc w:val="center"/>
              <w:rPr>
                <w:rFonts w:ascii="Times New Roman" w:hAnsi="Times New Roman" w:cs="Times New Roman"/>
                <w:color w:val="000000"/>
                <w:sz w:val="20"/>
                <w:szCs w:val="20"/>
              </w:rPr>
            </w:pPr>
            <w:r w:rsidRPr="00763A63">
              <w:rPr>
                <w:rFonts w:ascii="Times New Roman" w:hAnsi="Times New Roman" w:cs="Times New Roman"/>
                <w:color w:val="000000"/>
                <w:sz w:val="20"/>
                <w:szCs w:val="20"/>
              </w:rPr>
              <w:t>9 664 036</w:t>
            </w:r>
          </w:p>
        </w:tc>
        <w:tc>
          <w:tcPr>
            <w:tcW w:w="1558" w:type="dxa"/>
            <w:vAlign w:val="center"/>
          </w:tcPr>
          <w:p w14:paraId="657E83BE"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color w:val="000000"/>
                <w:sz w:val="20"/>
                <w:szCs w:val="20"/>
              </w:rPr>
              <w:t>15 433 208</w:t>
            </w:r>
          </w:p>
        </w:tc>
        <w:tc>
          <w:tcPr>
            <w:tcW w:w="1418" w:type="dxa"/>
            <w:vAlign w:val="center"/>
          </w:tcPr>
          <w:p w14:paraId="4190F9AC" w14:textId="77777777" w:rsidR="00EC52FF" w:rsidRPr="00763A63" w:rsidRDefault="00EC52FF" w:rsidP="00EC52FF">
            <w:pPr>
              <w:ind w:right="150"/>
              <w:jc w:val="center"/>
              <w:rPr>
                <w:rFonts w:ascii="Times New Roman" w:hAnsi="Times New Roman" w:cs="Times New Roman"/>
                <w:b/>
                <w:color w:val="000000"/>
                <w:sz w:val="20"/>
                <w:szCs w:val="20"/>
              </w:rPr>
            </w:pPr>
            <w:r w:rsidRPr="00763A63">
              <w:rPr>
                <w:rFonts w:ascii="Times New Roman" w:hAnsi="Times New Roman" w:cs="Times New Roman"/>
                <w:b/>
                <w:color w:val="000000"/>
                <w:sz w:val="20"/>
                <w:szCs w:val="20"/>
              </w:rPr>
              <w:t>25 097 244</w:t>
            </w:r>
          </w:p>
          <w:p w14:paraId="71C719AB" w14:textId="77777777" w:rsidR="00EC52FF" w:rsidRPr="00763A63" w:rsidRDefault="00EC52FF" w:rsidP="00EC52FF">
            <w:pPr>
              <w:tabs>
                <w:tab w:val="left" w:pos="450"/>
              </w:tabs>
              <w:ind w:right="150"/>
              <w:jc w:val="center"/>
              <w:rPr>
                <w:rFonts w:ascii="Times New Roman" w:hAnsi="Times New Roman" w:cs="Times New Roman"/>
                <w:b/>
                <w:sz w:val="20"/>
                <w:szCs w:val="20"/>
              </w:rPr>
            </w:pPr>
          </w:p>
        </w:tc>
        <w:tc>
          <w:tcPr>
            <w:tcW w:w="1467" w:type="dxa"/>
            <w:vAlign w:val="center"/>
          </w:tcPr>
          <w:p w14:paraId="7E309B52" w14:textId="77777777" w:rsidR="00EC52FF" w:rsidRPr="00763A63" w:rsidRDefault="00EC52FF" w:rsidP="00EC52FF">
            <w:pPr>
              <w:ind w:right="150"/>
              <w:jc w:val="center"/>
              <w:rPr>
                <w:rFonts w:ascii="Times New Roman" w:hAnsi="Times New Roman" w:cs="Times New Roman"/>
                <w:b/>
                <w:color w:val="000000"/>
                <w:sz w:val="20"/>
                <w:szCs w:val="20"/>
              </w:rPr>
            </w:pPr>
            <w:r w:rsidRPr="00763A63">
              <w:rPr>
                <w:rFonts w:ascii="Times New Roman" w:eastAsia="Times New Roman" w:hAnsi="Times New Roman" w:cs="Times New Roman"/>
                <w:bCs/>
                <w:color w:val="000000"/>
                <w:sz w:val="20"/>
                <w:szCs w:val="20"/>
                <w:lang w:eastAsia="lv-LV"/>
              </w:rPr>
              <w:t>15 604 581</w:t>
            </w:r>
          </w:p>
        </w:tc>
      </w:tr>
      <w:tr w:rsidR="00EC52FF" w:rsidRPr="00733338" w14:paraId="2B82AA29" w14:textId="77777777" w:rsidTr="00733338">
        <w:trPr>
          <w:trHeight w:val="684"/>
        </w:trPr>
        <w:tc>
          <w:tcPr>
            <w:tcW w:w="2037" w:type="dxa"/>
            <w:vAlign w:val="center"/>
          </w:tcPr>
          <w:p w14:paraId="4E6CAA0E" w14:textId="77777777" w:rsidR="00EC52FF" w:rsidRPr="00763A63" w:rsidRDefault="00EC52FF" w:rsidP="00585442">
            <w:pPr>
              <w:tabs>
                <w:tab w:val="left" w:pos="450"/>
              </w:tabs>
              <w:ind w:right="165"/>
              <w:rPr>
                <w:rFonts w:ascii="Times New Roman" w:hAnsi="Times New Roman" w:cs="Times New Roman"/>
                <w:sz w:val="20"/>
                <w:szCs w:val="20"/>
              </w:rPr>
            </w:pPr>
            <w:r w:rsidRPr="00763A63">
              <w:rPr>
                <w:rFonts w:ascii="Times New Roman" w:hAnsi="Times New Roman" w:cs="Times New Roman"/>
                <w:sz w:val="20"/>
                <w:szCs w:val="20"/>
              </w:rPr>
              <w:t>Kardiovaskulārās saslimstības mazināšana un slimību ārstēšanas efektivitātes uzlabošana</w:t>
            </w:r>
          </w:p>
        </w:tc>
        <w:tc>
          <w:tcPr>
            <w:tcW w:w="1317" w:type="dxa"/>
            <w:vAlign w:val="center"/>
          </w:tcPr>
          <w:p w14:paraId="39C4C7BC" w14:textId="77777777" w:rsidR="00EC52FF" w:rsidRPr="00763A63" w:rsidRDefault="00EC52FF" w:rsidP="00EC52FF">
            <w:pPr>
              <w:tabs>
                <w:tab w:val="left" w:pos="450"/>
              </w:tabs>
              <w:jc w:val="center"/>
              <w:rPr>
                <w:rFonts w:ascii="Times New Roman" w:hAnsi="Times New Roman" w:cs="Times New Roman"/>
                <w:bCs/>
                <w:color w:val="000000"/>
                <w:sz w:val="20"/>
                <w:szCs w:val="20"/>
              </w:rPr>
            </w:pPr>
          </w:p>
        </w:tc>
        <w:tc>
          <w:tcPr>
            <w:tcW w:w="1467" w:type="dxa"/>
            <w:vAlign w:val="center"/>
          </w:tcPr>
          <w:p w14:paraId="4D2F394F" w14:textId="77777777" w:rsidR="00EC52FF" w:rsidRPr="00763A63" w:rsidRDefault="00EC52FF" w:rsidP="00EC52FF">
            <w:pPr>
              <w:tabs>
                <w:tab w:val="left" w:pos="450"/>
              </w:tabs>
              <w:ind w:right="150"/>
              <w:jc w:val="center"/>
              <w:rPr>
                <w:rFonts w:ascii="Times New Roman" w:hAnsi="Times New Roman" w:cs="Times New Roman"/>
                <w:color w:val="000000"/>
                <w:sz w:val="20"/>
                <w:szCs w:val="20"/>
              </w:rPr>
            </w:pPr>
            <w:r w:rsidRPr="00763A63">
              <w:rPr>
                <w:rFonts w:ascii="Times New Roman" w:hAnsi="Times New Roman" w:cs="Times New Roman"/>
                <w:color w:val="000000"/>
                <w:sz w:val="20"/>
                <w:szCs w:val="20"/>
              </w:rPr>
              <w:t>11 025 420</w:t>
            </w:r>
          </w:p>
        </w:tc>
        <w:tc>
          <w:tcPr>
            <w:tcW w:w="1558" w:type="dxa"/>
            <w:vAlign w:val="center"/>
          </w:tcPr>
          <w:p w14:paraId="27B66684"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color w:val="000000" w:themeColor="text1"/>
                <w:sz w:val="20"/>
                <w:szCs w:val="20"/>
              </w:rPr>
              <w:t>10 460 873</w:t>
            </w:r>
          </w:p>
        </w:tc>
        <w:tc>
          <w:tcPr>
            <w:tcW w:w="1418" w:type="dxa"/>
            <w:vAlign w:val="center"/>
          </w:tcPr>
          <w:p w14:paraId="1B878F20" w14:textId="77777777" w:rsidR="00EC52FF" w:rsidRPr="00763A63" w:rsidRDefault="00EC52FF" w:rsidP="00EC52FF">
            <w:pPr>
              <w:ind w:right="150"/>
              <w:jc w:val="center"/>
              <w:rPr>
                <w:rFonts w:ascii="Times New Roman" w:hAnsi="Times New Roman" w:cs="Times New Roman"/>
                <w:b/>
                <w:color w:val="000000"/>
                <w:sz w:val="20"/>
                <w:szCs w:val="20"/>
              </w:rPr>
            </w:pPr>
            <w:r w:rsidRPr="00763A63">
              <w:rPr>
                <w:rFonts w:ascii="Times New Roman" w:hAnsi="Times New Roman" w:cs="Times New Roman"/>
                <w:b/>
                <w:color w:val="000000"/>
                <w:sz w:val="20"/>
                <w:szCs w:val="20"/>
              </w:rPr>
              <w:t>21 486 293</w:t>
            </w:r>
          </w:p>
          <w:p w14:paraId="3A8A88CE" w14:textId="77777777" w:rsidR="00EC52FF" w:rsidRPr="00763A63" w:rsidRDefault="00EC52FF" w:rsidP="00EC52FF">
            <w:pPr>
              <w:tabs>
                <w:tab w:val="left" w:pos="450"/>
              </w:tabs>
              <w:ind w:right="150"/>
              <w:jc w:val="center"/>
              <w:rPr>
                <w:rFonts w:ascii="Times New Roman" w:hAnsi="Times New Roman" w:cs="Times New Roman"/>
                <w:b/>
                <w:sz w:val="20"/>
                <w:szCs w:val="20"/>
              </w:rPr>
            </w:pPr>
          </w:p>
        </w:tc>
        <w:tc>
          <w:tcPr>
            <w:tcW w:w="1467" w:type="dxa"/>
            <w:vAlign w:val="center"/>
          </w:tcPr>
          <w:p w14:paraId="6FAF19EE" w14:textId="77777777" w:rsidR="00EC52FF" w:rsidRPr="00763A63" w:rsidRDefault="00EC52FF" w:rsidP="00EC52FF">
            <w:pPr>
              <w:ind w:right="150"/>
              <w:jc w:val="center"/>
              <w:rPr>
                <w:rFonts w:ascii="Times New Roman" w:hAnsi="Times New Roman" w:cs="Times New Roman"/>
                <w:b/>
                <w:color w:val="000000"/>
                <w:sz w:val="20"/>
                <w:szCs w:val="20"/>
              </w:rPr>
            </w:pPr>
            <w:r w:rsidRPr="00763A63">
              <w:rPr>
                <w:rFonts w:ascii="Times New Roman" w:eastAsia="Times New Roman" w:hAnsi="Times New Roman" w:cs="Times New Roman"/>
                <w:bCs/>
                <w:color w:val="000000"/>
                <w:sz w:val="20"/>
                <w:szCs w:val="20"/>
                <w:lang w:eastAsia="lv-LV"/>
              </w:rPr>
              <w:t>6 540 365</w:t>
            </w:r>
          </w:p>
        </w:tc>
      </w:tr>
      <w:tr w:rsidR="00EC52FF" w:rsidRPr="00733338" w14:paraId="2D3C7F92" w14:textId="77777777" w:rsidTr="00733338">
        <w:trPr>
          <w:trHeight w:val="293"/>
        </w:trPr>
        <w:tc>
          <w:tcPr>
            <w:tcW w:w="2037" w:type="dxa"/>
            <w:vAlign w:val="center"/>
          </w:tcPr>
          <w:p w14:paraId="4EC6B38C" w14:textId="77777777" w:rsidR="00EC52FF" w:rsidRPr="00763A63" w:rsidRDefault="00EC52FF" w:rsidP="00585442">
            <w:pPr>
              <w:tabs>
                <w:tab w:val="left" w:pos="450"/>
              </w:tabs>
              <w:ind w:right="165"/>
              <w:rPr>
                <w:rFonts w:ascii="Times New Roman" w:hAnsi="Times New Roman" w:cs="Times New Roman"/>
                <w:sz w:val="20"/>
                <w:szCs w:val="20"/>
              </w:rPr>
            </w:pPr>
            <w:r w:rsidRPr="00763A63">
              <w:rPr>
                <w:rFonts w:ascii="Times New Roman" w:hAnsi="Times New Roman" w:cs="Times New Roman"/>
                <w:sz w:val="20"/>
                <w:szCs w:val="20"/>
              </w:rPr>
              <w:t>Ārstniecības iestāžu līmeņu reforma</w:t>
            </w:r>
          </w:p>
        </w:tc>
        <w:tc>
          <w:tcPr>
            <w:tcW w:w="1317" w:type="dxa"/>
            <w:vAlign w:val="center"/>
          </w:tcPr>
          <w:p w14:paraId="37E2D4BB" w14:textId="77777777" w:rsidR="00EC52FF" w:rsidRPr="00763A63" w:rsidRDefault="00EC52FF" w:rsidP="00EC52FF">
            <w:pPr>
              <w:tabs>
                <w:tab w:val="left" w:pos="450"/>
              </w:tabs>
              <w:jc w:val="center"/>
              <w:rPr>
                <w:rFonts w:ascii="Times New Roman" w:hAnsi="Times New Roman" w:cs="Times New Roman"/>
                <w:bCs/>
                <w:color w:val="000000"/>
                <w:sz w:val="20"/>
                <w:szCs w:val="20"/>
              </w:rPr>
            </w:pPr>
          </w:p>
        </w:tc>
        <w:tc>
          <w:tcPr>
            <w:tcW w:w="1467" w:type="dxa"/>
            <w:vAlign w:val="center"/>
          </w:tcPr>
          <w:p w14:paraId="1407DFBB" w14:textId="77777777" w:rsidR="00EC52FF" w:rsidRPr="00763A63" w:rsidRDefault="00EC52FF" w:rsidP="00EC52FF">
            <w:pPr>
              <w:tabs>
                <w:tab w:val="left" w:pos="450"/>
              </w:tabs>
              <w:ind w:right="150"/>
              <w:jc w:val="center"/>
              <w:rPr>
                <w:rFonts w:ascii="Times New Roman" w:hAnsi="Times New Roman" w:cs="Times New Roman"/>
                <w:color w:val="000000"/>
                <w:sz w:val="20"/>
                <w:szCs w:val="20"/>
              </w:rPr>
            </w:pPr>
          </w:p>
        </w:tc>
        <w:tc>
          <w:tcPr>
            <w:tcW w:w="1558" w:type="dxa"/>
            <w:vAlign w:val="center"/>
          </w:tcPr>
          <w:p w14:paraId="0D1EBB97" w14:textId="77777777" w:rsidR="00EC52FF" w:rsidRPr="00763A63" w:rsidRDefault="00EC52FF" w:rsidP="00EC52FF">
            <w:pPr>
              <w:tabs>
                <w:tab w:val="left" w:pos="450"/>
              </w:tabs>
              <w:ind w:right="150"/>
              <w:jc w:val="center"/>
              <w:rPr>
                <w:rFonts w:ascii="Times New Roman" w:hAnsi="Times New Roman" w:cs="Times New Roman"/>
                <w:color w:val="000000" w:themeColor="text1"/>
                <w:sz w:val="20"/>
                <w:szCs w:val="20"/>
              </w:rPr>
            </w:pPr>
            <w:r w:rsidRPr="00763A63">
              <w:rPr>
                <w:rFonts w:ascii="Times New Roman" w:hAnsi="Times New Roman" w:cs="Times New Roman"/>
                <w:color w:val="000000"/>
                <w:sz w:val="20"/>
                <w:szCs w:val="20"/>
              </w:rPr>
              <w:t>6 928 936</w:t>
            </w:r>
          </w:p>
        </w:tc>
        <w:tc>
          <w:tcPr>
            <w:tcW w:w="1418" w:type="dxa"/>
            <w:vAlign w:val="center"/>
          </w:tcPr>
          <w:p w14:paraId="6F0F3B3D"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b/>
                <w:color w:val="000000"/>
                <w:sz w:val="20"/>
                <w:szCs w:val="20"/>
              </w:rPr>
              <w:t>6 928 936</w:t>
            </w:r>
          </w:p>
        </w:tc>
        <w:tc>
          <w:tcPr>
            <w:tcW w:w="1467" w:type="dxa"/>
            <w:vAlign w:val="center"/>
          </w:tcPr>
          <w:p w14:paraId="36607385" w14:textId="77777777" w:rsidR="00EC52FF" w:rsidRPr="00763A63" w:rsidRDefault="00EC52FF" w:rsidP="00EC52FF">
            <w:pPr>
              <w:tabs>
                <w:tab w:val="left" w:pos="450"/>
              </w:tabs>
              <w:ind w:right="150"/>
              <w:jc w:val="center"/>
              <w:rPr>
                <w:rFonts w:ascii="Times New Roman" w:hAnsi="Times New Roman" w:cs="Times New Roman"/>
                <w:b/>
                <w:color w:val="000000"/>
                <w:sz w:val="20"/>
                <w:szCs w:val="20"/>
              </w:rPr>
            </w:pPr>
            <w:r w:rsidRPr="00763A63">
              <w:rPr>
                <w:rFonts w:ascii="Times New Roman" w:eastAsia="Times New Roman" w:hAnsi="Times New Roman" w:cs="Times New Roman"/>
                <w:bCs/>
                <w:color w:val="000000"/>
                <w:sz w:val="20"/>
                <w:szCs w:val="20"/>
                <w:lang w:eastAsia="lv-LV"/>
              </w:rPr>
              <w:t>9 240 094</w:t>
            </w:r>
          </w:p>
        </w:tc>
      </w:tr>
      <w:tr w:rsidR="00EC52FF" w:rsidRPr="00733338" w14:paraId="3F58C3AF" w14:textId="77777777" w:rsidTr="00733338">
        <w:trPr>
          <w:trHeight w:val="500"/>
        </w:trPr>
        <w:tc>
          <w:tcPr>
            <w:tcW w:w="2037" w:type="dxa"/>
            <w:vAlign w:val="center"/>
          </w:tcPr>
          <w:p w14:paraId="04F6DE1B" w14:textId="77777777" w:rsidR="00EC52FF" w:rsidRPr="00763A63" w:rsidRDefault="00EC52FF" w:rsidP="00585442">
            <w:pPr>
              <w:tabs>
                <w:tab w:val="left" w:pos="450"/>
              </w:tabs>
              <w:ind w:right="165"/>
              <w:rPr>
                <w:rFonts w:ascii="Times New Roman" w:hAnsi="Times New Roman" w:cs="Times New Roman"/>
                <w:sz w:val="20"/>
                <w:szCs w:val="20"/>
              </w:rPr>
            </w:pPr>
            <w:r w:rsidRPr="00763A63">
              <w:rPr>
                <w:rFonts w:ascii="Times New Roman" w:hAnsi="Times New Roman" w:cs="Times New Roman"/>
                <w:sz w:val="20"/>
                <w:szCs w:val="20"/>
              </w:rPr>
              <w:t>Rehabilitācijas pakalpojumu stratēģiskais iepirkums</w:t>
            </w:r>
          </w:p>
        </w:tc>
        <w:tc>
          <w:tcPr>
            <w:tcW w:w="1317" w:type="dxa"/>
            <w:vAlign w:val="center"/>
          </w:tcPr>
          <w:p w14:paraId="0DB37207" w14:textId="77777777" w:rsidR="00EC52FF" w:rsidRPr="00763A63" w:rsidRDefault="00EC52FF" w:rsidP="00EC52FF">
            <w:pPr>
              <w:tabs>
                <w:tab w:val="left" w:pos="450"/>
              </w:tabs>
              <w:jc w:val="center"/>
              <w:rPr>
                <w:rFonts w:ascii="Times New Roman" w:hAnsi="Times New Roman" w:cs="Times New Roman"/>
                <w:bCs/>
                <w:color w:val="000000"/>
                <w:sz w:val="20"/>
                <w:szCs w:val="20"/>
              </w:rPr>
            </w:pPr>
          </w:p>
        </w:tc>
        <w:tc>
          <w:tcPr>
            <w:tcW w:w="1467" w:type="dxa"/>
            <w:vAlign w:val="center"/>
          </w:tcPr>
          <w:p w14:paraId="382A1D35" w14:textId="77777777" w:rsidR="00EC52FF" w:rsidRPr="00763A63" w:rsidRDefault="00EC52FF" w:rsidP="00EC52FF">
            <w:pPr>
              <w:tabs>
                <w:tab w:val="left" w:pos="450"/>
              </w:tabs>
              <w:ind w:right="150"/>
              <w:jc w:val="center"/>
              <w:rPr>
                <w:rFonts w:ascii="Times New Roman" w:hAnsi="Times New Roman" w:cs="Times New Roman"/>
                <w:color w:val="000000"/>
                <w:sz w:val="20"/>
                <w:szCs w:val="20"/>
              </w:rPr>
            </w:pPr>
          </w:p>
        </w:tc>
        <w:tc>
          <w:tcPr>
            <w:tcW w:w="1558" w:type="dxa"/>
            <w:vAlign w:val="center"/>
          </w:tcPr>
          <w:p w14:paraId="42AF499A" w14:textId="77777777" w:rsidR="00EC52FF" w:rsidRPr="00763A63" w:rsidRDefault="00EC52FF" w:rsidP="00EC52FF">
            <w:pPr>
              <w:tabs>
                <w:tab w:val="left" w:pos="450"/>
              </w:tabs>
              <w:ind w:right="150"/>
              <w:jc w:val="center"/>
              <w:rPr>
                <w:rFonts w:ascii="Times New Roman" w:hAnsi="Times New Roman" w:cs="Times New Roman"/>
                <w:color w:val="000000"/>
                <w:sz w:val="20"/>
                <w:szCs w:val="20"/>
              </w:rPr>
            </w:pPr>
            <w:r w:rsidRPr="00763A63">
              <w:rPr>
                <w:rFonts w:ascii="Times New Roman" w:hAnsi="Times New Roman" w:cs="Times New Roman"/>
                <w:sz w:val="20"/>
                <w:szCs w:val="20"/>
              </w:rPr>
              <w:t>3 874 774</w:t>
            </w:r>
          </w:p>
        </w:tc>
        <w:tc>
          <w:tcPr>
            <w:tcW w:w="1418" w:type="dxa"/>
            <w:vAlign w:val="center"/>
          </w:tcPr>
          <w:p w14:paraId="59A7807F"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b/>
                <w:sz w:val="20"/>
                <w:szCs w:val="20"/>
              </w:rPr>
              <w:t>3 874 774</w:t>
            </w:r>
          </w:p>
        </w:tc>
        <w:tc>
          <w:tcPr>
            <w:tcW w:w="1467" w:type="dxa"/>
            <w:vAlign w:val="center"/>
          </w:tcPr>
          <w:p w14:paraId="09F96307"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eastAsia="Times New Roman" w:hAnsi="Times New Roman" w:cs="Times New Roman"/>
                <w:bCs/>
                <w:color w:val="000000"/>
                <w:sz w:val="20"/>
                <w:szCs w:val="20"/>
                <w:lang w:eastAsia="lv-LV"/>
              </w:rPr>
              <w:t>5 166 415</w:t>
            </w:r>
          </w:p>
        </w:tc>
      </w:tr>
      <w:tr w:rsidR="00EC52FF" w:rsidRPr="00733338" w14:paraId="498AE3D2" w14:textId="77777777" w:rsidTr="00733338">
        <w:trPr>
          <w:trHeight w:val="293"/>
        </w:trPr>
        <w:tc>
          <w:tcPr>
            <w:tcW w:w="2037" w:type="dxa"/>
            <w:vAlign w:val="center"/>
          </w:tcPr>
          <w:p w14:paraId="4B57D6A2" w14:textId="77777777" w:rsidR="00EC52FF" w:rsidRPr="00763A63" w:rsidRDefault="00EC52FF" w:rsidP="00585442">
            <w:pPr>
              <w:tabs>
                <w:tab w:val="left" w:pos="450"/>
              </w:tabs>
              <w:ind w:right="165"/>
              <w:rPr>
                <w:rFonts w:ascii="Times New Roman" w:hAnsi="Times New Roman" w:cs="Times New Roman"/>
                <w:sz w:val="20"/>
                <w:szCs w:val="20"/>
              </w:rPr>
            </w:pPr>
            <w:r w:rsidRPr="00763A63">
              <w:rPr>
                <w:rFonts w:ascii="Times New Roman" w:hAnsi="Times New Roman" w:cs="Times New Roman"/>
                <w:sz w:val="20"/>
                <w:szCs w:val="20"/>
              </w:rPr>
              <w:t>Psihiskās veselības aprūpes uzlabošana</w:t>
            </w:r>
          </w:p>
        </w:tc>
        <w:tc>
          <w:tcPr>
            <w:tcW w:w="1317" w:type="dxa"/>
            <w:vAlign w:val="center"/>
          </w:tcPr>
          <w:p w14:paraId="03D1D853" w14:textId="77777777" w:rsidR="00EC52FF" w:rsidRPr="00763A63" w:rsidRDefault="00EC52FF" w:rsidP="00EC52FF">
            <w:pPr>
              <w:tabs>
                <w:tab w:val="left" w:pos="450"/>
              </w:tabs>
              <w:jc w:val="center"/>
              <w:rPr>
                <w:rFonts w:ascii="Times New Roman" w:hAnsi="Times New Roman" w:cs="Times New Roman"/>
                <w:bCs/>
                <w:color w:val="000000"/>
                <w:sz w:val="20"/>
                <w:szCs w:val="20"/>
              </w:rPr>
            </w:pPr>
          </w:p>
        </w:tc>
        <w:tc>
          <w:tcPr>
            <w:tcW w:w="1467" w:type="dxa"/>
            <w:vAlign w:val="center"/>
          </w:tcPr>
          <w:p w14:paraId="2464A8F8" w14:textId="77777777" w:rsidR="00EC52FF" w:rsidRPr="00763A63" w:rsidRDefault="00EC52FF" w:rsidP="00EC52FF">
            <w:pPr>
              <w:tabs>
                <w:tab w:val="left" w:pos="450"/>
              </w:tabs>
              <w:ind w:right="150"/>
              <w:jc w:val="center"/>
              <w:rPr>
                <w:rFonts w:ascii="Times New Roman" w:hAnsi="Times New Roman" w:cs="Times New Roman"/>
                <w:color w:val="000000"/>
                <w:sz w:val="20"/>
                <w:szCs w:val="20"/>
              </w:rPr>
            </w:pPr>
          </w:p>
        </w:tc>
        <w:tc>
          <w:tcPr>
            <w:tcW w:w="1558" w:type="dxa"/>
            <w:vAlign w:val="center"/>
          </w:tcPr>
          <w:p w14:paraId="44B2EA24" w14:textId="77777777" w:rsidR="00EC52FF" w:rsidRPr="00763A63" w:rsidRDefault="00EC52FF" w:rsidP="00EC52FF">
            <w:pPr>
              <w:tabs>
                <w:tab w:val="left" w:pos="450"/>
              </w:tabs>
              <w:ind w:right="150"/>
              <w:jc w:val="center"/>
              <w:rPr>
                <w:rFonts w:ascii="Times New Roman" w:hAnsi="Times New Roman" w:cs="Times New Roman"/>
                <w:sz w:val="20"/>
                <w:szCs w:val="20"/>
              </w:rPr>
            </w:pPr>
            <w:r w:rsidRPr="00763A63">
              <w:rPr>
                <w:rFonts w:ascii="Times New Roman" w:hAnsi="Times New Roman" w:cs="Times New Roman"/>
                <w:sz w:val="20"/>
                <w:szCs w:val="20"/>
              </w:rPr>
              <w:t>6 308 906</w:t>
            </w:r>
          </w:p>
        </w:tc>
        <w:tc>
          <w:tcPr>
            <w:tcW w:w="1418" w:type="dxa"/>
            <w:vAlign w:val="center"/>
          </w:tcPr>
          <w:p w14:paraId="1ECD3BD3"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b/>
                <w:sz w:val="20"/>
                <w:szCs w:val="20"/>
              </w:rPr>
              <w:t>6 308 906</w:t>
            </w:r>
          </w:p>
        </w:tc>
        <w:tc>
          <w:tcPr>
            <w:tcW w:w="1467" w:type="dxa"/>
            <w:vAlign w:val="center"/>
          </w:tcPr>
          <w:p w14:paraId="427CD1D6"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eastAsia="Times New Roman" w:hAnsi="Times New Roman" w:cs="Times New Roman"/>
                <w:bCs/>
                <w:color w:val="000000"/>
                <w:sz w:val="20"/>
                <w:szCs w:val="20"/>
                <w:lang w:eastAsia="lv-LV"/>
              </w:rPr>
              <w:t>10 100 171</w:t>
            </w:r>
          </w:p>
        </w:tc>
      </w:tr>
      <w:tr w:rsidR="00EC52FF" w:rsidRPr="00733338" w14:paraId="647A1676" w14:textId="77777777" w:rsidTr="00733338">
        <w:trPr>
          <w:trHeight w:val="488"/>
        </w:trPr>
        <w:tc>
          <w:tcPr>
            <w:tcW w:w="2037" w:type="dxa"/>
            <w:vAlign w:val="center"/>
          </w:tcPr>
          <w:p w14:paraId="7052CA66" w14:textId="77777777" w:rsidR="00EC52FF" w:rsidRPr="00763A63" w:rsidRDefault="00EC52FF" w:rsidP="00585442">
            <w:pPr>
              <w:tabs>
                <w:tab w:val="left" w:pos="450"/>
              </w:tabs>
              <w:ind w:right="165"/>
              <w:rPr>
                <w:rFonts w:ascii="Times New Roman" w:hAnsi="Times New Roman" w:cs="Times New Roman"/>
                <w:sz w:val="20"/>
                <w:szCs w:val="20"/>
              </w:rPr>
            </w:pPr>
            <w:r w:rsidRPr="00763A63">
              <w:rPr>
                <w:rFonts w:ascii="Times New Roman" w:hAnsi="Times New Roman" w:cs="Times New Roman"/>
                <w:sz w:val="20"/>
                <w:szCs w:val="20"/>
              </w:rPr>
              <w:t>Vides uzlabošana un infrastruktūras efektivizēšana</w:t>
            </w:r>
          </w:p>
        </w:tc>
        <w:tc>
          <w:tcPr>
            <w:tcW w:w="1317" w:type="dxa"/>
            <w:vAlign w:val="center"/>
          </w:tcPr>
          <w:p w14:paraId="332BA676" w14:textId="77777777" w:rsidR="00EC52FF" w:rsidRPr="00763A63" w:rsidRDefault="00EC52FF" w:rsidP="00EC52FF">
            <w:pPr>
              <w:tabs>
                <w:tab w:val="left" w:pos="450"/>
              </w:tabs>
              <w:jc w:val="center"/>
              <w:rPr>
                <w:rFonts w:ascii="Times New Roman" w:hAnsi="Times New Roman" w:cs="Times New Roman"/>
                <w:bCs/>
                <w:color w:val="000000"/>
                <w:sz w:val="20"/>
                <w:szCs w:val="20"/>
              </w:rPr>
            </w:pPr>
          </w:p>
        </w:tc>
        <w:tc>
          <w:tcPr>
            <w:tcW w:w="1467" w:type="dxa"/>
            <w:vAlign w:val="center"/>
          </w:tcPr>
          <w:p w14:paraId="2C9DDD00" w14:textId="77777777" w:rsidR="00EC52FF" w:rsidRPr="00763A63" w:rsidRDefault="00EC52FF" w:rsidP="00EC52FF">
            <w:pPr>
              <w:tabs>
                <w:tab w:val="left" w:pos="450"/>
              </w:tabs>
              <w:ind w:right="150"/>
              <w:jc w:val="center"/>
              <w:rPr>
                <w:rFonts w:ascii="Times New Roman" w:hAnsi="Times New Roman" w:cs="Times New Roman"/>
                <w:color w:val="000000"/>
                <w:sz w:val="20"/>
                <w:szCs w:val="20"/>
              </w:rPr>
            </w:pPr>
          </w:p>
        </w:tc>
        <w:tc>
          <w:tcPr>
            <w:tcW w:w="1558" w:type="dxa"/>
            <w:vAlign w:val="center"/>
          </w:tcPr>
          <w:p w14:paraId="3F342490" w14:textId="77777777" w:rsidR="00EC52FF" w:rsidRPr="00763A63" w:rsidRDefault="00EC52FF" w:rsidP="00EC52FF">
            <w:pPr>
              <w:tabs>
                <w:tab w:val="left" w:pos="450"/>
              </w:tabs>
              <w:ind w:right="150"/>
              <w:jc w:val="center"/>
              <w:rPr>
                <w:rFonts w:ascii="Times New Roman" w:hAnsi="Times New Roman" w:cs="Times New Roman"/>
                <w:sz w:val="20"/>
                <w:szCs w:val="20"/>
              </w:rPr>
            </w:pPr>
            <w:r w:rsidRPr="00763A63">
              <w:rPr>
                <w:rFonts w:ascii="Times New Roman" w:hAnsi="Times New Roman" w:cs="Times New Roman"/>
                <w:sz w:val="20"/>
                <w:szCs w:val="20"/>
              </w:rPr>
              <w:t>7 959 529</w:t>
            </w:r>
          </w:p>
        </w:tc>
        <w:tc>
          <w:tcPr>
            <w:tcW w:w="1418" w:type="dxa"/>
            <w:vAlign w:val="center"/>
          </w:tcPr>
          <w:p w14:paraId="4E6B80CD"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b/>
                <w:sz w:val="20"/>
                <w:szCs w:val="20"/>
              </w:rPr>
              <w:t>7 959 529</w:t>
            </w:r>
          </w:p>
        </w:tc>
        <w:tc>
          <w:tcPr>
            <w:tcW w:w="1467" w:type="dxa"/>
          </w:tcPr>
          <w:p w14:paraId="0D39262C" w14:textId="77777777" w:rsidR="00EC52FF" w:rsidRPr="00763A63" w:rsidRDefault="00EC52FF" w:rsidP="00EC52FF">
            <w:pPr>
              <w:tabs>
                <w:tab w:val="left" w:pos="450"/>
              </w:tabs>
              <w:ind w:right="150"/>
              <w:jc w:val="center"/>
              <w:rPr>
                <w:rFonts w:ascii="Times New Roman" w:hAnsi="Times New Roman" w:cs="Times New Roman"/>
                <w:b/>
                <w:sz w:val="20"/>
                <w:szCs w:val="20"/>
              </w:rPr>
            </w:pPr>
          </w:p>
        </w:tc>
      </w:tr>
      <w:tr w:rsidR="00EC52FF" w:rsidRPr="00733338" w14:paraId="2C5CA92A" w14:textId="77777777" w:rsidTr="00733338">
        <w:trPr>
          <w:trHeight w:val="293"/>
        </w:trPr>
        <w:tc>
          <w:tcPr>
            <w:tcW w:w="2037" w:type="dxa"/>
            <w:vAlign w:val="center"/>
          </w:tcPr>
          <w:p w14:paraId="3ABC9AB6" w14:textId="77777777" w:rsidR="00EC52FF" w:rsidRPr="00763A63" w:rsidRDefault="00EC52FF" w:rsidP="00EC52FF">
            <w:pPr>
              <w:tabs>
                <w:tab w:val="left" w:pos="450"/>
              </w:tabs>
              <w:ind w:right="165"/>
              <w:jc w:val="right"/>
              <w:rPr>
                <w:rFonts w:ascii="Times New Roman" w:hAnsi="Times New Roman" w:cs="Times New Roman"/>
                <w:b/>
                <w:sz w:val="18"/>
                <w:szCs w:val="20"/>
              </w:rPr>
            </w:pPr>
            <w:r w:rsidRPr="00763A63">
              <w:rPr>
                <w:rFonts w:ascii="Times New Roman" w:hAnsi="Times New Roman" w:cs="Times New Roman"/>
                <w:b/>
                <w:sz w:val="20"/>
                <w:szCs w:val="20"/>
              </w:rPr>
              <w:t>Kopā:</w:t>
            </w:r>
          </w:p>
        </w:tc>
        <w:tc>
          <w:tcPr>
            <w:tcW w:w="1317" w:type="dxa"/>
            <w:vAlign w:val="center"/>
          </w:tcPr>
          <w:p w14:paraId="70881CE5" w14:textId="77777777" w:rsidR="00EC52FF" w:rsidRPr="00763A63" w:rsidRDefault="00EC52FF" w:rsidP="00EC52FF">
            <w:pPr>
              <w:tabs>
                <w:tab w:val="left" w:pos="450"/>
              </w:tabs>
              <w:jc w:val="center"/>
              <w:rPr>
                <w:rFonts w:ascii="Times New Roman" w:hAnsi="Times New Roman" w:cs="Times New Roman"/>
                <w:b/>
                <w:bCs/>
                <w:color w:val="000000"/>
                <w:sz w:val="20"/>
                <w:szCs w:val="20"/>
              </w:rPr>
            </w:pPr>
            <w:r w:rsidRPr="00763A63">
              <w:rPr>
                <w:rFonts w:ascii="Times New Roman" w:hAnsi="Times New Roman" w:cs="Times New Roman"/>
                <w:b/>
                <w:bCs/>
                <w:color w:val="000000"/>
                <w:sz w:val="20"/>
                <w:szCs w:val="20"/>
              </w:rPr>
              <w:t>34 324 450</w:t>
            </w:r>
          </w:p>
        </w:tc>
        <w:tc>
          <w:tcPr>
            <w:tcW w:w="1467" w:type="dxa"/>
            <w:vAlign w:val="center"/>
          </w:tcPr>
          <w:p w14:paraId="30C962CC" w14:textId="77777777" w:rsidR="00EC52FF" w:rsidRPr="00763A63" w:rsidRDefault="00EC52FF" w:rsidP="00EC52FF">
            <w:pPr>
              <w:tabs>
                <w:tab w:val="left" w:pos="450"/>
              </w:tabs>
              <w:ind w:right="150"/>
              <w:jc w:val="center"/>
              <w:rPr>
                <w:rFonts w:ascii="Times New Roman" w:hAnsi="Times New Roman" w:cs="Times New Roman"/>
                <w:b/>
                <w:color w:val="000000"/>
                <w:sz w:val="20"/>
                <w:szCs w:val="20"/>
              </w:rPr>
            </w:pPr>
            <w:r w:rsidRPr="00763A63">
              <w:rPr>
                <w:rFonts w:ascii="Times New Roman" w:hAnsi="Times New Roman" w:cs="Times New Roman"/>
                <w:b/>
                <w:bCs/>
                <w:color w:val="000000"/>
                <w:sz w:val="20"/>
                <w:szCs w:val="20"/>
              </w:rPr>
              <w:t>113 400 000</w:t>
            </w:r>
          </w:p>
        </w:tc>
        <w:tc>
          <w:tcPr>
            <w:tcW w:w="1558" w:type="dxa"/>
            <w:vAlign w:val="center"/>
          </w:tcPr>
          <w:p w14:paraId="38DFEB46" w14:textId="77777777" w:rsidR="00EC52FF" w:rsidRPr="00763A63" w:rsidRDefault="00EC52FF" w:rsidP="00EC52FF">
            <w:pPr>
              <w:tabs>
                <w:tab w:val="left" w:pos="450"/>
              </w:tabs>
              <w:ind w:right="150"/>
              <w:jc w:val="center"/>
              <w:rPr>
                <w:rFonts w:ascii="Times New Roman" w:hAnsi="Times New Roman" w:cs="Times New Roman"/>
                <w:b/>
                <w:sz w:val="20"/>
                <w:szCs w:val="20"/>
              </w:rPr>
            </w:pPr>
            <w:r w:rsidRPr="00763A63">
              <w:rPr>
                <w:rFonts w:ascii="Times New Roman" w:hAnsi="Times New Roman" w:cs="Times New Roman"/>
                <w:b/>
                <w:bCs/>
                <w:color w:val="000000"/>
                <w:sz w:val="20"/>
                <w:szCs w:val="20"/>
              </w:rPr>
              <w:t>154 205 000</w:t>
            </w:r>
          </w:p>
        </w:tc>
        <w:tc>
          <w:tcPr>
            <w:tcW w:w="1418" w:type="dxa"/>
            <w:vAlign w:val="center"/>
          </w:tcPr>
          <w:p w14:paraId="0151BAFE" w14:textId="77777777" w:rsidR="00EC52FF" w:rsidRPr="00763A63" w:rsidRDefault="00EC52FF" w:rsidP="00EC52FF">
            <w:pPr>
              <w:ind w:right="150"/>
              <w:jc w:val="center"/>
              <w:rPr>
                <w:rFonts w:ascii="Times New Roman" w:hAnsi="Times New Roman" w:cs="Times New Roman"/>
                <w:b/>
                <w:color w:val="000000"/>
                <w:sz w:val="20"/>
                <w:szCs w:val="20"/>
              </w:rPr>
            </w:pPr>
            <w:r w:rsidRPr="00763A63">
              <w:rPr>
                <w:rFonts w:ascii="Times New Roman" w:hAnsi="Times New Roman" w:cs="Times New Roman"/>
                <w:b/>
                <w:color w:val="000000" w:themeColor="text1"/>
                <w:sz w:val="20"/>
                <w:szCs w:val="20"/>
              </w:rPr>
              <w:t>301 929 450</w:t>
            </w:r>
          </w:p>
        </w:tc>
        <w:tc>
          <w:tcPr>
            <w:tcW w:w="1467" w:type="dxa"/>
          </w:tcPr>
          <w:p w14:paraId="377F5E97" w14:textId="77777777" w:rsidR="00EC52FF" w:rsidRPr="00763A63" w:rsidRDefault="00EC52FF" w:rsidP="00EC52FF">
            <w:pPr>
              <w:ind w:right="150"/>
              <w:jc w:val="center"/>
              <w:rPr>
                <w:rFonts w:ascii="Times New Roman" w:hAnsi="Times New Roman" w:cs="Times New Roman"/>
                <w:b/>
                <w:color w:val="000000" w:themeColor="text1"/>
                <w:sz w:val="20"/>
                <w:szCs w:val="20"/>
              </w:rPr>
            </w:pPr>
            <w:r w:rsidRPr="00763A63">
              <w:rPr>
                <w:rFonts w:ascii="Times New Roman" w:hAnsi="Times New Roman" w:cs="Times New Roman"/>
                <w:b/>
                <w:color w:val="000000" w:themeColor="text1"/>
                <w:sz w:val="20"/>
                <w:szCs w:val="20"/>
              </w:rPr>
              <w:t>144 000 000</w:t>
            </w:r>
          </w:p>
        </w:tc>
      </w:tr>
    </w:tbl>
    <w:p w14:paraId="4174656C" w14:textId="77777777" w:rsidR="005E683C" w:rsidRDefault="005E683C" w:rsidP="005E683C">
      <w:pPr>
        <w:spacing w:after="120" w:line="254" w:lineRule="auto"/>
        <w:ind w:firstLine="720"/>
        <w:jc w:val="both"/>
      </w:pPr>
    </w:p>
    <w:p w14:paraId="1ACCAC7E" w14:textId="7CD98FF3" w:rsidR="00EC52FF" w:rsidRDefault="00EC52FF" w:rsidP="005E683C">
      <w:pPr>
        <w:spacing w:after="120" w:line="254" w:lineRule="auto"/>
        <w:ind w:firstLine="720"/>
        <w:jc w:val="both"/>
        <w:rPr>
          <w:b/>
        </w:rPr>
      </w:pPr>
      <w:r>
        <w:t xml:space="preserve">Ņemot vērā piešķirtā finansējuma apjomu trīs gadu </w:t>
      </w:r>
      <w:r w:rsidRPr="00895502">
        <w:t xml:space="preserve">periodā </w:t>
      </w:r>
      <w:r w:rsidRPr="00895502">
        <w:rPr>
          <w:color w:val="000000"/>
        </w:rPr>
        <w:t xml:space="preserve">120,2 milj. </w:t>
      </w:r>
      <w:r w:rsidRPr="00895502">
        <w:rPr>
          <w:i/>
          <w:color w:val="000000"/>
        </w:rPr>
        <w:t>euro</w:t>
      </w:r>
      <w:r w:rsidRPr="00895502">
        <w:t>,</w:t>
      </w:r>
      <w:r>
        <w:t xml:space="preserve"> visaptverošākai analīzei pakļauta reforma – </w:t>
      </w:r>
      <w:r w:rsidRPr="00B95670">
        <w:rPr>
          <w:bCs/>
          <w:color w:val="000000"/>
        </w:rPr>
        <w:t xml:space="preserve">rindu mazināšana pie speciālistiem, uz </w:t>
      </w:r>
      <w:r w:rsidRPr="000F7629">
        <w:rPr>
          <w:bCs/>
          <w:color w:val="000000"/>
        </w:rPr>
        <w:t>diagnostiskajiem izmeklējumiem, dienas stacionārā</w:t>
      </w:r>
      <w:r w:rsidRPr="000F7629">
        <w:t xml:space="preserve"> un ambulatorajā rehabilitācijā</w:t>
      </w:r>
      <w:r>
        <w:t xml:space="preserve">. Detalizēta analīze veikta par trīs no visvairāk nodrošinātajiem </w:t>
      </w:r>
      <w:r w:rsidRPr="00850AD4">
        <w:t>sekundārās ambulatorās veselības aprūpes pakalpojumiem – datortomogrāfija, rentgenoloģija, oftalmoloģija.</w:t>
      </w:r>
      <w:r>
        <w:rPr>
          <w:b/>
        </w:rPr>
        <w:t xml:space="preserve"> </w:t>
      </w:r>
    </w:p>
    <w:p w14:paraId="39021F56" w14:textId="77777777" w:rsidR="00EC52FF" w:rsidRPr="00585442" w:rsidRDefault="00EC52FF" w:rsidP="005E683C">
      <w:pPr>
        <w:spacing w:after="120" w:line="254" w:lineRule="auto"/>
        <w:jc w:val="both"/>
      </w:pPr>
      <w:r w:rsidRPr="00585442">
        <w:rPr>
          <w:b/>
        </w:rPr>
        <w:t>Sekundārās ambulatorās veselības aprūpes pakalpojumu nodrošināšana</w:t>
      </w:r>
    </w:p>
    <w:p w14:paraId="508A895C" w14:textId="60554C6A" w:rsidR="005E683C" w:rsidRPr="005E683C" w:rsidRDefault="00EC52FF" w:rsidP="00083858">
      <w:pPr>
        <w:pStyle w:val="Caption"/>
        <w:spacing w:before="0" w:line="254" w:lineRule="auto"/>
        <w:ind w:firstLine="720"/>
        <w:jc w:val="both"/>
      </w:pPr>
      <w:r w:rsidRPr="000F7629">
        <w:t>Lai veicinātu pakalpojuma pieejamību, salīdzinot 20</w:t>
      </w:r>
      <w:r>
        <w:t>18</w:t>
      </w:r>
      <w:r w:rsidRPr="000F7629">
        <w:t xml:space="preserve">. gadu ar 2016. gadu, plānotais veicamais darbs sekundārās ambulatorās veselības aprūpes pakalpojumos </w:t>
      </w:r>
      <w:r>
        <w:t>tika palielināts</w:t>
      </w:r>
      <w:r w:rsidRPr="000F7629">
        <w:t xml:space="preserve"> par </w:t>
      </w:r>
      <w:r w:rsidRPr="00502867">
        <w:t>15</w:t>
      </w:r>
      <w:r w:rsidRPr="000F7629">
        <w:t xml:space="preserve">%, tomēr </w:t>
      </w:r>
      <w:r>
        <w:t>salīdzinot 2020. gadu ar 2019. gadu pakalpojumu skaits ir samazināts par 5%</w:t>
      </w:r>
      <w:r w:rsidRPr="000F7629">
        <w:t xml:space="preserve"> </w:t>
      </w:r>
      <w:r w:rsidRPr="002A416F">
        <w:t>(</w:t>
      </w:r>
      <w:r w:rsidR="005E683C">
        <w:fldChar w:fldCharType="begin"/>
      </w:r>
      <w:r w:rsidR="005E683C">
        <w:instrText xml:space="preserve"> REF _Ref47966349 \h </w:instrText>
      </w:r>
      <w:r w:rsidR="005E683C">
        <w:fldChar w:fldCharType="separate"/>
      </w:r>
      <w:r w:rsidR="00D96F20">
        <w:t xml:space="preserve">Attēls Nr. </w:t>
      </w:r>
      <w:r w:rsidR="00D96F20">
        <w:rPr>
          <w:noProof/>
        </w:rPr>
        <w:t>11</w:t>
      </w:r>
      <w:r w:rsidR="005E683C">
        <w:fldChar w:fldCharType="end"/>
      </w:r>
      <w:r w:rsidRPr="002A416F">
        <w:t>).</w:t>
      </w:r>
      <w:r>
        <w:t xml:space="preserve"> Neskatoties uz pakalpojumu skaita samazinājumu, plānotais finansējums ir </w:t>
      </w:r>
      <w:r>
        <w:lastRenderedPageBreak/>
        <w:t xml:space="preserve">palielināts. Salīdzinot 2020. gadu ar 2016. gadu, plānotais finansējuma apjoms </w:t>
      </w:r>
      <w:r w:rsidRPr="000F7629">
        <w:t>sekundārās ambulatorās veselības aprūpes</w:t>
      </w:r>
      <w:r>
        <w:t xml:space="preserve"> pakalpojumu nodroš</w:t>
      </w:r>
      <w:r w:rsidR="002A416F">
        <w:t>ināšanai ir palielināts par 59%.</w:t>
      </w:r>
      <w:bookmarkStart w:id="57" w:name="_Ref46304713"/>
      <w:bookmarkStart w:id="58" w:name="_Ref46995060"/>
      <w:bookmarkStart w:id="59" w:name="_Ref47086913"/>
    </w:p>
    <w:p w14:paraId="29F15533" w14:textId="5C3D37DA" w:rsidR="002A416F" w:rsidRDefault="002A416F" w:rsidP="002A416F">
      <w:pPr>
        <w:pStyle w:val="Caption"/>
      </w:pPr>
      <w:bookmarkStart w:id="60" w:name="_Ref47966349"/>
      <w:r>
        <w:t xml:space="preserve">Attēls Nr. </w:t>
      </w:r>
      <w:fldSimple w:instr=" SEQ Attēls_Nr. \* ARABIC ">
        <w:r w:rsidR="00D96F20">
          <w:rPr>
            <w:noProof/>
          </w:rPr>
          <w:t>11</w:t>
        </w:r>
      </w:fldSimple>
      <w:bookmarkEnd w:id="57"/>
      <w:bookmarkEnd w:id="58"/>
      <w:bookmarkEnd w:id="59"/>
      <w:bookmarkEnd w:id="60"/>
    </w:p>
    <w:p w14:paraId="2A5E5FAB" w14:textId="77777777" w:rsidR="00EC52FF" w:rsidRDefault="00EC52FF" w:rsidP="002A416F">
      <w:pPr>
        <w:spacing w:before="120" w:after="120" w:line="254" w:lineRule="auto"/>
        <w:jc w:val="center"/>
        <w:rPr>
          <w:b/>
        </w:rPr>
      </w:pPr>
      <w:r w:rsidRPr="000801DF">
        <w:rPr>
          <w:b/>
        </w:rPr>
        <w:t xml:space="preserve">Plānotais sekundārās ambulatorās veselības aprūpes pakalpojumu nodrošināšanas darbs  </w:t>
      </w:r>
      <w:r>
        <w:rPr>
          <w:b/>
        </w:rPr>
        <w:t xml:space="preserve">(skaits) un plānotais finanšu apjoms (milj. </w:t>
      </w:r>
      <w:r w:rsidRPr="00D800DE">
        <w:rPr>
          <w:b/>
          <w:i/>
        </w:rPr>
        <w:t>euro</w:t>
      </w:r>
      <w:r>
        <w:rPr>
          <w:b/>
        </w:rPr>
        <w:t>)</w:t>
      </w:r>
      <w:r>
        <w:rPr>
          <w:rStyle w:val="FootnoteReference"/>
          <w:b/>
        </w:rPr>
        <w:footnoteReference w:id="9"/>
      </w:r>
    </w:p>
    <w:p w14:paraId="0188EA4F" w14:textId="77777777" w:rsidR="00EC52FF" w:rsidRDefault="00EC52FF" w:rsidP="00C446A7">
      <w:pPr>
        <w:pStyle w:val="ListParagraph"/>
        <w:ind w:left="-567" w:firstLine="567"/>
        <w:jc w:val="both"/>
      </w:pPr>
      <w:r>
        <w:rPr>
          <w:noProof/>
          <w:lang w:eastAsia="lv-LV"/>
        </w:rPr>
        <w:drawing>
          <wp:inline distT="0" distB="0" distL="0" distR="0" wp14:anchorId="3E0C05BA" wp14:editId="75DD80E4">
            <wp:extent cx="5873750" cy="2955341"/>
            <wp:effectExtent l="0" t="0" r="12700" b="165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C917B3D" w14:textId="77777777" w:rsidR="00585442" w:rsidRDefault="00585442" w:rsidP="002A416F">
      <w:pPr>
        <w:pStyle w:val="ListParagraph"/>
        <w:spacing w:before="120" w:after="120" w:line="254" w:lineRule="auto"/>
        <w:ind w:left="0" w:firstLine="720"/>
        <w:contextualSpacing w:val="0"/>
        <w:jc w:val="both"/>
      </w:pPr>
    </w:p>
    <w:p w14:paraId="7431C93F" w14:textId="2FC8903D" w:rsidR="00261ED4" w:rsidRPr="00261ED4" w:rsidRDefault="00EC52FF" w:rsidP="00B86ECC">
      <w:pPr>
        <w:pStyle w:val="Caption"/>
        <w:ind w:firstLine="720"/>
        <w:jc w:val="both"/>
      </w:pPr>
      <w:r>
        <w:t xml:space="preserve">Palielinot pakalpojumu pieejamību, nodrošinot papildus finansējumu, būtu jāsamazinās cilvēku skaitam rindās uz pakalpojumiem. Lai arī 2017. un 2018. gadā bija vērojama rindas samazināšanās, pacientu skaits </w:t>
      </w:r>
      <w:r w:rsidRPr="00152CE3">
        <w:t>gaidīšanas rindā plānveida ārstniecībai ambulatorās iestādēs</w:t>
      </w:r>
      <w:r>
        <w:t xml:space="preserve"> salīdzinot 2019. gadu ar 2016. gadu ir pieaudzis par 17% </w:t>
      </w:r>
      <w:r w:rsidRPr="002A416F">
        <w:t>(</w:t>
      </w:r>
      <w:r w:rsidR="00B86ECC">
        <w:fldChar w:fldCharType="begin"/>
      </w:r>
      <w:r w:rsidR="00B86ECC">
        <w:instrText xml:space="preserve"> REF _Ref47084860 \h  \* MERGEFORMAT </w:instrText>
      </w:r>
      <w:r w:rsidR="00B86ECC">
        <w:fldChar w:fldCharType="separate"/>
      </w:r>
      <w:r w:rsidR="00D96F20">
        <w:t xml:space="preserve">Attēls Nr. </w:t>
      </w:r>
      <w:r w:rsidR="00D96F20">
        <w:rPr>
          <w:noProof/>
        </w:rPr>
        <w:t>12</w:t>
      </w:r>
      <w:r w:rsidR="00B86ECC">
        <w:fldChar w:fldCharType="end"/>
      </w:r>
      <w:r w:rsidRPr="002A416F">
        <w:t>).</w:t>
      </w:r>
      <w:bookmarkStart w:id="61" w:name="_Ref46304791"/>
      <w:bookmarkStart w:id="62" w:name="_Ref46310646"/>
    </w:p>
    <w:p w14:paraId="35026575" w14:textId="2B168F96" w:rsidR="002A416F" w:rsidRDefault="002A416F" w:rsidP="002A416F">
      <w:pPr>
        <w:pStyle w:val="Caption"/>
      </w:pPr>
      <w:bookmarkStart w:id="63" w:name="_Ref47084860"/>
      <w:r>
        <w:t xml:space="preserve">Attēls Nr. </w:t>
      </w:r>
      <w:fldSimple w:instr=" SEQ Attēls_Nr. \* ARABIC ">
        <w:r w:rsidR="00D96F20">
          <w:rPr>
            <w:noProof/>
          </w:rPr>
          <w:t>12</w:t>
        </w:r>
      </w:fldSimple>
      <w:bookmarkEnd w:id="61"/>
      <w:bookmarkEnd w:id="62"/>
      <w:bookmarkEnd w:id="63"/>
    </w:p>
    <w:p w14:paraId="37FAFED0" w14:textId="77777777" w:rsidR="00EC52FF" w:rsidRPr="007C5A4D" w:rsidRDefault="00EC52FF" w:rsidP="002A416F">
      <w:pPr>
        <w:spacing w:before="120" w:after="120" w:line="254" w:lineRule="auto"/>
        <w:jc w:val="center"/>
        <w:rPr>
          <w:b/>
        </w:rPr>
      </w:pPr>
      <w:r w:rsidRPr="007C5A4D">
        <w:rPr>
          <w:b/>
        </w:rPr>
        <w:t>Pacientu skaits gaidīšanas rindā plānveida ārstniecībai ambulatorās iestādēs</w:t>
      </w:r>
      <w:r>
        <w:rPr>
          <w:rStyle w:val="FootnoteReference"/>
          <w:b/>
        </w:rPr>
        <w:footnoteReference w:id="10"/>
      </w:r>
    </w:p>
    <w:p w14:paraId="330E4C14" w14:textId="77777777" w:rsidR="00EC52FF" w:rsidRDefault="00EC52FF" w:rsidP="00EC52FF">
      <w:pPr>
        <w:jc w:val="center"/>
      </w:pPr>
      <w:r>
        <w:rPr>
          <w:noProof/>
          <w:lang w:eastAsia="lv-LV"/>
        </w:rPr>
        <w:drawing>
          <wp:inline distT="0" distB="0" distL="0" distR="0" wp14:anchorId="534B74AC" wp14:editId="79613491">
            <wp:extent cx="5895493" cy="2552700"/>
            <wp:effectExtent l="0" t="0" r="1016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6895EED" w14:textId="77777777" w:rsidR="00EC52FF" w:rsidRDefault="00EC52FF" w:rsidP="00605952">
      <w:pPr>
        <w:spacing w:after="120" w:line="254" w:lineRule="auto"/>
        <w:ind w:firstLine="720"/>
        <w:jc w:val="both"/>
        <w:rPr>
          <w:b/>
        </w:rPr>
      </w:pPr>
      <w:r>
        <w:lastRenderedPageBreak/>
        <w:t xml:space="preserve">Ņemot vērā nodrošināto veselības aprūpes pakalpojumu apjomu, detalizēta analīze veikta par trīs no visvairāk nodrošinātajiem </w:t>
      </w:r>
      <w:r w:rsidRPr="00850AD4">
        <w:t>sekundārās ambulatorās veselības aprūpes pakalpojumiem – datortomogrāfija, rentgenoloģija, oftalmoloģija.</w:t>
      </w:r>
      <w:r>
        <w:rPr>
          <w:b/>
        </w:rPr>
        <w:t xml:space="preserve"> </w:t>
      </w:r>
    </w:p>
    <w:p w14:paraId="1F0B84C3" w14:textId="77777777" w:rsidR="00585442" w:rsidRDefault="00EC52FF" w:rsidP="00605952">
      <w:pPr>
        <w:spacing w:after="120" w:line="254" w:lineRule="auto"/>
        <w:ind w:firstLine="720"/>
        <w:jc w:val="both"/>
        <w:rPr>
          <w:b/>
          <w:i/>
        </w:rPr>
      </w:pPr>
      <w:r>
        <w:rPr>
          <w:b/>
          <w:i/>
        </w:rPr>
        <w:t xml:space="preserve">Datortomogrāfija </w:t>
      </w:r>
    </w:p>
    <w:p w14:paraId="17F0FE71" w14:textId="37660E80" w:rsidR="00261ED4" w:rsidRDefault="00EC52FF" w:rsidP="00605952">
      <w:pPr>
        <w:pStyle w:val="Caption"/>
        <w:spacing w:before="0" w:line="254" w:lineRule="auto"/>
        <w:ind w:firstLine="720"/>
        <w:jc w:val="both"/>
      </w:pPr>
      <w:r w:rsidRPr="00A71E72">
        <w:t>L</w:t>
      </w:r>
      <w:r>
        <w:t>aika periodā no 2016.-2020.</w:t>
      </w:r>
      <w:r w:rsidR="00050F68">
        <w:t xml:space="preserve"> </w:t>
      </w:r>
      <w:r w:rsidRPr="00A71E72">
        <w:t xml:space="preserve">gadam iedzīvotāju skaits </w:t>
      </w:r>
      <w:r>
        <w:t xml:space="preserve">valstī </w:t>
      </w:r>
      <w:r w:rsidRPr="00A71E72">
        <w:t>ir samazinājies</w:t>
      </w:r>
      <w:r>
        <w:t>, 2020. gadā ir par gandrīz 61 000 mazāk iedzīvotāju nekā 2016. gadā.</w:t>
      </w:r>
      <w:r w:rsidRPr="00A71E72">
        <w:t xml:space="preserve"> Novērojams, ka, plānojot datortomogrāfijas izmeklējumu skaitu, netiek ņemtas vērtā iedzīvotāju skaita izmaiņas. </w:t>
      </w:r>
      <w:r>
        <w:t xml:space="preserve"> Apstiprinot līgumus ar pakalpojuma sniedzējiem, precizētais izmeklējumu skaits pieaug (būtiski tas redzams 2017. un 2018.</w:t>
      </w:r>
      <w:r w:rsidR="00050F68">
        <w:t xml:space="preserve"> </w:t>
      </w:r>
      <w:r>
        <w:t>gadā, bet vienlaicīgi tas veicina pakalpojumu pieejamību). Faktiskais izmeklējumu skaits nesasniedz plānoto izmeklējumu skaitu, turklāt 2018.gadā tas ir pat mazāks par pirmo plānoto izmeklējumu skaitu (2017.gada decembra beigas). Neskatoties uz to, ka 2020. gadā plānotais izmeklējumu skaits ir samazinājies, kas atbilstu arī iedzīvotāju skaita samazinājumam, tas ir par 5% lielāks nekā 2019.</w:t>
      </w:r>
      <w:r w:rsidR="00050F68">
        <w:t xml:space="preserve"> </w:t>
      </w:r>
      <w:r>
        <w:t xml:space="preserve">gada faktiski veiktais izmeklējumu skaits. Turklāt 2019. gada izpilde ir mazāka par 2018. gada </w:t>
      </w:r>
      <w:r w:rsidRPr="002A416F">
        <w:t>izpildi (</w:t>
      </w:r>
      <w:r w:rsidR="00B86ECC">
        <w:fldChar w:fldCharType="begin"/>
      </w:r>
      <w:r w:rsidR="00B86ECC">
        <w:instrText xml:space="preserve"> REF _Ref47085004 \h </w:instrText>
      </w:r>
      <w:r w:rsidR="00B86ECC">
        <w:fldChar w:fldCharType="separate"/>
      </w:r>
      <w:r w:rsidR="00D96F20">
        <w:t xml:space="preserve">Attēls Nr. </w:t>
      </w:r>
      <w:r w:rsidR="00D96F20">
        <w:rPr>
          <w:noProof/>
        </w:rPr>
        <w:t>13</w:t>
      </w:r>
      <w:r w:rsidR="00B86ECC">
        <w:fldChar w:fldCharType="end"/>
      </w:r>
      <w:r w:rsidRPr="002A416F">
        <w:t>).</w:t>
      </w:r>
      <w:r>
        <w:t xml:space="preserve">   </w:t>
      </w:r>
      <w:bookmarkStart w:id="64" w:name="_Ref46304925"/>
      <w:bookmarkStart w:id="65" w:name="_Ref46310719"/>
    </w:p>
    <w:p w14:paraId="135DE11D" w14:textId="009EB514" w:rsidR="002A416F" w:rsidRDefault="002A416F" w:rsidP="002A416F">
      <w:pPr>
        <w:pStyle w:val="Caption"/>
      </w:pPr>
      <w:bookmarkStart w:id="66" w:name="_Ref47085004"/>
      <w:r>
        <w:t xml:space="preserve">Attēls Nr. </w:t>
      </w:r>
      <w:fldSimple w:instr=" SEQ Attēls_Nr. \* ARABIC ">
        <w:r w:rsidR="00D96F20">
          <w:rPr>
            <w:noProof/>
          </w:rPr>
          <w:t>13</w:t>
        </w:r>
      </w:fldSimple>
      <w:bookmarkEnd w:id="64"/>
      <w:bookmarkEnd w:id="65"/>
      <w:bookmarkEnd w:id="66"/>
    </w:p>
    <w:p w14:paraId="1391C185" w14:textId="24A704A2" w:rsidR="00EC52FF" w:rsidRDefault="00EC52FF" w:rsidP="002A416F">
      <w:pPr>
        <w:spacing w:before="120" w:after="120" w:line="254" w:lineRule="auto"/>
        <w:jc w:val="center"/>
        <w:rPr>
          <w:b/>
        </w:rPr>
      </w:pPr>
      <w:r w:rsidRPr="003459A8">
        <w:rPr>
          <w:b/>
        </w:rPr>
        <w:t xml:space="preserve">Iedzīvotāju skaits pret plānoto un </w:t>
      </w:r>
      <w:r>
        <w:rPr>
          <w:b/>
        </w:rPr>
        <w:t>faktiski veikto</w:t>
      </w:r>
      <w:r w:rsidRPr="003459A8">
        <w:rPr>
          <w:b/>
        </w:rPr>
        <w:t xml:space="preserve"> datortomogrāfiju skaitu</w:t>
      </w:r>
      <w:r>
        <w:rPr>
          <w:b/>
        </w:rPr>
        <w:t xml:space="preserve"> 2016.</w:t>
      </w:r>
      <w:r w:rsidR="002A416F">
        <w:rPr>
          <w:b/>
        </w:rPr>
        <w:t> – </w:t>
      </w:r>
      <w:r>
        <w:rPr>
          <w:b/>
        </w:rPr>
        <w:t>2020.</w:t>
      </w:r>
      <w:r w:rsidR="00050F68">
        <w:rPr>
          <w:b/>
        </w:rPr>
        <w:t xml:space="preserve"> </w:t>
      </w:r>
      <w:r>
        <w:rPr>
          <w:b/>
        </w:rPr>
        <w:t>gads</w:t>
      </w:r>
      <w:r w:rsidRPr="003459A8">
        <w:rPr>
          <w:b/>
        </w:rPr>
        <w:t xml:space="preserve"> (kopā valstī)</w:t>
      </w:r>
    </w:p>
    <w:p w14:paraId="59B9D6B1" w14:textId="77777777" w:rsidR="00EC52FF" w:rsidRDefault="00EC52FF" w:rsidP="00EC52FF">
      <w:pPr>
        <w:ind w:left="142"/>
        <w:jc w:val="center"/>
        <w:rPr>
          <w:b/>
        </w:rPr>
      </w:pPr>
      <w:r>
        <w:rPr>
          <w:noProof/>
          <w:lang w:eastAsia="lv-LV"/>
        </w:rPr>
        <w:drawing>
          <wp:inline distT="0" distB="0" distL="0" distR="0" wp14:anchorId="5E3E8DBB" wp14:editId="6DBA3CC0">
            <wp:extent cx="5676900" cy="325755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BCE21CE" w14:textId="77777777" w:rsidR="00605952" w:rsidRDefault="00605952" w:rsidP="00B86ECC">
      <w:pPr>
        <w:pStyle w:val="ListParagraph"/>
        <w:spacing w:after="120"/>
        <w:ind w:left="0" w:firstLine="709"/>
        <w:contextualSpacing w:val="0"/>
        <w:jc w:val="both"/>
      </w:pPr>
    </w:p>
    <w:p w14:paraId="496E3A2A" w14:textId="56A6EB90" w:rsidR="00B86ECC" w:rsidRDefault="00EC52FF" w:rsidP="00B86ECC">
      <w:pPr>
        <w:pStyle w:val="ListParagraph"/>
        <w:spacing w:after="120"/>
        <w:ind w:left="0" w:firstLine="709"/>
        <w:contextualSpacing w:val="0"/>
        <w:jc w:val="both"/>
      </w:pPr>
      <w:r>
        <w:t>Finansējums pēc līgumu slēgšanas ar pakalpojuma sniedzējiem</w:t>
      </w:r>
      <w:r w:rsidRPr="004A768A">
        <w:t xml:space="preserve"> laika periodā no 2017</w:t>
      </w:r>
      <w:r>
        <w:t>.</w:t>
      </w:r>
      <w:r w:rsidRPr="004A768A">
        <w:t>-20</w:t>
      </w:r>
      <w:r>
        <w:t>20</w:t>
      </w:r>
      <w:r w:rsidRPr="004A768A">
        <w:t xml:space="preserve">. </w:t>
      </w:r>
      <w:r>
        <w:t xml:space="preserve">gadam ir audzis, lai arī faktiski veikto pakalpojumu skaits ir samazinājies. Faktiski izpildītās līguma summas pārsniedz plānotās, lai arī novērojams, ka pakalpojuma ietvaros veiktais izmeklējumu skaits ir </w:t>
      </w:r>
      <w:r w:rsidRPr="002A416F">
        <w:t>samazinājies (</w:t>
      </w:r>
      <w:r w:rsidR="00B86ECC">
        <w:fldChar w:fldCharType="begin"/>
      </w:r>
      <w:r w:rsidR="00B86ECC">
        <w:instrText xml:space="preserve"> REF _Ref47085033 \h </w:instrText>
      </w:r>
      <w:r w:rsidR="00B86ECC">
        <w:fldChar w:fldCharType="separate"/>
      </w:r>
      <w:r w:rsidR="00D96F20">
        <w:t xml:space="preserve">Attēls Nr. </w:t>
      </w:r>
      <w:r w:rsidR="00D96F20">
        <w:rPr>
          <w:noProof/>
        </w:rPr>
        <w:t>14</w:t>
      </w:r>
      <w:r w:rsidR="00B86ECC">
        <w:fldChar w:fldCharType="end"/>
      </w:r>
      <w:r w:rsidR="00B86ECC">
        <w:t>).</w:t>
      </w:r>
    </w:p>
    <w:p w14:paraId="24BA2C62" w14:textId="77777777" w:rsidR="00972659" w:rsidRPr="00972659" w:rsidRDefault="0083148E" w:rsidP="00203DFE">
      <w:pPr>
        <w:pStyle w:val="ListParagraph"/>
        <w:spacing w:after="120"/>
        <w:ind w:left="0" w:firstLine="709"/>
        <w:contextualSpacing w:val="0"/>
        <w:jc w:val="both"/>
      </w:pPr>
      <w:r>
        <w:t xml:space="preserve"> </w:t>
      </w:r>
      <w:bookmarkStart w:id="67" w:name="_Ref46304977"/>
    </w:p>
    <w:p w14:paraId="15457E40" w14:textId="77777777" w:rsidR="00B86ECC" w:rsidRDefault="00B86ECC" w:rsidP="002A416F">
      <w:pPr>
        <w:pStyle w:val="Caption"/>
      </w:pPr>
      <w:bookmarkStart w:id="68" w:name="_Ref46995094"/>
    </w:p>
    <w:p w14:paraId="1C4E0B58" w14:textId="49AADA0F" w:rsidR="00F664D8" w:rsidRDefault="00F664D8" w:rsidP="00F664D8">
      <w:pPr>
        <w:rPr>
          <w:iCs/>
          <w:szCs w:val="18"/>
        </w:rPr>
      </w:pPr>
    </w:p>
    <w:p w14:paraId="3A7C48D1" w14:textId="77777777" w:rsidR="00605952" w:rsidRPr="00F664D8" w:rsidRDefault="00605952" w:rsidP="00F664D8"/>
    <w:p w14:paraId="7915F386" w14:textId="57B14CB4" w:rsidR="002A416F" w:rsidRDefault="002A416F" w:rsidP="002A416F">
      <w:pPr>
        <w:pStyle w:val="Caption"/>
      </w:pPr>
      <w:bookmarkStart w:id="69" w:name="_Ref47085033"/>
      <w:r>
        <w:lastRenderedPageBreak/>
        <w:t xml:space="preserve">Attēls Nr. </w:t>
      </w:r>
      <w:fldSimple w:instr=" SEQ Attēls_Nr. \* ARABIC ">
        <w:r w:rsidR="00D96F20">
          <w:rPr>
            <w:noProof/>
          </w:rPr>
          <w:t>14</w:t>
        </w:r>
      </w:fldSimple>
      <w:bookmarkEnd w:id="67"/>
      <w:bookmarkEnd w:id="68"/>
      <w:bookmarkEnd w:id="69"/>
    </w:p>
    <w:p w14:paraId="5A2C6399" w14:textId="77777777" w:rsidR="00EC52FF" w:rsidRDefault="00EC52FF" w:rsidP="002A416F">
      <w:pPr>
        <w:spacing w:before="120" w:after="120" w:line="254" w:lineRule="auto"/>
        <w:ind w:firstLine="284"/>
        <w:jc w:val="center"/>
        <w:rPr>
          <w:b/>
        </w:rPr>
      </w:pPr>
      <w:r w:rsidRPr="004A768A">
        <w:rPr>
          <w:b/>
        </w:rPr>
        <w:t xml:space="preserve">Plānotās, precizētas un faktiskās līgumu summas NVD ar </w:t>
      </w:r>
      <w:r>
        <w:rPr>
          <w:b/>
        </w:rPr>
        <w:t>pakalpojuma sniedzējiem datortomogrāfijai (kopā valstī)</w:t>
      </w:r>
    </w:p>
    <w:p w14:paraId="73F5D19A" w14:textId="77777777" w:rsidR="00EC52FF" w:rsidRPr="003459A8" w:rsidRDefault="00EC52FF" w:rsidP="00EC52FF">
      <w:pPr>
        <w:tabs>
          <w:tab w:val="left" w:pos="0"/>
        </w:tabs>
        <w:jc w:val="center"/>
        <w:rPr>
          <w:b/>
        </w:rPr>
      </w:pPr>
      <w:r>
        <w:rPr>
          <w:noProof/>
          <w:lang w:eastAsia="lv-LV"/>
        </w:rPr>
        <w:drawing>
          <wp:inline distT="0" distB="0" distL="0" distR="0" wp14:anchorId="6E470814" wp14:editId="4F0649FF">
            <wp:extent cx="5939790" cy="2728569"/>
            <wp:effectExtent l="0" t="0" r="3810" b="1524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876E5CD" w14:textId="77777777" w:rsidR="00EC52FF" w:rsidRDefault="00EC52FF" w:rsidP="00203DFE">
      <w:pPr>
        <w:spacing w:after="120"/>
        <w:ind w:firstLine="720"/>
        <w:jc w:val="both"/>
      </w:pPr>
      <w:r>
        <w:t>Līdzīgas korelācijas par plānoto un faktiski veikto izmeklējumu skaitu ir novērojamas pa reģioniem. Reģionālajā plānojumā netiek ņemta vērā iedzīvotāju skaita samazināšanās, kā arī iepriekšējā gada faktiski veikto izmeklējumu skaits (ņemts vērā tikai atsevišķos gadījumos).</w:t>
      </w:r>
    </w:p>
    <w:p w14:paraId="445AAFD5" w14:textId="55149DEA" w:rsidR="002A416F" w:rsidRDefault="002A416F" w:rsidP="002A416F">
      <w:pPr>
        <w:pStyle w:val="Caption"/>
      </w:pPr>
      <w:bookmarkStart w:id="70" w:name="_Ref46305028"/>
      <w:r>
        <w:t xml:space="preserve">Attēls Nr. </w:t>
      </w:r>
      <w:fldSimple w:instr=" SEQ Attēls_Nr. \* ARABIC ">
        <w:r w:rsidR="00D96F20">
          <w:rPr>
            <w:noProof/>
          </w:rPr>
          <w:t>15</w:t>
        </w:r>
      </w:fldSimple>
      <w:bookmarkEnd w:id="70"/>
    </w:p>
    <w:p w14:paraId="6618475B" w14:textId="77777777" w:rsidR="00EC52FF" w:rsidRDefault="00EC52FF" w:rsidP="002A416F">
      <w:pPr>
        <w:pStyle w:val="ListParagraph"/>
        <w:spacing w:before="120" w:after="120" w:line="254" w:lineRule="auto"/>
        <w:ind w:left="0"/>
        <w:jc w:val="center"/>
      </w:pPr>
      <w:r w:rsidRPr="007C5A4D">
        <w:rPr>
          <w:b/>
        </w:rPr>
        <w:t>Pacientu skaits gaidīšanas rindā</w:t>
      </w:r>
      <w:r>
        <w:rPr>
          <w:b/>
        </w:rPr>
        <w:t xml:space="preserve"> uz datortomogrāfijas pakalpojumu</w:t>
      </w:r>
    </w:p>
    <w:p w14:paraId="4C766B1D" w14:textId="77777777" w:rsidR="00EC52FF" w:rsidRDefault="00EC52FF" w:rsidP="002A416F">
      <w:pPr>
        <w:spacing w:before="120" w:after="120" w:line="254" w:lineRule="auto"/>
      </w:pPr>
      <w:r>
        <w:rPr>
          <w:noProof/>
          <w:lang w:eastAsia="lv-LV"/>
        </w:rPr>
        <w:drawing>
          <wp:inline distT="0" distB="0" distL="0" distR="0" wp14:anchorId="49B8AEEA" wp14:editId="3636E212">
            <wp:extent cx="5888355" cy="2165299"/>
            <wp:effectExtent l="0" t="0" r="17145" b="698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5F81771" w14:textId="330DB7BA" w:rsidR="00EC52FF" w:rsidRPr="00647F08" w:rsidRDefault="00EC52FF" w:rsidP="00203DFE">
      <w:pPr>
        <w:pStyle w:val="ListParagraph"/>
        <w:spacing w:after="120"/>
        <w:ind w:left="0" w:firstLine="720"/>
        <w:contextualSpacing w:val="0"/>
        <w:jc w:val="both"/>
      </w:pPr>
      <w:r>
        <w:t>P</w:t>
      </w:r>
      <w:r w:rsidRPr="00C338CA">
        <w:t>a</w:t>
      </w:r>
      <w:r>
        <w:t>kalpojuma nodrošināšanas skaits</w:t>
      </w:r>
      <w:r w:rsidRPr="00C338CA">
        <w:t xml:space="preserve"> un finansējuma palielinājums </w:t>
      </w:r>
      <w:r>
        <w:t>datortomogrāfijai ir sa</w:t>
      </w:r>
      <w:r w:rsidRPr="00C338CA">
        <w:t>mazinājis gaidīšan</w:t>
      </w:r>
      <w:r>
        <w:t>as rindā esošo pacientu skaitu līdz 2018. gadam, savukārt sākot ar 2019. gadu tas atkal pieaug, 2020.</w:t>
      </w:r>
      <w:r w:rsidR="00050F68">
        <w:t xml:space="preserve"> </w:t>
      </w:r>
      <w:r>
        <w:t>gadā sasniedzot 2016. gada cilvēku skaitu gaidīšanas rind</w:t>
      </w:r>
      <w:r w:rsidRPr="002A416F">
        <w:t>ā (</w:t>
      </w:r>
      <w:r w:rsidR="002A416F" w:rsidRPr="002A416F">
        <w:fldChar w:fldCharType="begin"/>
      </w:r>
      <w:r w:rsidR="002A416F" w:rsidRPr="002A416F">
        <w:instrText xml:space="preserve"> REF _Ref46305028 \h </w:instrText>
      </w:r>
      <w:r w:rsidR="002A416F">
        <w:instrText xml:space="preserve"> \* MERGEFORMAT </w:instrText>
      </w:r>
      <w:r w:rsidR="002A416F" w:rsidRPr="002A416F">
        <w:fldChar w:fldCharType="separate"/>
      </w:r>
      <w:r w:rsidR="00D96F20">
        <w:t xml:space="preserve">Attēls Nr. </w:t>
      </w:r>
      <w:r w:rsidR="00D96F20">
        <w:rPr>
          <w:noProof/>
        </w:rPr>
        <w:t>15</w:t>
      </w:r>
      <w:r w:rsidR="002A416F" w:rsidRPr="002A416F">
        <w:fldChar w:fldCharType="end"/>
      </w:r>
      <w:r w:rsidRPr="002A416F">
        <w:t>).</w:t>
      </w:r>
      <w:r>
        <w:t xml:space="preserve"> </w:t>
      </w:r>
    </w:p>
    <w:p w14:paraId="49A83712" w14:textId="77777777" w:rsidR="00EC52FF" w:rsidRPr="00050A27" w:rsidRDefault="00EC52FF" w:rsidP="00203DFE">
      <w:pPr>
        <w:spacing w:after="120"/>
        <w:ind w:firstLine="720"/>
        <w:jc w:val="both"/>
        <w:rPr>
          <w:b/>
          <w:i/>
        </w:rPr>
      </w:pPr>
      <w:r w:rsidRPr="00050A27">
        <w:rPr>
          <w:b/>
          <w:i/>
        </w:rPr>
        <w:t>Rentgenoloģija</w:t>
      </w:r>
    </w:p>
    <w:p w14:paraId="55559277" w14:textId="0C2FCE33" w:rsidR="00203DFE" w:rsidRDefault="00EC52FF" w:rsidP="00B86ECC">
      <w:pPr>
        <w:spacing w:after="120"/>
        <w:ind w:firstLine="720"/>
        <w:jc w:val="both"/>
      </w:pPr>
      <w:r>
        <w:t xml:space="preserve">Apstiprinot līgumus ar pakalpojuma sniedzējiem, precizētais izmeklējumu skaits rentgenoloģijas pakalpojumam pieaug. 2016. gadā un atkārtoti 2018. gadā faktiskais izmeklējumu skaits nesasniedz plānoto izmeklējumu skaitu, turklāt 2018. gadā tas ir pat mazāks par pirmo plānoto izmeklējumu skaitu (2017. gada decembra </w:t>
      </w:r>
      <w:r w:rsidRPr="00CF206A">
        <w:t>beigas) (</w:t>
      </w:r>
      <w:r w:rsidR="00B86ECC">
        <w:fldChar w:fldCharType="begin"/>
      </w:r>
      <w:r w:rsidR="00B86ECC">
        <w:instrText xml:space="preserve"> REF _Ref47085067 \h </w:instrText>
      </w:r>
      <w:r w:rsidR="00B86ECC">
        <w:fldChar w:fldCharType="separate"/>
      </w:r>
      <w:r w:rsidR="00D96F20">
        <w:t xml:space="preserve">Attēls Nr. </w:t>
      </w:r>
      <w:r w:rsidR="00D96F20">
        <w:rPr>
          <w:noProof/>
        </w:rPr>
        <w:t>16</w:t>
      </w:r>
      <w:r w:rsidR="00B86ECC">
        <w:fldChar w:fldCharType="end"/>
      </w:r>
      <w:r w:rsidRPr="00CF206A">
        <w:t>).</w:t>
      </w:r>
      <w:r>
        <w:t xml:space="preserve"> Neatkarīgi </w:t>
      </w:r>
      <w:r>
        <w:lastRenderedPageBreak/>
        <w:t>no pakalpojuma faktiskā izmeklējumu skaita, kā arī plānoto izmeklējuma skaita samazinājuma, finansējums rentgenoloģijai laika periodā no 2016.-2020. gadam ir būtiski pieaudzis. Turklāt faktiskās līguma summas nav bijušas izpildītas laika periodā no 2017.-2019. gadam (</w:t>
      </w:r>
      <w:r w:rsidR="00CF206A" w:rsidRPr="00CF206A">
        <w:fldChar w:fldCharType="begin"/>
      </w:r>
      <w:r w:rsidR="00CF206A" w:rsidRPr="00CF206A">
        <w:instrText xml:space="preserve"> REF _Ref46305258 \h </w:instrText>
      </w:r>
      <w:r w:rsidR="00CF206A">
        <w:instrText xml:space="preserve"> \* MERGEFORMAT </w:instrText>
      </w:r>
      <w:r w:rsidR="00CF206A" w:rsidRPr="00CF206A">
        <w:fldChar w:fldCharType="separate"/>
      </w:r>
      <w:r w:rsidR="00D96F20">
        <w:t xml:space="preserve">Attēls Nr. </w:t>
      </w:r>
      <w:r w:rsidR="00D96F20">
        <w:rPr>
          <w:noProof/>
        </w:rPr>
        <w:t>17</w:t>
      </w:r>
      <w:r w:rsidR="00CF206A" w:rsidRPr="00CF206A">
        <w:fldChar w:fldCharType="end"/>
      </w:r>
      <w:r w:rsidRPr="00CF206A">
        <w:t>).</w:t>
      </w:r>
      <w:r w:rsidR="00CF206A">
        <w:t xml:space="preserve"> </w:t>
      </w:r>
      <w:bookmarkStart w:id="71" w:name="_Ref46305186"/>
      <w:bookmarkStart w:id="72" w:name="_Ref46310750"/>
    </w:p>
    <w:p w14:paraId="4EE0D2C5" w14:textId="3561F560" w:rsidR="00CF206A" w:rsidRDefault="00CF206A" w:rsidP="00CF206A">
      <w:pPr>
        <w:pStyle w:val="Caption"/>
        <w:spacing w:line="254" w:lineRule="auto"/>
      </w:pPr>
      <w:bookmarkStart w:id="73" w:name="_Ref47085067"/>
      <w:r>
        <w:t xml:space="preserve">Attēls Nr. </w:t>
      </w:r>
      <w:fldSimple w:instr=" SEQ Attēls_Nr. \* ARABIC ">
        <w:r w:rsidR="00D96F20">
          <w:rPr>
            <w:noProof/>
          </w:rPr>
          <w:t>16</w:t>
        </w:r>
      </w:fldSimple>
      <w:bookmarkEnd w:id="71"/>
      <w:bookmarkEnd w:id="72"/>
      <w:bookmarkEnd w:id="73"/>
    </w:p>
    <w:p w14:paraId="2202ACDB" w14:textId="77777777" w:rsidR="00EC52FF" w:rsidRDefault="00EC52FF" w:rsidP="00CF206A">
      <w:pPr>
        <w:pStyle w:val="ListParagraph"/>
        <w:spacing w:after="0" w:line="240" w:lineRule="auto"/>
        <w:ind w:left="0"/>
        <w:contextualSpacing w:val="0"/>
        <w:jc w:val="center"/>
        <w:rPr>
          <w:b/>
        </w:rPr>
      </w:pPr>
      <w:r w:rsidRPr="008F240A">
        <w:rPr>
          <w:b/>
        </w:rPr>
        <w:t xml:space="preserve">Iedzīvotāju skaits pret plānoto un faktiski veikto rentgenoloģijas izmeklējumu skaitu </w:t>
      </w:r>
    </w:p>
    <w:p w14:paraId="5BAE0681" w14:textId="77777777" w:rsidR="00EC52FF" w:rsidRPr="008F240A" w:rsidRDefault="00EC52FF" w:rsidP="00CF206A">
      <w:pPr>
        <w:pStyle w:val="ListParagraph"/>
        <w:spacing w:after="0" w:line="240" w:lineRule="auto"/>
        <w:ind w:left="0"/>
        <w:contextualSpacing w:val="0"/>
        <w:jc w:val="center"/>
        <w:rPr>
          <w:b/>
        </w:rPr>
      </w:pPr>
      <w:r w:rsidRPr="008F240A">
        <w:rPr>
          <w:b/>
        </w:rPr>
        <w:t>(kopā valstī)</w:t>
      </w:r>
    </w:p>
    <w:p w14:paraId="3E3C5E80" w14:textId="77777777" w:rsidR="00EC52FF" w:rsidRPr="004750F1" w:rsidRDefault="00EC52FF" w:rsidP="00CF206A">
      <w:pPr>
        <w:pStyle w:val="ListParagraph"/>
        <w:spacing w:before="120" w:after="120" w:line="254" w:lineRule="auto"/>
        <w:ind w:left="0"/>
        <w:contextualSpacing w:val="0"/>
        <w:jc w:val="center"/>
      </w:pPr>
      <w:r>
        <w:rPr>
          <w:noProof/>
          <w:lang w:eastAsia="lv-LV"/>
        </w:rPr>
        <w:drawing>
          <wp:inline distT="0" distB="0" distL="0" distR="0" wp14:anchorId="27AAB545" wp14:editId="3FCB2F15">
            <wp:extent cx="5822315" cy="2728569"/>
            <wp:effectExtent l="0" t="0" r="6985" b="1524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D0233F6" w14:textId="424D3608" w:rsidR="00CF206A" w:rsidRDefault="00CF206A" w:rsidP="00CF206A">
      <w:pPr>
        <w:pStyle w:val="Caption"/>
      </w:pPr>
      <w:bookmarkStart w:id="74" w:name="_Ref46305258"/>
      <w:r>
        <w:t xml:space="preserve">Attēls Nr. </w:t>
      </w:r>
      <w:fldSimple w:instr=" SEQ Attēls_Nr. \* ARABIC ">
        <w:r w:rsidR="00D96F20">
          <w:rPr>
            <w:noProof/>
          </w:rPr>
          <w:t>17</w:t>
        </w:r>
      </w:fldSimple>
      <w:bookmarkEnd w:id="74"/>
    </w:p>
    <w:p w14:paraId="48902794" w14:textId="77777777" w:rsidR="00EC52FF" w:rsidRPr="00E557ED" w:rsidRDefault="00EC52FF" w:rsidP="00CF206A">
      <w:pPr>
        <w:pStyle w:val="ListParagraph"/>
        <w:spacing w:after="0" w:line="240" w:lineRule="auto"/>
        <w:ind w:left="0"/>
        <w:contextualSpacing w:val="0"/>
        <w:jc w:val="center"/>
      </w:pPr>
      <w:r w:rsidRPr="004A768A">
        <w:rPr>
          <w:b/>
        </w:rPr>
        <w:t xml:space="preserve">Plānotās, precizētas un faktiskās līgumu summas NVD ar slimnīcām </w:t>
      </w:r>
      <w:r>
        <w:rPr>
          <w:b/>
        </w:rPr>
        <w:t>rentgenoloģijai</w:t>
      </w:r>
    </w:p>
    <w:p w14:paraId="5D4B2FFB" w14:textId="77777777" w:rsidR="00EC52FF" w:rsidRDefault="00EC52FF" w:rsidP="005D78BB">
      <w:pPr>
        <w:spacing w:after="120" w:line="240" w:lineRule="auto"/>
        <w:ind w:firstLine="284"/>
        <w:jc w:val="center"/>
        <w:rPr>
          <w:b/>
        </w:rPr>
      </w:pPr>
      <w:r>
        <w:rPr>
          <w:b/>
        </w:rPr>
        <w:t>(kopā valstī)</w:t>
      </w:r>
    </w:p>
    <w:p w14:paraId="287C9A82" w14:textId="77777777" w:rsidR="00EC52FF" w:rsidRPr="00647F08" w:rsidRDefault="00EC52FF" w:rsidP="00EC52FF">
      <w:pPr>
        <w:spacing w:after="0" w:line="240" w:lineRule="auto"/>
        <w:jc w:val="center"/>
        <w:rPr>
          <w:b/>
        </w:rPr>
      </w:pPr>
      <w:r>
        <w:rPr>
          <w:noProof/>
          <w:lang w:eastAsia="lv-LV"/>
        </w:rPr>
        <w:drawing>
          <wp:inline distT="0" distB="0" distL="0" distR="0" wp14:anchorId="17D5EBF4" wp14:editId="2D79B0B2">
            <wp:extent cx="5822315" cy="2809037"/>
            <wp:effectExtent l="0" t="0" r="6985" b="1079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F403D66" w14:textId="77777777" w:rsidR="00FD0D82" w:rsidRDefault="00FD0D82" w:rsidP="00C446A7">
      <w:pPr>
        <w:spacing w:line="254" w:lineRule="auto"/>
        <w:ind w:firstLine="720"/>
      </w:pPr>
    </w:p>
    <w:p w14:paraId="6E805987" w14:textId="4D2FDC53" w:rsidR="00F664D8" w:rsidRDefault="004773FC" w:rsidP="00437F4F">
      <w:pPr>
        <w:pStyle w:val="Caption"/>
        <w:ind w:firstLine="720"/>
        <w:jc w:val="both"/>
      </w:pPr>
      <w:r>
        <w:t>P</w:t>
      </w:r>
      <w:r w:rsidRPr="00C338CA">
        <w:t>a</w:t>
      </w:r>
      <w:r>
        <w:t>kalpojuma nodrošināšanas skaits</w:t>
      </w:r>
      <w:r w:rsidRPr="00C338CA">
        <w:t xml:space="preserve"> un finansējuma palielinājums rentgenoloģijai, nav mazinājis gaidīšan</w:t>
      </w:r>
      <w:bookmarkStart w:id="75" w:name="_Ref46305494"/>
      <w:bookmarkStart w:id="76" w:name="_Ref46310784"/>
      <w:r w:rsidR="00DA6C88">
        <w:t>as rindā esošo pacientu skaitu (</w:t>
      </w:r>
      <w:r w:rsidR="00DA6C88">
        <w:fldChar w:fldCharType="begin"/>
      </w:r>
      <w:r w:rsidR="00DA6C88">
        <w:instrText xml:space="preserve"> REF _Ref47102550 \h </w:instrText>
      </w:r>
      <w:r w:rsidR="00DA6C88">
        <w:fldChar w:fldCharType="separate"/>
      </w:r>
      <w:r w:rsidR="00D96F20">
        <w:t xml:space="preserve">Attēls Nr. </w:t>
      </w:r>
      <w:r w:rsidR="00D96F20">
        <w:rPr>
          <w:noProof/>
        </w:rPr>
        <w:t>18</w:t>
      </w:r>
      <w:r w:rsidR="00DA6C88">
        <w:fldChar w:fldCharType="end"/>
      </w:r>
      <w:r w:rsidR="00DA6C88">
        <w:t>).</w:t>
      </w:r>
      <w:bookmarkStart w:id="77" w:name="_Ref47085094"/>
    </w:p>
    <w:p w14:paraId="4CF78A53" w14:textId="77777777" w:rsidR="00437F4F" w:rsidRPr="00437F4F" w:rsidRDefault="00437F4F" w:rsidP="00437F4F"/>
    <w:p w14:paraId="4F827CC6" w14:textId="3B1E5A24" w:rsidR="00CF206A" w:rsidRDefault="00CF206A" w:rsidP="00CF206A">
      <w:pPr>
        <w:pStyle w:val="Caption"/>
      </w:pPr>
      <w:bookmarkStart w:id="78" w:name="_Ref47102550"/>
      <w:r>
        <w:lastRenderedPageBreak/>
        <w:t xml:space="preserve">Attēls Nr. </w:t>
      </w:r>
      <w:fldSimple w:instr=" SEQ Attēls_Nr. \* ARABIC ">
        <w:r w:rsidR="00D96F20">
          <w:rPr>
            <w:noProof/>
          </w:rPr>
          <w:t>18</w:t>
        </w:r>
      </w:fldSimple>
      <w:bookmarkEnd w:id="75"/>
      <w:bookmarkEnd w:id="76"/>
      <w:bookmarkEnd w:id="77"/>
      <w:bookmarkEnd w:id="78"/>
    </w:p>
    <w:p w14:paraId="5BF9A3FA" w14:textId="77777777" w:rsidR="00EC52FF" w:rsidRDefault="00EC52FF" w:rsidP="00CF206A">
      <w:pPr>
        <w:pStyle w:val="ListParagraph"/>
        <w:spacing w:before="120" w:after="120" w:line="254" w:lineRule="auto"/>
        <w:ind w:left="0"/>
        <w:jc w:val="center"/>
      </w:pPr>
      <w:r w:rsidRPr="007C5A4D">
        <w:rPr>
          <w:b/>
        </w:rPr>
        <w:t>Pacientu skaits gaidīšanas rindā</w:t>
      </w:r>
      <w:r>
        <w:rPr>
          <w:b/>
        </w:rPr>
        <w:t xml:space="preserve"> uz rentgenoloģijas pakalpojumu</w:t>
      </w:r>
    </w:p>
    <w:p w14:paraId="131484D1" w14:textId="77777777" w:rsidR="00EC52FF" w:rsidRPr="00B36956" w:rsidRDefault="00EC52FF" w:rsidP="00CF206A">
      <w:pPr>
        <w:spacing w:before="120" w:after="120" w:line="254" w:lineRule="auto"/>
        <w:jc w:val="center"/>
      </w:pPr>
      <w:r>
        <w:rPr>
          <w:noProof/>
          <w:lang w:eastAsia="lv-LV"/>
        </w:rPr>
        <w:drawing>
          <wp:inline distT="0" distB="0" distL="0" distR="0" wp14:anchorId="46BFE4DB" wp14:editId="5C90CBF4">
            <wp:extent cx="5857062" cy="2106295"/>
            <wp:effectExtent l="0" t="0" r="10795" b="825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537F4FC" w14:textId="77777777" w:rsidR="00EC52FF" w:rsidRDefault="00EC52FF" w:rsidP="00203DFE">
      <w:pPr>
        <w:spacing w:after="120"/>
        <w:ind w:firstLine="720"/>
        <w:jc w:val="both"/>
        <w:rPr>
          <w:b/>
          <w:i/>
        </w:rPr>
      </w:pPr>
      <w:r w:rsidRPr="00CC1A02">
        <w:rPr>
          <w:b/>
          <w:i/>
        </w:rPr>
        <w:t>Oftalmoloģija</w:t>
      </w:r>
    </w:p>
    <w:p w14:paraId="1EBE1DB9" w14:textId="6252A848" w:rsidR="00EC52FF" w:rsidRPr="004B71A5" w:rsidRDefault="00EC52FF" w:rsidP="004B71A5">
      <w:pPr>
        <w:ind w:firstLine="720"/>
        <w:jc w:val="both"/>
      </w:pPr>
      <w:r w:rsidRPr="005768B7">
        <w:t>Lai palielinātu oftalmoloģijas pakalpojuma pieejamību laika periodā no 2016.-2019. gadam tika nodrošināts papil</w:t>
      </w:r>
      <w:r>
        <w:t>dus finansējums. Salīdzinot 2020</w:t>
      </w:r>
      <w:r w:rsidRPr="005768B7">
        <w:t xml:space="preserve">. gadu ar 2016. gadu, </w:t>
      </w:r>
      <w:r>
        <w:t xml:space="preserve">plānotās </w:t>
      </w:r>
      <w:r w:rsidRPr="005768B7">
        <w:t>līguma summas</w:t>
      </w:r>
      <w:r>
        <w:t xml:space="preserve"> </w:t>
      </w:r>
      <w:r w:rsidRPr="00E55D23">
        <w:t>oftalmoloģijas pakalpojumam</w:t>
      </w:r>
      <w:r w:rsidRPr="005768B7">
        <w:t xml:space="preserve"> </w:t>
      </w:r>
      <w:r>
        <w:t>ir palielinātas uz pusi (</w:t>
      </w:r>
      <w:r w:rsidR="00070EB9" w:rsidRPr="00070EB9">
        <w:fldChar w:fldCharType="begin"/>
      </w:r>
      <w:r w:rsidR="00070EB9" w:rsidRPr="00070EB9">
        <w:instrText xml:space="preserve"> REF _Ref46305907 \h </w:instrText>
      </w:r>
      <w:r w:rsidR="00070EB9">
        <w:instrText xml:space="preserve"> \* MERGEFORMAT </w:instrText>
      </w:r>
      <w:r w:rsidR="00070EB9" w:rsidRPr="00070EB9">
        <w:fldChar w:fldCharType="separate"/>
      </w:r>
      <w:r w:rsidR="00D96F20">
        <w:t xml:space="preserve">Attēls Nr. </w:t>
      </w:r>
      <w:r w:rsidR="00D96F20">
        <w:rPr>
          <w:noProof/>
        </w:rPr>
        <w:t>19</w:t>
      </w:r>
      <w:r w:rsidR="00070EB9" w:rsidRPr="00070EB9">
        <w:fldChar w:fldCharType="end"/>
      </w:r>
      <w:r w:rsidRPr="00070EB9">
        <w:t>),</w:t>
      </w:r>
      <w:r>
        <w:t xml:space="preserve"> savukārt </w:t>
      </w:r>
      <w:r w:rsidRPr="00E55D23">
        <w:t xml:space="preserve">oftalmoloģijas pakalpojumu dienas stacionārā finansējums 2020. gadā ir trīs reizes lielāks nekā 2016. </w:t>
      </w:r>
      <w:r w:rsidRPr="00070EB9">
        <w:t>gadā</w:t>
      </w:r>
      <w:r w:rsidRPr="00070EB9">
        <w:rPr>
          <w:b/>
        </w:rPr>
        <w:t xml:space="preserve"> </w:t>
      </w:r>
      <w:r w:rsidRPr="00070EB9">
        <w:t>(</w:t>
      </w:r>
      <w:r w:rsidR="004B71A5">
        <w:fldChar w:fldCharType="begin"/>
      </w:r>
      <w:r w:rsidR="004B71A5">
        <w:instrText xml:space="preserve"> REF _Ref46305907 \h </w:instrText>
      </w:r>
      <w:r w:rsidR="004B71A5">
        <w:fldChar w:fldCharType="separate"/>
      </w:r>
      <w:r w:rsidR="00D96F20">
        <w:t xml:space="preserve">Attēls Nr. </w:t>
      </w:r>
      <w:r w:rsidR="00D96F20">
        <w:rPr>
          <w:noProof/>
        </w:rPr>
        <w:t>19</w:t>
      </w:r>
      <w:r w:rsidR="004B71A5">
        <w:fldChar w:fldCharType="end"/>
      </w:r>
      <w:r w:rsidRPr="00070EB9">
        <w:t>)</w:t>
      </w:r>
      <w:r w:rsidRPr="00F17C94">
        <w:t>.</w:t>
      </w:r>
      <w:r>
        <w:rPr>
          <w:b/>
        </w:rPr>
        <w:t xml:space="preserve"> </w:t>
      </w:r>
      <w:r>
        <w:t xml:space="preserve">Abu pakalpojumu nodrošināšanai finansējums ir palielināts, tomēr novērojams, ka pakalpojumu skaits līdz 2018. gadam ir pieaudzis, tomēr turpinot palielināt finansējumu 2019. un 2020. gadā pakalpojumu skaits ir samazināts, kā arī faktiski veiktais izmeklējumu skaits ir mazāks un nesasniedz plānoto izmeklējumu skaitu. </w:t>
      </w:r>
      <w:r w:rsidRPr="005768B7">
        <w:t>Palielinot finansējum</w:t>
      </w:r>
      <w:r>
        <w:t>u</w:t>
      </w:r>
      <w:r w:rsidRPr="005768B7">
        <w:t xml:space="preserve"> cilvēku skaits gaidīšanas rindā ir samazinājies oftalmoloģijas dienas stacionāra pakalpojumam kopš 2018</w:t>
      </w:r>
      <w:r w:rsidR="004B71A5">
        <w:t>. gada (</w:t>
      </w:r>
      <w:r w:rsidR="00B510C5">
        <w:fldChar w:fldCharType="begin"/>
      </w:r>
      <w:r w:rsidR="00B510C5">
        <w:instrText xml:space="preserve"> REF _Ref47347517 \h </w:instrText>
      </w:r>
      <w:r w:rsidR="00B510C5">
        <w:fldChar w:fldCharType="separate"/>
      </w:r>
      <w:r w:rsidR="00D96F20">
        <w:t xml:space="preserve">Attēls Nr. </w:t>
      </w:r>
      <w:r w:rsidR="00D96F20">
        <w:rPr>
          <w:noProof/>
        </w:rPr>
        <w:t>20</w:t>
      </w:r>
      <w:r w:rsidR="00B510C5">
        <w:fldChar w:fldCharType="end"/>
      </w:r>
      <w:r w:rsidR="004B71A5">
        <w:t>)</w:t>
      </w:r>
      <w:r w:rsidRPr="00070EB9">
        <w:t>, savukārt</w:t>
      </w:r>
      <w:r w:rsidRPr="005768B7">
        <w:t xml:space="preserve"> oftalmologa pakalpojumam tas, salīdzinot 2017. gadu ar 2020. gadu ir </w:t>
      </w:r>
      <w:r>
        <w:t xml:space="preserve">pieaudzis </w:t>
      </w:r>
      <w:r w:rsidRPr="00070EB9">
        <w:t>par 50% (</w:t>
      </w:r>
      <w:r w:rsidR="00070EB9" w:rsidRPr="00070EB9">
        <w:fldChar w:fldCharType="begin"/>
      </w:r>
      <w:r w:rsidR="00070EB9" w:rsidRPr="00070EB9">
        <w:instrText xml:space="preserve"> REF _Ref46305907 \h </w:instrText>
      </w:r>
      <w:r w:rsidR="00070EB9">
        <w:instrText xml:space="preserve"> \* MERGEFORMAT </w:instrText>
      </w:r>
      <w:r w:rsidR="00070EB9" w:rsidRPr="00070EB9">
        <w:fldChar w:fldCharType="separate"/>
      </w:r>
      <w:r w:rsidR="00D96F20">
        <w:t xml:space="preserve">Attēls Nr. </w:t>
      </w:r>
      <w:r w:rsidR="00D96F20">
        <w:rPr>
          <w:noProof/>
        </w:rPr>
        <w:t>19</w:t>
      </w:r>
      <w:r w:rsidR="00070EB9" w:rsidRPr="00070EB9">
        <w:fldChar w:fldCharType="end"/>
      </w:r>
      <w:r w:rsidRPr="00070EB9">
        <w:t>).</w:t>
      </w:r>
      <w:r w:rsidRPr="00CC1A02">
        <w:rPr>
          <w:b/>
          <w:i/>
        </w:rPr>
        <w:t xml:space="preserve"> </w:t>
      </w:r>
    </w:p>
    <w:p w14:paraId="7E870231" w14:textId="10C994A4" w:rsidR="00070EB9" w:rsidRDefault="00070EB9" w:rsidP="00070EB9">
      <w:pPr>
        <w:pStyle w:val="Caption"/>
      </w:pPr>
      <w:bookmarkStart w:id="79" w:name="_Ref46305907"/>
      <w:r>
        <w:t xml:space="preserve">Attēls Nr. </w:t>
      </w:r>
      <w:fldSimple w:instr=" SEQ Attēls_Nr. \* ARABIC ">
        <w:r w:rsidR="00D96F20">
          <w:rPr>
            <w:noProof/>
          </w:rPr>
          <w:t>19</w:t>
        </w:r>
      </w:fldSimple>
      <w:bookmarkEnd w:id="79"/>
    </w:p>
    <w:p w14:paraId="1C6C16A7" w14:textId="77777777" w:rsidR="00EC52FF" w:rsidRPr="001F57EB" w:rsidRDefault="00EC52FF" w:rsidP="00CF206A">
      <w:pPr>
        <w:spacing w:before="120" w:after="120" w:line="254" w:lineRule="auto"/>
        <w:jc w:val="center"/>
        <w:rPr>
          <w:b/>
        </w:rPr>
      </w:pPr>
      <w:r w:rsidRPr="004B509D">
        <w:rPr>
          <w:b/>
        </w:rPr>
        <w:t>Gadījumu s</w:t>
      </w:r>
      <w:r>
        <w:rPr>
          <w:b/>
        </w:rPr>
        <w:t>kaita un līgumu summu attiecība un p</w:t>
      </w:r>
      <w:r w:rsidRPr="007C5A4D">
        <w:rPr>
          <w:b/>
        </w:rPr>
        <w:t>acientu skaits gaidīšanas rindā</w:t>
      </w:r>
      <w:r>
        <w:rPr>
          <w:b/>
        </w:rPr>
        <w:t xml:space="preserve"> uz valsts apmaksāto oftalmoloģijas pakalpojumu</w:t>
      </w:r>
    </w:p>
    <w:p w14:paraId="79ADBA17" w14:textId="77777777" w:rsidR="00C556E4" w:rsidRDefault="00EC52FF" w:rsidP="004B71A5">
      <w:pPr>
        <w:jc w:val="center"/>
      </w:pPr>
      <w:r>
        <w:rPr>
          <w:noProof/>
          <w:lang w:eastAsia="lv-LV"/>
        </w:rPr>
        <w:drawing>
          <wp:inline distT="0" distB="0" distL="0" distR="0" wp14:anchorId="14896F72" wp14:editId="69528A79">
            <wp:extent cx="5581650" cy="3021495"/>
            <wp:effectExtent l="0" t="0" r="0" b="762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Start w:id="80" w:name="_Ref46306026"/>
    </w:p>
    <w:p w14:paraId="46ADE198" w14:textId="2EBB5BDC" w:rsidR="00070EB9" w:rsidRDefault="00070EB9" w:rsidP="00070EB9">
      <w:pPr>
        <w:pStyle w:val="Caption"/>
      </w:pPr>
      <w:bookmarkStart w:id="81" w:name="_Ref47347517"/>
      <w:r>
        <w:lastRenderedPageBreak/>
        <w:t xml:space="preserve">Attēls Nr. </w:t>
      </w:r>
      <w:fldSimple w:instr=" SEQ Attēls_Nr. \* ARABIC ">
        <w:r w:rsidR="00D96F20">
          <w:rPr>
            <w:noProof/>
          </w:rPr>
          <w:t>20</w:t>
        </w:r>
      </w:fldSimple>
      <w:bookmarkEnd w:id="80"/>
      <w:bookmarkEnd w:id="81"/>
    </w:p>
    <w:p w14:paraId="17B467A7" w14:textId="77777777" w:rsidR="00EC52FF" w:rsidRPr="001E0D64" w:rsidRDefault="00EC52FF" w:rsidP="00070EB9">
      <w:pPr>
        <w:spacing w:before="120" w:after="120" w:line="254" w:lineRule="auto"/>
        <w:jc w:val="center"/>
        <w:rPr>
          <w:b/>
        </w:rPr>
      </w:pPr>
      <w:r w:rsidRPr="004B509D">
        <w:rPr>
          <w:b/>
        </w:rPr>
        <w:t>Gadījumu s</w:t>
      </w:r>
      <w:r>
        <w:rPr>
          <w:b/>
        </w:rPr>
        <w:t>kaita un līgumu summu attiecība un p</w:t>
      </w:r>
      <w:r w:rsidRPr="007C5A4D">
        <w:rPr>
          <w:b/>
        </w:rPr>
        <w:t>acientu skaits gaidīšanas rindā</w:t>
      </w:r>
      <w:r>
        <w:rPr>
          <w:b/>
        </w:rPr>
        <w:t xml:space="preserve"> uz valsts apmaksāto oftalmoloģijas pakalpojumu dienas stacionārā</w:t>
      </w:r>
    </w:p>
    <w:p w14:paraId="7EF92690" w14:textId="77777777" w:rsidR="00EC52FF" w:rsidRDefault="00EC52FF" w:rsidP="009317E4">
      <w:pPr>
        <w:jc w:val="right"/>
      </w:pPr>
      <w:r>
        <w:rPr>
          <w:noProof/>
          <w:lang w:eastAsia="lv-LV"/>
        </w:rPr>
        <w:drawing>
          <wp:inline distT="0" distB="0" distL="0" distR="0" wp14:anchorId="4C997CD0" wp14:editId="06D6F216">
            <wp:extent cx="5772150" cy="28194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7496BA8" w14:textId="77777777" w:rsidR="00EC52FF" w:rsidRPr="00585442" w:rsidRDefault="00EC52FF" w:rsidP="00203DFE">
      <w:pPr>
        <w:spacing w:after="120"/>
        <w:rPr>
          <w:b/>
        </w:rPr>
      </w:pPr>
      <w:r w:rsidRPr="00585442">
        <w:rPr>
          <w:b/>
        </w:rPr>
        <w:t>Plānveida stacionārās veselības aprūpes pakalpojumu nodrošināšana</w:t>
      </w:r>
    </w:p>
    <w:p w14:paraId="16B3E3ED" w14:textId="07405427" w:rsidR="004B71A5" w:rsidRDefault="00585442" w:rsidP="00B510C5">
      <w:pPr>
        <w:pStyle w:val="Caption"/>
        <w:ind w:firstLine="720"/>
        <w:jc w:val="both"/>
      </w:pPr>
      <w:bookmarkStart w:id="82" w:name="_Ref46306784"/>
      <w:r>
        <w:t>Salīdzinot 2020. gada un 2016. gada esošo pacientu skaitu rindā uz plānveida stacionārajiem pakalpojumiem, kopā uz noteiktām slimnīcā</w:t>
      </w:r>
      <w:r w:rsidR="00B510C5">
        <w:t>m rindu samazinājums ir par 27% (</w:t>
      </w:r>
      <w:r w:rsidR="00B510C5">
        <w:fldChar w:fldCharType="begin"/>
      </w:r>
      <w:r w:rsidR="00B510C5">
        <w:instrText xml:space="preserve"> REF _Ref47347636 \h </w:instrText>
      </w:r>
      <w:r w:rsidR="00B510C5">
        <w:fldChar w:fldCharType="separate"/>
      </w:r>
      <w:r w:rsidR="00D96F20">
        <w:t xml:space="preserve">Attēls Nr. </w:t>
      </w:r>
      <w:r w:rsidR="00D96F20">
        <w:rPr>
          <w:noProof/>
        </w:rPr>
        <w:t>21</w:t>
      </w:r>
      <w:r w:rsidR="00B510C5">
        <w:fldChar w:fldCharType="end"/>
      </w:r>
      <w:r w:rsidR="00B510C5">
        <w:t xml:space="preserve">). </w:t>
      </w:r>
      <w:r>
        <w:t xml:space="preserve">Līdz ar to daļa reformas mērķa - </w:t>
      </w:r>
      <w:r w:rsidRPr="00B95670">
        <w:rPr>
          <w:bCs/>
          <w:color w:val="000000"/>
        </w:rPr>
        <w:t xml:space="preserve">rindu mazināšana pie speciālistiem, uz </w:t>
      </w:r>
      <w:r w:rsidRPr="000F7629">
        <w:rPr>
          <w:bCs/>
          <w:color w:val="000000"/>
        </w:rPr>
        <w:t>diagnostiskajiem izmeklējumiem, dienas stacionārā</w:t>
      </w:r>
      <w:r w:rsidRPr="000F7629">
        <w:t xml:space="preserve"> un ambulatorajā rehabilitācijā</w:t>
      </w:r>
      <w:r>
        <w:t xml:space="preserve"> – ir sasniegta, tomēr tas nebūtu attiecināms uz </w:t>
      </w:r>
      <w:r w:rsidRPr="004320AD">
        <w:t>plānveida ārstniecību ambulatorās</w:t>
      </w:r>
      <w:r>
        <w:t xml:space="preserve"> veselības aprūpes pakalpojumiem.</w:t>
      </w:r>
      <w:bookmarkStart w:id="83" w:name="_Ref46310826"/>
    </w:p>
    <w:p w14:paraId="0E3BB10D" w14:textId="2CFD0135" w:rsidR="005605AA" w:rsidRDefault="005605AA" w:rsidP="005605AA">
      <w:pPr>
        <w:pStyle w:val="Caption"/>
      </w:pPr>
      <w:bookmarkStart w:id="84" w:name="_Ref47347636"/>
      <w:r>
        <w:t xml:space="preserve">Attēls Nr. </w:t>
      </w:r>
      <w:fldSimple w:instr=" SEQ Attēls_Nr. \* ARABIC ">
        <w:r w:rsidR="00D96F20">
          <w:rPr>
            <w:noProof/>
          </w:rPr>
          <w:t>21</w:t>
        </w:r>
      </w:fldSimple>
      <w:bookmarkEnd w:id="82"/>
      <w:bookmarkEnd w:id="83"/>
      <w:bookmarkEnd w:id="84"/>
    </w:p>
    <w:p w14:paraId="2303EACF" w14:textId="77777777" w:rsidR="00EC52FF" w:rsidRDefault="00EC52FF" w:rsidP="00070EB9">
      <w:pPr>
        <w:spacing w:before="120" w:after="120" w:line="254" w:lineRule="auto"/>
        <w:ind w:left="-811" w:right="-782" w:firstLine="811"/>
        <w:jc w:val="center"/>
        <w:rPr>
          <w:rFonts w:eastAsia="Times New Roman"/>
          <w:b/>
          <w:color w:val="000000"/>
          <w:lang w:eastAsia="lv-LV"/>
        </w:rPr>
      </w:pPr>
      <w:r w:rsidRPr="00202393">
        <w:rPr>
          <w:rFonts w:eastAsia="Times New Roman"/>
          <w:b/>
          <w:color w:val="000000"/>
          <w:lang w:eastAsia="lv-LV"/>
        </w:rPr>
        <w:t>Pacientu skaits gaidīšanas rindā plānveida stacionāro pakalpojumu saņemšanai</w:t>
      </w:r>
    </w:p>
    <w:p w14:paraId="6853CBAE" w14:textId="77777777" w:rsidR="00EC52FF" w:rsidRPr="007156B0" w:rsidRDefault="00EC52FF" w:rsidP="00070EB9">
      <w:pPr>
        <w:spacing w:before="120" w:after="120" w:line="254" w:lineRule="auto"/>
        <w:ind w:left="-811" w:right="-782" w:firstLine="811"/>
        <w:jc w:val="center"/>
        <w:rPr>
          <w:rFonts w:eastAsia="Times New Roman"/>
          <w:b/>
          <w:color w:val="000000"/>
          <w:sz w:val="6"/>
          <w:lang w:eastAsia="lv-LV"/>
        </w:rPr>
      </w:pPr>
    </w:p>
    <w:p w14:paraId="71B9D329" w14:textId="77777777" w:rsidR="00EC52FF" w:rsidRDefault="00EC52FF" w:rsidP="00070EB9">
      <w:pPr>
        <w:spacing w:before="120" w:after="120" w:line="254" w:lineRule="auto"/>
        <w:ind w:right="49"/>
        <w:jc w:val="right"/>
      </w:pPr>
      <w:r>
        <w:rPr>
          <w:noProof/>
          <w:lang w:eastAsia="lv-LV"/>
        </w:rPr>
        <w:drawing>
          <wp:inline distT="0" distB="0" distL="0" distR="0" wp14:anchorId="7D1CE01F" wp14:editId="7F11EE2F">
            <wp:extent cx="5734050" cy="25908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0E6BCE4" w14:textId="232C5451" w:rsidR="00EC52FF" w:rsidRPr="004750F1" w:rsidRDefault="00EC52FF" w:rsidP="00203DFE">
      <w:pPr>
        <w:spacing w:after="120"/>
        <w:ind w:firstLine="720"/>
        <w:jc w:val="both"/>
        <w:rPr>
          <w:b/>
          <w:bCs/>
          <w:i/>
        </w:rPr>
      </w:pPr>
      <w:r>
        <w:t>2019. gada izdevumu pārskatīšanas informatīvajā ziņojumā tika secināts, ka fiksētā piemaksa ārstniecības iestādēm par uzņemšanas nodaļas darbību netiek sasaistīta</w:t>
      </w:r>
      <w:r w:rsidRPr="0028074F">
        <w:t xml:space="preserve"> ar uzņe</w:t>
      </w:r>
      <w:r>
        <w:t>mšanas nodaļas gadījumu skaitu, veidojot situāciju, ka 2018. gada un 2019.</w:t>
      </w:r>
      <w:r w:rsidRPr="00083280">
        <w:t xml:space="preserve"> </w:t>
      </w:r>
      <w:r>
        <w:t xml:space="preserve">gada pirmajā </w:t>
      </w:r>
      <w:r>
        <w:lastRenderedPageBreak/>
        <w:t xml:space="preserve">ceturksnī </w:t>
      </w:r>
      <w:r w:rsidRPr="0028074F">
        <w:t>klīniskās universitātes slimnīcās</w:t>
      </w:r>
      <w:r>
        <w:t xml:space="preserve"> (V līmeņa ārstniecības iestādes</w:t>
      </w:r>
      <w:r>
        <w:rPr>
          <w:rStyle w:val="FootnoteReference"/>
        </w:rPr>
        <w:footnoteReference w:id="11"/>
      </w:r>
      <w:r>
        <w:t xml:space="preserve">) </w:t>
      </w:r>
      <w:r w:rsidRPr="0028074F">
        <w:t xml:space="preserve">uzņemto pacientu gadījumu skaits </w:t>
      </w:r>
      <w:r>
        <w:t>ir lielāks un saņemtais finansējums mazāks nekā reģionālajās slimnīcās un pārējās slimnīcās</w:t>
      </w:r>
      <w:bookmarkStart w:id="86" w:name="_Ref15028271"/>
      <w:r>
        <w:t xml:space="preserve">. </w:t>
      </w:r>
      <w:bookmarkEnd w:id="86"/>
      <w:r>
        <w:t xml:space="preserve">Izpētot 2019. gada uzņemšanas nodaļu gadījumu skaitu un finansējuma izpildi gadam, kā arī plānoto fiksēto piemaksu uzņemšanas nodaļas </w:t>
      </w:r>
      <w:r w:rsidRPr="005605AA">
        <w:t>darbībai 2020. gadam un gadījumu skaitu uzņemšanas nodaļās no 2020. gada janvāra līdz martam (</w:t>
      </w:r>
      <w:r w:rsidR="005605AA" w:rsidRPr="005605AA">
        <w:fldChar w:fldCharType="begin"/>
      </w:r>
      <w:r w:rsidR="005605AA" w:rsidRPr="005605AA">
        <w:instrText xml:space="preserve"> REF _Ref46306810 \h </w:instrText>
      </w:r>
      <w:r w:rsidR="005605AA">
        <w:instrText xml:space="preserve"> \* MERGEFORMAT </w:instrText>
      </w:r>
      <w:r w:rsidR="005605AA" w:rsidRPr="005605AA">
        <w:fldChar w:fldCharType="separate"/>
      </w:r>
      <w:r w:rsidR="00D96F20">
        <w:t xml:space="preserve">Attēls Nr. </w:t>
      </w:r>
      <w:r w:rsidR="00D96F20">
        <w:rPr>
          <w:noProof/>
        </w:rPr>
        <w:t>22</w:t>
      </w:r>
      <w:r w:rsidR="005605AA" w:rsidRPr="005605AA">
        <w:fldChar w:fldCharType="end"/>
      </w:r>
      <w:r w:rsidRPr="005605AA">
        <w:t>),</w:t>
      </w:r>
      <w:r>
        <w:t xml:space="preserve"> secināts, ka klīniskās universitātes slimnīcās, salīdzinot ar 2019. gadu, fiksētā piemaksa par uzņemšanas nodaļas darbību 2020. gadā ir palielināta par 30%, tomēr palielināta ir arī pārējo slimnīcu fiksētā piemaksa. </w:t>
      </w:r>
    </w:p>
    <w:p w14:paraId="2EE92702" w14:textId="1DEEC47C" w:rsidR="005605AA" w:rsidRDefault="005605AA" w:rsidP="005605AA">
      <w:pPr>
        <w:pStyle w:val="Caption"/>
      </w:pPr>
      <w:bookmarkStart w:id="87" w:name="_Ref46306810"/>
      <w:r>
        <w:t xml:space="preserve">Attēls Nr. </w:t>
      </w:r>
      <w:fldSimple w:instr=" SEQ Attēls_Nr. \* ARABIC ">
        <w:r w:rsidR="00D96F20">
          <w:rPr>
            <w:noProof/>
          </w:rPr>
          <w:t>22</w:t>
        </w:r>
      </w:fldSimple>
      <w:bookmarkEnd w:id="87"/>
    </w:p>
    <w:p w14:paraId="418A49B3" w14:textId="77777777" w:rsidR="00EC52FF" w:rsidRDefault="00EC52FF" w:rsidP="00070EB9">
      <w:pPr>
        <w:spacing w:before="120" w:after="120" w:line="254" w:lineRule="auto"/>
        <w:ind w:firstLine="720"/>
        <w:jc w:val="center"/>
      </w:pPr>
      <w:r w:rsidRPr="0020241C">
        <w:rPr>
          <w:b/>
          <w:bCs/>
        </w:rPr>
        <w:t xml:space="preserve">Fiksētā piemaksa par uzņemšanas nodaļas darbību, milj. </w:t>
      </w:r>
      <w:r w:rsidRPr="0020241C">
        <w:rPr>
          <w:b/>
          <w:bCs/>
          <w:i/>
        </w:rPr>
        <w:t>euro</w:t>
      </w:r>
      <w:r w:rsidRPr="0020241C">
        <w:rPr>
          <w:b/>
          <w:bCs/>
        </w:rPr>
        <w:t xml:space="preserve"> un uzņemšanas nodaļas gadījumu skaits</w:t>
      </w:r>
    </w:p>
    <w:p w14:paraId="713A326D" w14:textId="77777777" w:rsidR="00EC52FF" w:rsidRDefault="00EC52FF" w:rsidP="0083148E">
      <w:pPr>
        <w:ind w:right="49" w:hanging="142"/>
        <w:jc w:val="right"/>
      </w:pPr>
      <w:r>
        <w:rPr>
          <w:noProof/>
          <w:lang w:eastAsia="lv-LV"/>
        </w:rPr>
        <w:drawing>
          <wp:inline distT="0" distB="0" distL="0" distR="0" wp14:anchorId="388AE096" wp14:editId="42D6B083">
            <wp:extent cx="5975985" cy="3072384"/>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15761" cy="3092834"/>
                    </a:xfrm>
                    <a:prstGeom prst="rect">
                      <a:avLst/>
                    </a:prstGeom>
                    <a:noFill/>
                  </pic:spPr>
                </pic:pic>
              </a:graphicData>
            </a:graphic>
          </wp:inline>
        </w:drawing>
      </w:r>
    </w:p>
    <w:p w14:paraId="60AD7263" w14:textId="77777777" w:rsidR="00EC52FF" w:rsidRDefault="00EC52FF" w:rsidP="00203DFE">
      <w:pPr>
        <w:spacing w:before="240" w:after="120"/>
        <w:ind w:firstLine="720"/>
        <w:jc w:val="both"/>
        <w:rPr>
          <w:b/>
          <w:bCs/>
          <w:i/>
        </w:rPr>
      </w:pPr>
      <w:r w:rsidRPr="001F57EB">
        <w:rPr>
          <w:b/>
          <w:bCs/>
          <w:i/>
        </w:rPr>
        <w:t>Tarifu pārskatīšana specifiskiem stacionārās veselības aprūpes pakalpojumiem</w:t>
      </w:r>
    </w:p>
    <w:p w14:paraId="790A244A" w14:textId="527B4CA5" w:rsidR="00B032CF" w:rsidRPr="00752AFE" w:rsidRDefault="00B032CF" w:rsidP="00B032CF">
      <w:pPr>
        <w:spacing w:before="120" w:after="120"/>
        <w:ind w:firstLine="720"/>
        <w:jc w:val="both"/>
        <w:rPr>
          <w:bCs/>
        </w:rPr>
      </w:pPr>
      <w:r w:rsidRPr="002573ED">
        <w:rPr>
          <w:bCs/>
        </w:rPr>
        <w:t>Papildus FM aicina pievērst uzmanību tarifu pārskatīšanai specifiskiem stacionārās veselības aprūpes pakalpojumiem, piemēram, kā toksikoloģijas ārstēšana. Lai arī kopš 2017.</w:t>
      </w:r>
      <w:r w:rsidR="004A2CC7">
        <w:rPr>
          <w:bCs/>
        </w:rPr>
        <w:t xml:space="preserve"> </w:t>
      </w:r>
      <w:r w:rsidRPr="002573ED">
        <w:rPr>
          <w:bCs/>
        </w:rPr>
        <w:t>gada toksikoloģijas ārstēšanas apmaksas summa ir palielinājusies par 50% 2019.</w:t>
      </w:r>
      <w:r w:rsidR="004A2CC7">
        <w:rPr>
          <w:bCs/>
        </w:rPr>
        <w:t xml:space="preserve"> </w:t>
      </w:r>
      <w:r w:rsidRPr="002573ED">
        <w:rPr>
          <w:bCs/>
        </w:rPr>
        <w:t xml:space="preserve">gadā, tomēr faktiskās izmaksas ārstniecības iestādei toksikoloģijas ārstēšanai ir četras reizes lielākas, nekā </w:t>
      </w:r>
      <w:r w:rsidRPr="005605AA">
        <w:rPr>
          <w:bCs/>
        </w:rPr>
        <w:t>apmaksātās</w:t>
      </w:r>
      <w:r w:rsidR="00EC52FF" w:rsidRPr="005605AA">
        <w:rPr>
          <w:bCs/>
        </w:rPr>
        <w:t xml:space="preserve"> (</w:t>
      </w:r>
      <w:r w:rsidR="005605AA" w:rsidRPr="005605AA">
        <w:rPr>
          <w:bCs/>
        </w:rPr>
        <w:fldChar w:fldCharType="begin"/>
      </w:r>
      <w:r w:rsidR="005605AA" w:rsidRPr="005605AA">
        <w:rPr>
          <w:bCs/>
        </w:rPr>
        <w:instrText xml:space="preserve"> REF _Ref46306874 \h </w:instrText>
      </w:r>
      <w:r w:rsidR="005605AA">
        <w:rPr>
          <w:bCs/>
        </w:rPr>
        <w:instrText xml:space="preserve"> \* MERGEFORMAT </w:instrText>
      </w:r>
      <w:r w:rsidR="005605AA" w:rsidRPr="005605AA">
        <w:rPr>
          <w:bCs/>
        </w:rPr>
      </w:r>
      <w:r w:rsidR="005605AA" w:rsidRPr="005605AA">
        <w:rPr>
          <w:bCs/>
        </w:rPr>
        <w:fldChar w:fldCharType="separate"/>
      </w:r>
      <w:r w:rsidR="00D96F20">
        <w:t xml:space="preserve">Attēls Nr. </w:t>
      </w:r>
      <w:r w:rsidR="00D96F20">
        <w:rPr>
          <w:noProof/>
        </w:rPr>
        <w:t>23</w:t>
      </w:r>
      <w:r w:rsidR="005605AA" w:rsidRPr="005605AA">
        <w:rPr>
          <w:bCs/>
        </w:rPr>
        <w:fldChar w:fldCharType="end"/>
      </w:r>
      <w:r w:rsidR="00EC52FF" w:rsidRPr="005605AA">
        <w:rPr>
          <w:bCs/>
        </w:rPr>
        <w:t xml:space="preserve">), </w:t>
      </w:r>
      <w:r w:rsidRPr="005605AA">
        <w:rPr>
          <w:bCs/>
        </w:rPr>
        <w:t>tādējādi</w:t>
      </w:r>
      <w:r w:rsidRPr="002573ED">
        <w:rPr>
          <w:bCs/>
        </w:rPr>
        <w:t xml:space="preserve"> izmaksas nepieciešams segt no saviem finanšu resursiem. </w:t>
      </w:r>
    </w:p>
    <w:p w14:paraId="151F3368" w14:textId="77777777" w:rsidR="005605AA" w:rsidRDefault="005605AA" w:rsidP="00B032CF">
      <w:pPr>
        <w:spacing w:before="120" w:after="120"/>
        <w:ind w:firstLine="720"/>
        <w:jc w:val="both"/>
        <w:rPr>
          <w:bCs/>
          <w:highlight w:val="yellow"/>
        </w:rPr>
      </w:pPr>
    </w:p>
    <w:p w14:paraId="6903CE75" w14:textId="77777777" w:rsidR="00F130C6" w:rsidRDefault="00F130C6" w:rsidP="00B86ECC">
      <w:pPr>
        <w:spacing w:before="120" w:after="120" w:line="254" w:lineRule="auto"/>
        <w:rPr>
          <w:bCs/>
          <w:highlight w:val="yellow"/>
        </w:rPr>
      </w:pPr>
    </w:p>
    <w:p w14:paraId="521448C0" w14:textId="77777777" w:rsidR="00F664D8" w:rsidRDefault="00F664D8" w:rsidP="00B86ECC">
      <w:pPr>
        <w:spacing w:before="120" w:after="120" w:line="254" w:lineRule="auto"/>
        <w:rPr>
          <w:bCs/>
          <w:highlight w:val="yellow"/>
        </w:rPr>
      </w:pPr>
    </w:p>
    <w:p w14:paraId="6F37DD51" w14:textId="7096AC62" w:rsidR="00B032CF" w:rsidRDefault="00B032CF" w:rsidP="00B86ECC">
      <w:pPr>
        <w:spacing w:before="120" w:after="120" w:line="254" w:lineRule="auto"/>
        <w:rPr>
          <w:bCs/>
          <w:highlight w:val="yellow"/>
        </w:rPr>
      </w:pPr>
    </w:p>
    <w:p w14:paraId="5F600E95" w14:textId="77777777" w:rsidR="00F17C94" w:rsidRDefault="00F17C94" w:rsidP="00B86ECC">
      <w:pPr>
        <w:spacing w:before="120" w:after="120" w:line="254" w:lineRule="auto"/>
        <w:rPr>
          <w:bCs/>
          <w:highlight w:val="yellow"/>
        </w:rPr>
      </w:pPr>
    </w:p>
    <w:p w14:paraId="4D325806" w14:textId="5E5DF7F6" w:rsidR="005605AA" w:rsidRDefault="005605AA" w:rsidP="005605AA">
      <w:pPr>
        <w:pStyle w:val="Caption"/>
      </w:pPr>
      <w:bookmarkStart w:id="88" w:name="_Ref46306874"/>
      <w:r>
        <w:lastRenderedPageBreak/>
        <w:t xml:space="preserve">Attēls Nr. </w:t>
      </w:r>
      <w:fldSimple w:instr=" SEQ Attēls_Nr. \* ARABIC ">
        <w:r w:rsidR="00D96F20">
          <w:rPr>
            <w:noProof/>
          </w:rPr>
          <w:t>23</w:t>
        </w:r>
      </w:fldSimple>
      <w:bookmarkEnd w:id="88"/>
    </w:p>
    <w:p w14:paraId="1F67B1BA" w14:textId="60B8C2F7" w:rsidR="00EC52FF" w:rsidRPr="001F57EB" w:rsidRDefault="00EC52FF" w:rsidP="005605AA">
      <w:pPr>
        <w:spacing w:before="120" w:after="120" w:line="254" w:lineRule="auto"/>
        <w:jc w:val="center"/>
      </w:pPr>
      <w:r w:rsidRPr="001F57EB">
        <w:rPr>
          <w:b/>
          <w:bCs/>
        </w:rPr>
        <w:t>Toksikoloģijas ārstēšana</w:t>
      </w:r>
      <w:r w:rsidR="0021262D">
        <w:rPr>
          <w:b/>
          <w:bCs/>
        </w:rPr>
        <w:t>s</w:t>
      </w:r>
      <w:r w:rsidRPr="001F57EB">
        <w:rPr>
          <w:b/>
          <w:bCs/>
        </w:rPr>
        <w:t xml:space="preserve"> SIA </w:t>
      </w:r>
      <w:r>
        <w:rPr>
          <w:b/>
          <w:bCs/>
        </w:rPr>
        <w:t>“</w:t>
      </w:r>
      <w:r w:rsidRPr="001F57EB">
        <w:rPr>
          <w:b/>
          <w:bCs/>
        </w:rPr>
        <w:t xml:space="preserve">Rīgas Austrumu </w:t>
      </w:r>
      <w:r>
        <w:rPr>
          <w:b/>
          <w:bCs/>
        </w:rPr>
        <w:t>klīniskā universitātes slimnīca”</w:t>
      </w:r>
      <w:r w:rsidR="0021262D">
        <w:rPr>
          <w:b/>
          <w:bCs/>
        </w:rPr>
        <w:t xml:space="preserve"> apmaksas summas un faktiskās izmaksas,</w:t>
      </w:r>
      <w:r w:rsidR="00086CFB">
        <w:rPr>
          <w:b/>
          <w:bCs/>
        </w:rPr>
        <w:t xml:space="preserve"> milj. </w:t>
      </w:r>
      <w:r w:rsidR="00086CFB" w:rsidRPr="00086CFB">
        <w:rPr>
          <w:b/>
          <w:bCs/>
          <w:i/>
        </w:rPr>
        <w:t>euro</w:t>
      </w:r>
    </w:p>
    <w:p w14:paraId="6819F459" w14:textId="77777777" w:rsidR="00EC52FF" w:rsidRDefault="00EC52FF" w:rsidP="00B032CF">
      <w:pPr>
        <w:spacing w:before="120" w:after="120" w:line="254" w:lineRule="auto"/>
        <w:jc w:val="center"/>
      </w:pPr>
      <w:r w:rsidRPr="001F57EB">
        <w:rPr>
          <w:noProof/>
          <w:lang w:eastAsia="lv-LV"/>
        </w:rPr>
        <w:drawing>
          <wp:inline distT="0" distB="0" distL="0" distR="0" wp14:anchorId="413E5926" wp14:editId="0FEECC31">
            <wp:extent cx="5939943" cy="3079115"/>
            <wp:effectExtent l="0" t="0" r="3810" b="698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E0C6AAA" w14:textId="0BE90BC6" w:rsidR="00B032CF" w:rsidRPr="00B032CF" w:rsidRDefault="00B032CF" w:rsidP="00B032CF">
      <w:pPr>
        <w:ind w:firstLine="720"/>
        <w:jc w:val="both"/>
      </w:pPr>
      <w:r w:rsidRPr="007E7857">
        <w:t>Jāatzīmē, ka MK 2020.</w:t>
      </w:r>
      <w:r w:rsidR="004A2CC7">
        <w:t xml:space="preserve"> </w:t>
      </w:r>
      <w:r w:rsidRPr="007E7857">
        <w:t>gada 28.</w:t>
      </w:r>
      <w:r w:rsidR="004A2CC7">
        <w:t xml:space="preserve"> </w:t>
      </w:r>
      <w:r w:rsidRPr="007E7857">
        <w:t xml:space="preserve">jūlija sēdes (Nr.46 </w:t>
      </w:r>
      <w:r w:rsidRPr="007E7857">
        <w:rPr>
          <w:bCs/>
          <w:shd w:val="clear" w:color="auto" w:fill="FFFFFF"/>
        </w:rPr>
        <w:t>51.§)</w:t>
      </w:r>
      <w:r w:rsidRPr="007E7857">
        <w:t xml:space="preserve"> pieņemtajā  VM informatīvajā ziņojumā  “Par VSIA “Paula Stradiņa klīniskā universitātes slimnīca” un SIA “Rīgas Austrumu klīniskā universitātes slimnīca” pamatkapitāla palielināšanu”  VSIA </w:t>
      </w:r>
      <w:r>
        <w:t>“</w:t>
      </w:r>
      <w:r w:rsidRPr="007E7857">
        <w:t>Paula Stradiņa klīniskā universitātes slimnīca</w:t>
      </w:r>
      <w:r>
        <w:t>”</w:t>
      </w:r>
      <w:r w:rsidRPr="007E7857">
        <w:t xml:space="preserve"> tiks palielināts pamatkapitāls, ieguldot tajā finanšu līdzekļus 3 407 194 </w:t>
      </w:r>
      <w:r w:rsidRPr="007E7857">
        <w:rPr>
          <w:i/>
        </w:rPr>
        <w:t xml:space="preserve">euro </w:t>
      </w:r>
      <w:r w:rsidRPr="007E7857">
        <w:t xml:space="preserve">apmērā, un SIA “Rīgas Austrumu klīniskā universitātes slimnīca” tiks palielināts pamatkapitāls, ieguldot tajā finanšu līdzekļus 3 581 605 </w:t>
      </w:r>
      <w:r w:rsidRPr="007E7857">
        <w:rPr>
          <w:i/>
        </w:rPr>
        <w:t xml:space="preserve">euro </w:t>
      </w:r>
      <w:r w:rsidRPr="007E7857">
        <w:t xml:space="preserve">apmērā. Kā norādīts </w:t>
      </w:r>
      <w:r>
        <w:t xml:space="preserve">iepriekš minētajā </w:t>
      </w:r>
      <w:r w:rsidRPr="007E7857">
        <w:t>VM informatīvajā ziņojumā, RAKUS pamatkapitāl</w:t>
      </w:r>
      <w:r>
        <w:t>s</w:t>
      </w:r>
      <w:r w:rsidRPr="007E7857">
        <w:t xml:space="preserve"> palielināts</w:t>
      </w:r>
      <w:r>
        <w:t>,</w:t>
      </w:r>
      <w:r w:rsidRPr="007E7857">
        <w:t xml:space="preserve"> tai skaitā ņemot vērā to, ka toksikoloģijas un sepses klīnikas pacienu ārstēšana</w:t>
      </w:r>
      <w:r>
        <w:t>s</w:t>
      </w:r>
      <w:r w:rsidRPr="007E7857">
        <w:t xml:space="preserve"> apmaksas summa sedz 26% no faktiskajām izmaksām, tādējādi radot zaudējumus slimnīcai. Lai ierobežotu situāciju, ka no valsts budžeta līdzekļiem nepieciešams arī turpmāk segt zaudējumus, kas radušies, nodrošinot valsts apmaksāto veselības aprūpes pakalpojumu sniegšanu, palielinot ārstniecības iestāžu pamatkapitālu no valsts budžeta līdzekļiem, FM aicina turpināt darbu pie veselības aprūpes pakalpojumu tarifu un to metodoloģijas izvērtēšanas un pārskatīšanas. </w:t>
      </w:r>
    </w:p>
    <w:p w14:paraId="4D64E2C9" w14:textId="1F5AC702" w:rsidR="00EC52FF" w:rsidRPr="00585442" w:rsidRDefault="00EC52FF" w:rsidP="00A664D7">
      <w:pPr>
        <w:spacing w:after="120"/>
        <w:jc w:val="both"/>
        <w:rPr>
          <w:b/>
        </w:rPr>
      </w:pPr>
      <w:r w:rsidRPr="00585442">
        <w:rPr>
          <w:b/>
        </w:rPr>
        <w:t xml:space="preserve">Finansējuma </w:t>
      </w:r>
      <w:r w:rsidRPr="00585442">
        <w:rPr>
          <w:b/>
          <w:bCs/>
        </w:rPr>
        <w:t xml:space="preserve">veselības reformu pasākumu īstenošanai </w:t>
      </w:r>
      <w:r w:rsidRPr="00585442">
        <w:rPr>
          <w:b/>
        </w:rPr>
        <w:t>izlietojums 2019.</w:t>
      </w:r>
      <w:r w:rsidR="004A2CC7">
        <w:rPr>
          <w:b/>
        </w:rPr>
        <w:t xml:space="preserve"> </w:t>
      </w:r>
      <w:r w:rsidRPr="00585442">
        <w:rPr>
          <w:b/>
        </w:rPr>
        <w:t>gadā</w:t>
      </w:r>
    </w:p>
    <w:p w14:paraId="325D097E" w14:textId="77777777" w:rsidR="00EC52FF" w:rsidRDefault="00EC52FF" w:rsidP="00A664D7">
      <w:pPr>
        <w:spacing w:after="120"/>
        <w:ind w:firstLine="720"/>
        <w:jc w:val="both"/>
      </w:pPr>
      <w:r w:rsidRPr="00A67D8E">
        <w:t xml:space="preserve">Kopumā veselības </w:t>
      </w:r>
      <w:r w:rsidRPr="00A67D8E">
        <w:rPr>
          <w:bCs/>
        </w:rPr>
        <w:t>reformas pasākumu īstenošanai</w:t>
      </w:r>
      <w:r w:rsidRPr="00A67D8E">
        <w:rPr>
          <w:b/>
          <w:bCs/>
        </w:rPr>
        <w:t xml:space="preserve"> </w:t>
      </w:r>
      <w:r w:rsidRPr="00A67D8E">
        <w:t>finansējums 2019. gadā plānots 80 reform</w:t>
      </w:r>
      <w:r>
        <w:t>u</w:t>
      </w:r>
      <w:r w:rsidRPr="00A67D8E">
        <w:t xml:space="preserve"> iniciatīvām par kopējo finansējumu 154,2 milj. </w:t>
      </w:r>
      <w:r w:rsidRPr="00A67D8E">
        <w:rPr>
          <w:i/>
        </w:rPr>
        <w:t xml:space="preserve">euro, </w:t>
      </w:r>
      <w:r w:rsidRPr="00A67D8E">
        <w:t xml:space="preserve">finansējuma izlietojums 153,6 milj. </w:t>
      </w:r>
      <w:r w:rsidRPr="00A67D8E">
        <w:rPr>
          <w:i/>
        </w:rPr>
        <w:t>euro</w:t>
      </w:r>
      <w:r w:rsidRPr="00A67D8E">
        <w:t>.</w:t>
      </w:r>
      <w:r>
        <w:t xml:space="preserve"> FM padziļinātākai analīzei tika pakļautas tās reformu iniciatīvas, kuru finansējums 2019. gadā netika apgūts pilnībā.  </w:t>
      </w:r>
    </w:p>
    <w:p w14:paraId="364203C3" w14:textId="77777777" w:rsidR="00EC52FF" w:rsidRPr="00B83CF5" w:rsidRDefault="00EC52FF" w:rsidP="00A664D7">
      <w:pPr>
        <w:spacing w:after="120"/>
        <w:ind w:firstLine="720"/>
        <w:jc w:val="both"/>
        <w:rPr>
          <w:b/>
          <w:i/>
        </w:rPr>
      </w:pPr>
      <w:r w:rsidRPr="00B83CF5">
        <w:rPr>
          <w:b/>
          <w:i/>
        </w:rPr>
        <w:t>Ambulatorie izmeklējumi</w:t>
      </w:r>
    </w:p>
    <w:p w14:paraId="1D971347" w14:textId="77777777" w:rsidR="00EC52FF" w:rsidRDefault="00EC52FF" w:rsidP="00A664D7">
      <w:pPr>
        <w:spacing w:after="120"/>
        <w:ind w:firstLine="720"/>
        <w:jc w:val="both"/>
      </w:pPr>
      <w:r>
        <w:t xml:space="preserve">Kā jau iepriekš minēts viena no reformas iniciatīvām bija nodrošināt ambulatoro </w:t>
      </w:r>
      <w:r w:rsidR="00733338">
        <w:t>izmeklējumu pieejamību (izvērstāku informāciju skatīt sadaļā</w:t>
      </w:r>
      <w:r>
        <w:t xml:space="preserve"> </w:t>
      </w:r>
      <w:r w:rsidR="00733338" w:rsidRPr="00D1111B">
        <w:t>Sekundārās ambulatorās veselības aprūpes pakalpojumu nodrošināšana</w:t>
      </w:r>
      <w:r w:rsidRPr="00D1111B">
        <w:rPr>
          <w:bCs/>
        </w:rPr>
        <w:t xml:space="preserve">) </w:t>
      </w:r>
      <w:r w:rsidRPr="00D1111B">
        <w:t xml:space="preserve">2019. gadā ambulatoro izmeklējumu skaita pieaugumam tika piešķirti 15,77 milj. </w:t>
      </w:r>
      <w:r w:rsidRPr="00D1111B">
        <w:rPr>
          <w:i/>
        </w:rPr>
        <w:t xml:space="preserve">euro </w:t>
      </w:r>
      <w:r w:rsidRPr="00D1111B">
        <w:t>pakalpojumu skaitu</w:t>
      </w:r>
      <w:r>
        <w:t xml:space="preserve"> palielinot par 662 365 izmeklējumiem, no tiem 2019. gadā izpildīti 560 502 izmeklējumi, finansējumu izlietojot 15,72 </w:t>
      </w:r>
      <w:r>
        <w:lastRenderedPageBreak/>
        <w:t xml:space="preserve">milj. </w:t>
      </w:r>
      <w:r w:rsidRPr="00B83CF5">
        <w:rPr>
          <w:i/>
        </w:rPr>
        <w:t xml:space="preserve">euro </w:t>
      </w:r>
      <w:r>
        <w:t xml:space="preserve">apmērā, veidojot neizpildi </w:t>
      </w:r>
      <w:r w:rsidRPr="00B83CF5">
        <w:rPr>
          <w:b/>
        </w:rPr>
        <w:t xml:space="preserve">49 623 </w:t>
      </w:r>
      <w:r w:rsidRPr="00B83CF5">
        <w:rPr>
          <w:b/>
          <w:i/>
        </w:rPr>
        <w:t>euro</w:t>
      </w:r>
      <w:r w:rsidRPr="00B83CF5">
        <w:rPr>
          <w:i/>
        </w:rPr>
        <w:t xml:space="preserve"> </w:t>
      </w:r>
      <w:r>
        <w:t xml:space="preserve">apmērā. 2020. gadā turpināta reformas iniciatīvas īstenošana ar plānoto papildus finansējumu 15,77 milj. </w:t>
      </w:r>
      <w:r w:rsidRPr="00974203">
        <w:rPr>
          <w:i/>
        </w:rPr>
        <w:t>euro</w:t>
      </w:r>
      <w:r>
        <w:t xml:space="preserve"> apmērā.</w:t>
      </w:r>
    </w:p>
    <w:p w14:paraId="47CB508D" w14:textId="77777777" w:rsidR="00EC52FF" w:rsidRPr="001E3129" w:rsidRDefault="00EC52FF" w:rsidP="00A664D7">
      <w:pPr>
        <w:spacing w:after="120"/>
        <w:ind w:firstLine="709"/>
        <w:jc w:val="both"/>
        <w:rPr>
          <w:rFonts w:eastAsia="Times New Roman"/>
          <w:b/>
          <w:i/>
          <w:szCs w:val="22"/>
          <w:lang w:eastAsia="lv-LV"/>
        </w:rPr>
      </w:pPr>
      <w:r w:rsidRPr="001E3129">
        <w:rPr>
          <w:rFonts w:eastAsia="Times New Roman"/>
          <w:b/>
          <w:i/>
          <w:szCs w:val="22"/>
          <w:lang w:eastAsia="lv-LV"/>
        </w:rPr>
        <w:t>Papildus speciālistu piesaiste</w:t>
      </w:r>
    </w:p>
    <w:p w14:paraId="5DDE0F2E" w14:textId="57CE82A4" w:rsidR="00EC52FF" w:rsidRDefault="00EC52FF" w:rsidP="00A664D7">
      <w:pPr>
        <w:spacing w:after="120"/>
        <w:ind w:firstLine="720"/>
        <w:jc w:val="both"/>
      </w:pPr>
      <w:r>
        <w:rPr>
          <w:rFonts w:eastAsia="Times New Roman"/>
          <w:lang w:eastAsia="lv-LV"/>
        </w:rPr>
        <w:t>VM</w:t>
      </w:r>
      <w:r w:rsidRPr="00C30F02">
        <w:rPr>
          <w:rFonts w:eastAsia="Times New Roman"/>
          <w:lang w:eastAsia="lv-LV"/>
        </w:rPr>
        <w:t xml:space="preserve"> </w:t>
      </w:r>
      <w:r w:rsidRPr="00C30F02">
        <w:rPr>
          <w:bCs/>
        </w:rPr>
        <w:t>informatīvajā ziņojumā “Par veselības reformas pasākumu īstenošanas rezultātiem veselības aprūpē 2019.</w:t>
      </w:r>
      <w:r w:rsidR="004A2CC7">
        <w:rPr>
          <w:bCs/>
        </w:rPr>
        <w:t xml:space="preserve"> </w:t>
      </w:r>
      <w:r w:rsidRPr="00C30F02">
        <w:rPr>
          <w:bCs/>
        </w:rPr>
        <w:t xml:space="preserve">gadā” ir norādījusi, ka </w:t>
      </w:r>
      <w:r w:rsidRPr="00C30F02">
        <w:rPr>
          <w:rFonts w:eastAsia="Times New Roman"/>
          <w:lang w:eastAsia="lv-LV"/>
        </w:rPr>
        <w:t>a</w:t>
      </w:r>
      <w:r w:rsidRPr="00C30F02">
        <w:t>prūpes</w:t>
      </w:r>
      <w:r w:rsidRPr="00C33B26">
        <w:t xml:space="preserve"> epizodes tarifa pārrēķināšana un papildus finansējuma nepieciešamība ir saistīta ar plānoto papildus speciālistu piesaisti ats</w:t>
      </w:r>
      <w:r>
        <w:t xml:space="preserve">evišķās veselības aprūpes jomās, 2019. gadā pārskatot tarifus, </w:t>
      </w:r>
      <w:r w:rsidRPr="00C33B26">
        <w:t xml:space="preserve">lai piesaistītu speciālistus valsts apmaksātu pakalpojumu tirgus sektorā, ir uzlabojusi veselības aprūpes pakalpojumu pieejamību un pakalpojumu kvalitāti, kā arī </w:t>
      </w:r>
      <w:r w:rsidRPr="00C33B26">
        <w:rPr>
          <w:shd w:val="clear" w:color="auto" w:fill="FFFFFF"/>
        </w:rPr>
        <w:t>mazinājusi pakalpojumu gaidīšanas rindas.</w:t>
      </w:r>
      <w:r>
        <w:rPr>
          <w:shd w:val="clear" w:color="auto" w:fill="FFFFFF"/>
        </w:rPr>
        <w:t xml:space="preserve"> </w:t>
      </w:r>
      <w:r w:rsidRPr="00C33B26">
        <w:rPr>
          <w:shd w:val="clear" w:color="auto" w:fill="FFFFFF"/>
        </w:rPr>
        <w:t>Papildus speciālistu piesaistei no 2019.</w:t>
      </w:r>
      <w:r>
        <w:rPr>
          <w:shd w:val="clear" w:color="auto" w:fill="FFFFFF"/>
        </w:rPr>
        <w:t xml:space="preserve"> </w:t>
      </w:r>
      <w:r w:rsidRPr="00C33B26">
        <w:rPr>
          <w:shd w:val="clear" w:color="auto" w:fill="FFFFFF"/>
        </w:rPr>
        <w:t>gada 1.</w:t>
      </w:r>
      <w:r>
        <w:rPr>
          <w:shd w:val="clear" w:color="auto" w:fill="FFFFFF"/>
        </w:rPr>
        <w:t xml:space="preserve"> </w:t>
      </w:r>
      <w:r w:rsidRPr="00C33B26">
        <w:rPr>
          <w:shd w:val="clear" w:color="auto" w:fill="FFFFFF"/>
        </w:rPr>
        <w:t xml:space="preserve">aprīļa tika piešķirti </w:t>
      </w:r>
      <w:r>
        <w:rPr>
          <w:shd w:val="clear" w:color="auto" w:fill="FFFFFF"/>
        </w:rPr>
        <w:t xml:space="preserve">2,7 milj. </w:t>
      </w:r>
      <w:r w:rsidRPr="00974203">
        <w:rPr>
          <w:i/>
          <w:shd w:val="clear" w:color="auto" w:fill="FFFFFF"/>
        </w:rPr>
        <w:t>euro</w:t>
      </w:r>
      <w:r w:rsidRPr="00974203">
        <w:rPr>
          <w:shd w:val="clear" w:color="auto" w:fill="FFFFFF"/>
        </w:rPr>
        <w:t>, lai arī</w:t>
      </w:r>
      <w:r w:rsidRPr="00C30F02">
        <w:rPr>
          <w:shd w:val="clear" w:color="auto" w:fill="FFFFFF"/>
        </w:rPr>
        <w:t xml:space="preserve"> veikto epizožu skaits un apmeklējumu skaits salīdzinot ar 2018. gadu 2019. gadā ir palielinājies, tomēr tas sasniegts ar mazāku finansējuma apmēru. Izlietotais finansējums paredzētajai reformai 2019. gadā 1,8 milj. </w:t>
      </w:r>
      <w:r w:rsidRPr="00C30F02">
        <w:rPr>
          <w:i/>
          <w:shd w:val="clear" w:color="auto" w:fill="FFFFFF"/>
        </w:rPr>
        <w:t>euro</w:t>
      </w:r>
      <w:r w:rsidRPr="00C30F02">
        <w:rPr>
          <w:shd w:val="clear" w:color="auto" w:fill="FFFFFF"/>
        </w:rPr>
        <w:t xml:space="preserve">, </w:t>
      </w:r>
      <w:r>
        <w:t xml:space="preserve">veidojot neizpildi </w:t>
      </w:r>
      <w:r>
        <w:rPr>
          <w:b/>
        </w:rPr>
        <w:t xml:space="preserve">875 564 </w:t>
      </w:r>
      <w:r w:rsidRPr="00B83CF5">
        <w:rPr>
          <w:b/>
          <w:i/>
        </w:rPr>
        <w:t>euro</w:t>
      </w:r>
      <w:r w:rsidRPr="00B83CF5">
        <w:rPr>
          <w:i/>
        </w:rPr>
        <w:t xml:space="preserve"> </w:t>
      </w:r>
      <w:r>
        <w:t xml:space="preserve">apmērā. 2020. gadā turpināta reformas iniciatīvas īstenošana ar plānoto papildus finansējumu 2,1 milj. </w:t>
      </w:r>
      <w:r w:rsidRPr="00974203">
        <w:rPr>
          <w:i/>
        </w:rPr>
        <w:t>euro</w:t>
      </w:r>
      <w:r>
        <w:t xml:space="preserve"> apmērā.</w:t>
      </w:r>
    </w:p>
    <w:p w14:paraId="2AF94F5F" w14:textId="77777777" w:rsidR="00EC52FF" w:rsidRDefault="00EC52FF" w:rsidP="00A664D7">
      <w:pPr>
        <w:spacing w:after="120"/>
        <w:ind w:firstLine="709"/>
        <w:jc w:val="both"/>
        <w:rPr>
          <w:rFonts w:eastAsia="Times New Roman"/>
          <w:b/>
          <w:i/>
          <w:sz w:val="22"/>
          <w:szCs w:val="22"/>
          <w:lang w:eastAsia="lv-LV"/>
        </w:rPr>
      </w:pPr>
      <w:r w:rsidRPr="00E91C7E">
        <w:rPr>
          <w:rFonts w:eastAsia="Times New Roman"/>
          <w:b/>
          <w:i/>
          <w:szCs w:val="22"/>
          <w:lang w:eastAsia="lv-LV"/>
        </w:rPr>
        <w:t>Diabēta apmācības kabinetu izveide</w:t>
      </w:r>
      <w:r w:rsidRPr="00E91C7E">
        <w:rPr>
          <w:rFonts w:eastAsia="Times New Roman"/>
          <w:b/>
          <w:i/>
          <w:szCs w:val="22"/>
          <w:lang w:eastAsia="lv-LV"/>
        </w:rPr>
        <w:tab/>
      </w:r>
      <w:r w:rsidRPr="00E91C7E">
        <w:rPr>
          <w:rFonts w:eastAsia="Times New Roman"/>
          <w:b/>
          <w:i/>
          <w:szCs w:val="22"/>
          <w:lang w:eastAsia="lv-LV"/>
        </w:rPr>
        <w:tab/>
      </w:r>
      <w:r>
        <w:rPr>
          <w:rFonts w:eastAsia="Times New Roman"/>
          <w:b/>
          <w:i/>
          <w:sz w:val="22"/>
          <w:szCs w:val="22"/>
          <w:lang w:eastAsia="lv-LV"/>
        </w:rPr>
        <w:tab/>
      </w:r>
      <w:r>
        <w:rPr>
          <w:rFonts w:eastAsia="Times New Roman"/>
          <w:b/>
          <w:i/>
          <w:sz w:val="22"/>
          <w:szCs w:val="22"/>
          <w:lang w:eastAsia="lv-LV"/>
        </w:rPr>
        <w:tab/>
      </w:r>
      <w:r>
        <w:rPr>
          <w:rFonts w:eastAsia="Times New Roman"/>
          <w:b/>
          <w:i/>
          <w:sz w:val="22"/>
          <w:szCs w:val="22"/>
          <w:lang w:eastAsia="lv-LV"/>
        </w:rPr>
        <w:tab/>
      </w:r>
      <w:r>
        <w:rPr>
          <w:rFonts w:eastAsia="Times New Roman"/>
          <w:b/>
          <w:i/>
          <w:sz w:val="22"/>
          <w:szCs w:val="22"/>
          <w:lang w:eastAsia="lv-LV"/>
        </w:rPr>
        <w:tab/>
      </w:r>
    </w:p>
    <w:p w14:paraId="3966CC6C" w14:textId="20A40F14" w:rsidR="00EC52FF" w:rsidRPr="00A62265" w:rsidRDefault="00EC52FF" w:rsidP="00A664D7">
      <w:pPr>
        <w:spacing w:after="120"/>
        <w:ind w:firstLine="709"/>
        <w:jc w:val="both"/>
        <w:rPr>
          <w:rFonts w:eastAsia="Times New Roman"/>
          <w:b/>
          <w:i/>
          <w:sz w:val="22"/>
          <w:szCs w:val="22"/>
          <w:lang w:eastAsia="lv-LV"/>
        </w:rPr>
      </w:pPr>
      <w:r w:rsidRPr="00E91C7E">
        <w:rPr>
          <w:rFonts w:eastAsia="Times New Roman"/>
          <w:lang w:eastAsia="lv-LV"/>
        </w:rPr>
        <w:t xml:space="preserve">Reformas iniciatīva uzsākta 2018. gadā, ar mērķi </w:t>
      </w:r>
      <w:r w:rsidRPr="00E91C7E">
        <w:t>palielināt pakalpojumu skaitu un samazināt saslimušo skaitu. Atbilstoši SPKC datiem</w:t>
      </w:r>
      <w:r w:rsidRPr="00E91C7E">
        <w:rPr>
          <w:rStyle w:val="FootnoteReference"/>
        </w:rPr>
        <w:footnoteReference w:id="12"/>
      </w:r>
      <w:r w:rsidRPr="00E91C7E">
        <w:t xml:space="preserve"> Latvijā 2008.</w:t>
      </w:r>
      <w:r>
        <w:t xml:space="preserve"> </w:t>
      </w:r>
      <w:r w:rsidRPr="00E91C7E">
        <w:t>gadā bija reģistrēti 63 409 cu</w:t>
      </w:r>
      <w:r>
        <w:t>kura diabēta pacienti (jeb 2</w:t>
      </w:r>
      <w:r w:rsidR="0021601A">
        <w:t xml:space="preserve"> </w:t>
      </w:r>
      <w:r>
        <w:t>804,</w:t>
      </w:r>
      <w:r w:rsidRPr="00E91C7E">
        <w:t>1 uz 100 000 iedzīvotājiem), savukārt 2016.gadā 88 945 (jeb 4</w:t>
      </w:r>
      <w:r w:rsidR="0021601A">
        <w:t xml:space="preserve"> </w:t>
      </w:r>
      <w:r w:rsidRPr="00E91C7E">
        <w:t>561 uz 100 000) iedzīvotājiem. Jaunākie pieejamie SPKC dati liecina, ka ar noteiktām slimībām slimojošu pacientu reģistra par pacientiem, kuriem diagnosticēts cukura diabēts, uzskaitē esošo pacientu skaits valstī 2017. gadā ir 91 571 pacientu, savukārt uz 100 000 iedzīvotāju tie ir 4</w:t>
      </w:r>
      <w:r w:rsidR="009317E4">
        <w:t xml:space="preserve"> </w:t>
      </w:r>
      <w:r w:rsidRPr="00E91C7E">
        <w:t>733,9 pacientu</w:t>
      </w:r>
      <w:r w:rsidRPr="005B2BB3">
        <w:rPr>
          <w:rStyle w:val="FootnoteReference"/>
        </w:rPr>
        <w:footnoteReference w:id="13"/>
      </w:r>
      <w:r w:rsidRPr="005B2BB3">
        <w:t xml:space="preserve">. </w:t>
      </w:r>
      <w:r>
        <w:t xml:space="preserve"> </w:t>
      </w:r>
    </w:p>
    <w:p w14:paraId="37BD2E11" w14:textId="7CA53C82" w:rsidR="005505D0" w:rsidRDefault="005505D0" w:rsidP="005505D0">
      <w:pPr>
        <w:pStyle w:val="Caption"/>
        <w:spacing w:line="254" w:lineRule="auto"/>
      </w:pPr>
      <w:bookmarkStart w:id="89" w:name="_Ref46307092"/>
      <w:r>
        <w:t xml:space="preserve">Tabula Nr. </w:t>
      </w:r>
      <w:fldSimple w:instr=" SEQ Tabula_Nr. \* ARABIC ">
        <w:r w:rsidR="00D96F20">
          <w:rPr>
            <w:noProof/>
          </w:rPr>
          <w:t>6</w:t>
        </w:r>
      </w:fldSimple>
      <w:bookmarkEnd w:id="89"/>
    </w:p>
    <w:p w14:paraId="6F9D0C0D" w14:textId="77777777" w:rsidR="00EC52FF" w:rsidRPr="00993CCD" w:rsidRDefault="00EC52FF" w:rsidP="005505D0">
      <w:pPr>
        <w:spacing w:before="120" w:after="120" w:line="254" w:lineRule="auto"/>
        <w:jc w:val="center"/>
        <w:rPr>
          <w:b/>
        </w:rPr>
      </w:pPr>
      <w:r>
        <w:rPr>
          <w:b/>
        </w:rPr>
        <w:t xml:space="preserve">Plānotais un izpildītais finansējuma un izmeklējumu apjoms 2018. un 2019. gadā </w:t>
      </w:r>
    </w:p>
    <w:tbl>
      <w:tblPr>
        <w:tblW w:w="9066" w:type="dxa"/>
        <w:tblInd w:w="-5" w:type="dxa"/>
        <w:tblLook w:val="04A0" w:firstRow="1" w:lastRow="0" w:firstColumn="1" w:lastColumn="0" w:noHBand="0" w:noVBand="1"/>
      </w:tblPr>
      <w:tblGrid>
        <w:gridCol w:w="956"/>
        <w:gridCol w:w="969"/>
        <w:gridCol w:w="969"/>
        <w:gridCol w:w="969"/>
        <w:gridCol w:w="969"/>
        <w:gridCol w:w="1030"/>
        <w:gridCol w:w="1030"/>
        <w:gridCol w:w="1070"/>
        <w:gridCol w:w="1104"/>
      </w:tblGrid>
      <w:tr w:rsidR="00733338" w:rsidRPr="00D10A3C" w14:paraId="09BF18E5" w14:textId="77777777" w:rsidTr="00733338">
        <w:trPr>
          <w:trHeight w:val="781"/>
        </w:trPr>
        <w:tc>
          <w:tcPr>
            <w:tcW w:w="949"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6E452AB" w14:textId="77777777" w:rsidR="00EC52FF" w:rsidRPr="00286CCE" w:rsidRDefault="00EC52FF" w:rsidP="005505D0">
            <w:pPr>
              <w:spacing w:before="120" w:after="120" w:line="254" w:lineRule="auto"/>
              <w:rPr>
                <w:color w:val="000000"/>
                <w:sz w:val="18"/>
                <w:szCs w:val="18"/>
              </w:rPr>
            </w:pPr>
          </w:p>
        </w:tc>
        <w:tc>
          <w:tcPr>
            <w:tcW w:w="96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0446561" w14:textId="77777777" w:rsidR="00EC52FF" w:rsidRPr="00E91C7E" w:rsidRDefault="00EC52FF" w:rsidP="005505D0">
            <w:pPr>
              <w:spacing w:before="120" w:after="120" w:line="254" w:lineRule="auto"/>
              <w:jc w:val="center"/>
              <w:rPr>
                <w:color w:val="000000"/>
                <w:sz w:val="16"/>
                <w:szCs w:val="18"/>
              </w:rPr>
            </w:pPr>
            <w:r w:rsidRPr="00E91C7E">
              <w:rPr>
                <w:color w:val="000000"/>
                <w:sz w:val="16"/>
                <w:szCs w:val="18"/>
              </w:rPr>
              <w:t>Plānotais finansējums 2018. gadā</w:t>
            </w:r>
          </w:p>
        </w:tc>
        <w:tc>
          <w:tcPr>
            <w:tcW w:w="96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AF20C6F" w14:textId="77777777" w:rsidR="00EC52FF" w:rsidRPr="00E91C7E" w:rsidRDefault="00EC52FF" w:rsidP="005505D0">
            <w:pPr>
              <w:spacing w:before="120" w:after="120" w:line="254" w:lineRule="auto"/>
              <w:jc w:val="center"/>
              <w:rPr>
                <w:color w:val="000000"/>
                <w:sz w:val="16"/>
                <w:szCs w:val="18"/>
              </w:rPr>
            </w:pPr>
            <w:r w:rsidRPr="00E91C7E">
              <w:rPr>
                <w:color w:val="000000"/>
                <w:sz w:val="16"/>
                <w:szCs w:val="18"/>
              </w:rPr>
              <w:t>Izpildītais finansējums 2018. gadā</w:t>
            </w:r>
          </w:p>
        </w:tc>
        <w:tc>
          <w:tcPr>
            <w:tcW w:w="96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2D3E221" w14:textId="77777777" w:rsidR="00EC52FF" w:rsidRPr="00E91C7E" w:rsidRDefault="00EC52FF" w:rsidP="005505D0">
            <w:pPr>
              <w:spacing w:before="120" w:after="120" w:line="254" w:lineRule="auto"/>
              <w:jc w:val="center"/>
              <w:rPr>
                <w:color w:val="000000"/>
                <w:sz w:val="16"/>
                <w:szCs w:val="18"/>
              </w:rPr>
            </w:pPr>
            <w:r w:rsidRPr="00E91C7E">
              <w:rPr>
                <w:color w:val="000000"/>
                <w:sz w:val="16"/>
                <w:szCs w:val="18"/>
              </w:rPr>
              <w:t>Plānotais finansējums 2019. gadā</w:t>
            </w:r>
          </w:p>
        </w:tc>
        <w:tc>
          <w:tcPr>
            <w:tcW w:w="96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5596E3BA" w14:textId="77777777" w:rsidR="00EC52FF" w:rsidRPr="00E91C7E" w:rsidRDefault="00EC52FF" w:rsidP="005505D0">
            <w:pPr>
              <w:spacing w:before="120" w:after="120" w:line="254" w:lineRule="auto"/>
              <w:jc w:val="center"/>
              <w:rPr>
                <w:color w:val="000000"/>
                <w:sz w:val="16"/>
                <w:szCs w:val="18"/>
              </w:rPr>
            </w:pPr>
            <w:r w:rsidRPr="00E91C7E">
              <w:rPr>
                <w:color w:val="000000"/>
                <w:sz w:val="16"/>
                <w:szCs w:val="18"/>
              </w:rPr>
              <w:t>Izpildītais finansējums 2019. gadā</w:t>
            </w:r>
          </w:p>
        </w:tc>
        <w:tc>
          <w:tcPr>
            <w:tcW w:w="102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18AB4B50" w14:textId="77777777" w:rsidR="00EC52FF" w:rsidRPr="00E91C7E" w:rsidRDefault="00EC52FF" w:rsidP="005505D0">
            <w:pPr>
              <w:spacing w:before="120" w:after="120" w:line="254" w:lineRule="auto"/>
              <w:jc w:val="center"/>
              <w:rPr>
                <w:color w:val="000000"/>
                <w:sz w:val="16"/>
                <w:szCs w:val="18"/>
              </w:rPr>
            </w:pPr>
            <w:r w:rsidRPr="00E91C7E">
              <w:rPr>
                <w:color w:val="000000"/>
                <w:sz w:val="16"/>
                <w:szCs w:val="18"/>
              </w:rPr>
              <w:t>Plānotais izmeklējumu skaits 2018. gadā</w:t>
            </w:r>
          </w:p>
        </w:tc>
        <w:tc>
          <w:tcPr>
            <w:tcW w:w="102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7E74EF63" w14:textId="77777777" w:rsidR="00EC52FF" w:rsidRPr="00E91C7E" w:rsidRDefault="00EC52FF" w:rsidP="005505D0">
            <w:pPr>
              <w:spacing w:before="120" w:after="120" w:line="254" w:lineRule="auto"/>
              <w:jc w:val="center"/>
              <w:rPr>
                <w:color w:val="000000"/>
                <w:sz w:val="16"/>
                <w:szCs w:val="18"/>
              </w:rPr>
            </w:pPr>
            <w:r w:rsidRPr="00E91C7E">
              <w:rPr>
                <w:color w:val="000000"/>
                <w:sz w:val="16"/>
                <w:szCs w:val="18"/>
              </w:rPr>
              <w:t>Veiktais izmeklējumu skaits 2018. gadā</w:t>
            </w:r>
          </w:p>
        </w:tc>
        <w:tc>
          <w:tcPr>
            <w:tcW w:w="109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7109310" w14:textId="77777777" w:rsidR="00EC52FF" w:rsidRPr="00E91C7E" w:rsidRDefault="00EC52FF" w:rsidP="005505D0">
            <w:pPr>
              <w:spacing w:before="120" w:after="120" w:line="254" w:lineRule="auto"/>
              <w:jc w:val="center"/>
              <w:rPr>
                <w:color w:val="000000"/>
                <w:sz w:val="16"/>
                <w:szCs w:val="18"/>
              </w:rPr>
            </w:pPr>
            <w:r w:rsidRPr="00E91C7E">
              <w:rPr>
                <w:color w:val="000000"/>
                <w:sz w:val="16"/>
                <w:szCs w:val="18"/>
              </w:rPr>
              <w:t>Plānotais izmeklējumu skaits 2019. gadā</w:t>
            </w:r>
          </w:p>
        </w:tc>
        <w:tc>
          <w:tcPr>
            <w:tcW w:w="1128"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1E6AE73" w14:textId="77777777" w:rsidR="00EC52FF" w:rsidRPr="00E91C7E" w:rsidRDefault="00EC52FF" w:rsidP="005505D0">
            <w:pPr>
              <w:spacing w:before="120" w:after="120" w:line="254" w:lineRule="auto"/>
              <w:jc w:val="center"/>
              <w:rPr>
                <w:color w:val="000000"/>
                <w:sz w:val="16"/>
                <w:szCs w:val="18"/>
              </w:rPr>
            </w:pPr>
            <w:r w:rsidRPr="00E91C7E">
              <w:rPr>
                <w:color w:val="000000"/>
                <w:sz w:val="16"/>
                <w:szCs w:val="18"/>
              </w:rPr>
              <w:t>Veiktais izmeklējumu skaits 2019. gadā</w:t>
            </w:r>
          </w:p>
        </w:tc>
      </w:tr>
      <w:tr w:rsidR="00733338" w:rsidRPr="00D10A3C" w14:paraId="524DBF43" w14:textId="77777777" w:rsidTr="00733338">
        <w:trPr>
          <w:trHeight w:val="29"/>
        </w:trPr>
        <w:tc>
          <w:tcPr>
            <w:tcW w:w="949"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14:paraId="032AB5A1" w14:textId="77777777" w:rsidR="00EC52FF" w:rsidRPr="00286CCE" w:rsidRDefault="00EC52FF" w:rsidP="005505D0">
            <w:pPr>
              <w:spacing w:before="120" w:after="120" w:line="254" w:lineRule="auto"/>
              <w:rPr>
                <w:color w:val="000000"/>
                <w:sz w:val="18"/>
                <w:szCs w:val="18"/>
              </w:rPr>
            </w:pPr>
            <w:r w:rsidRPr="00286CCE">
              <w:rPr>
                <w:color w:val="000000"/>
                <w:sz w:val="18"/>
                <w:szCs w:val="18"/>
              </w:rPr>
              <w:t>Diabēta apmācības kabinets</w:t>
            </w:r>
          </w:p>
        </w:tc>
        <w:tc>
          <w:tcPr>
            <w:tcW w:w="963" w:type="dxa"/>
            <w:tcBorders>
              <w:top w:val="nil"/>
              <w:left w:val="nil"/>
              <w:bottom w:val="single" w:sz="4" w:space="0" w:color="auto"/>
              <w:right w:val="single" w:sz="4" w:space="0" w:color="auto"/>
            </w:tcBorders>
            <w:shd w:val="clear" w:color="auto" w:fill="auto"/>
            <w:noWrap/>
            <w:vAlign w:val="center"/>
            <w:hideMark/>
          </w:tcPr>
          <w:p w14:paraId="1886A0F2" w14:textId="77777777" w:rsidR="00EC52FF" w:rsidRPr="00717CA2" w:rsidRDefault="00EC52FF" w:rsidP="005505D0">
            <w:pPr>
              <w:spacing w:before="120" w:after="120" w:line="254" w:lineRule="auto"/>
              <w:jc w:val="center"/>
              <w:rPr>
                <w:color w:val="000000"/>
                <w:sz w:val="20"/>
                <w:szCs w:val="20"/>
              </w:rPr>
            </w:pPr>
            <w:r>
              <w:rPr>
                <w:color w:val="000000"/>
                <w:sz w:val="20"/>
                <w:szCs w:val="20"/>
              </w:rPr>
              <w:t xml:space="preserve">146 </w:t>
            </w:r>
            <w:r w:rsidRPr="00717CA2">
              <w:rPr>
                <w:color w:val="000000"/>
                <w:sz w:val="20"/>
                <w:szCs w:val="20"/>
              </w:rPr>
              <w:t>331</w:t>
            </w:r>
          </w:p>
        </w:tc>
        <w:tc>
          <w:tcPr>
            <w:tcW w:w="963" w:type="dxa"/>
            <w:tcBorders>
              <w:top w:val="nil"/>
              <w:left w:val="nil"/>
              <w:bottom w:val="single" w:sz="4" w:space="0" w:color="auto"/>
              <w:right w:val="single" w:sz="4" w:space="0" w:color="auto"/>
            </w:tcBorders>
            <w:shd w:val="clear" w:color="auto" w:fill="auto"/>
            <w:noWrap/>
            <w:vAlign w:val="center"/>
            <w:hideMark/>
          </w:tcPr>
          <w:p w14:paraId="7FD928BA" w14:textId="77777777" w:rsidR="00EC52FF" w:rsidRPr="00717CA2" w:rsidRDefault="00EC52FF" w:rsidP="005505D0">
            <w:pPr>
              <w:spacing w:before="120" w:after="120" w:line="254" w:lineRule="auto"/>
              <w:jc w:val="center"/>
              <w:rPr>
                <w:color w:val="000000"/>
                <w:sz w:val="20"/>
                <w:szCs w:val="20"/>
              </w:rPr>
            </w:pPr>
            <w:r w:rsidRPr="00717CA2">
              <w:rPr>
                <w:color w:val="000000"/>
                <w:sz w:val="20"/>
                <w:szCs w:val="20"/>
              </w:rPr>
              <w:t>146</w:t>
            </w:r>
            <w:r>
              <w:rPr>
                <w:color w:val="000000"/>
                <w:sz w:val="20"/>
                <w:szCs w:val="20"/>
              </w:rPr>
              <w:t xml:space="preserve"> </w:t>
            </w:r>
            <w:r w:rsidRPr="00717CA2">
              <w:rPr>
                <w:color w:val="000000"/>
                <w:sz w:val="20"/>
                <w:szCs w:val="20"/>
              </w:rPr>
              <w:t>331</w:t>
            </w:r>
          </w:p>
        </w:tc>
        <w:tc>
          <w:tcPr>
            <w:tcW w:w="963" w:type="dxa"/>
            <w:tcBorders>
              <w:top w:val="nil"/>
              <w:left w:val="nil"/>
              <w:bottom w:val="single" w:sz="4" w:space="0" w:color="auto"/>
              <w:right w:val="single" w:sz="4" w:space="0" w:color="auto"/>
            </w:tcBorders>
            <w:shd w:val="clear" w:color="auto" w:fill="auto"/>
            <w:noWrap/>
            <w:vAlign w:val="center"/>
            <w:hideMark/>
          </w:tcPr>
          <w:p w14:paraId="48FC5612" w14:textId="77777777" w:rsidR="00EC52FF" w:rsidRPr="00717CA2" w:rsidRDefault="00EC52FF" w:rsidP="005505D0">
            <w:pPr>
              <w:spacing w:before="120" w:after="120" w:line="254" w:lineRule="auto"/>
              <w:jc w:val="center"/>
              <w:rPr>
                <w:color w:val="000000"/>
                <w:sz w:val="20"/>
                <w:szCs w:val="20"/>
              </w:rPr>
            </w:pPr>
            <w:r>
              <w:rPr>
                <w:color w:val="000000"/>
                <w:sz w:val="20"/>
                <w:szCs w:val="20"/>
              </w:rPr>
              <w:t xml:space="preserve">236 </w:t>
            </w:r>
            <w:r w:rsidRPr="00717CA2">
              <w:rPr>
                <w:color w:val="000000"/>
                <w:sz w:val="20"/>
                <w:szCs w:val="20"/>
              </w:rPr>
              <w:t>759</w:t>
            </w:r>
          </w:p>
        </w:tc>
        <w:tc>
          <w:tcPr>
            <w:tcW w:w="963" w:type="dxa"/>
            <w:tcBorders>
              <w:top w:val="nil"/>
              <w:left w:val="nil"/>
              <w:bottom w:val="single" w:sz="4" w:space="0" w:color="auto"/>
              <w:right w:val="single" w:sz="4" w:space="0" w:color="auto"/>
            </w:tcBorders>
            <w:shd w:val="clear" w:color="auto" w:fill="auto"/>
            <w:noWrap/>
            <w:vAlign w:val="center"/>
            <w:hideMark/>
          </w:tcPr>
          <w:p w14:paraId="137ECF2D" w14:textId="77777777" w:rsidR="00EC52FF" w:rsidRPr="00717CA2" w:rsidRDefault="00EC52FF" w:rsidP="005505D0">
            <w:pPr>
              <w:spacing w:before="120" w:after="120" w:line="254" w:lineRule="auto"/>
              <w:jc w:val="center"/>
              <w:rPr>
                <w:color w:val="000000"/>
                <w:sz w:val="20"/>
                <w:szCs w:val="20"/>
              </w:rPr>
            </w:pPr>
            <w:r>
              <w:rPr>
                <w:color w:val="000000"/>
                <w:sz w:val="20"/>
                <w:szCs w:val="20"/>
              </w:rPr>
              <w:t xml:space="preserve">236 </w:t>
            </w:r>
            <w:r w:rsidRPr="00717CA2">
              <w:rPr>
                <w:color w:val="000000"/>
                <w:sz w:val="20"/>
                <w:szCs w:val="20"/>
              </w:rPr>
              <w:t>759</w:t>
            </w:r>
          </w:p>
        </w:tc>
        <w:tc>
          <w:tcPr>
            <w:tcW w:w="1022" w:type="dxa"/>
            <w:tcBorders>
              <w:top w:val="nil"/>
              <w:left w:val="nil"/>
              <w:bottom w:val="single" w:sz="4" w:space="0" w:color="auto"/>
              <w:right w:val="single" w:sz="4" w:space="0" w:color="auto"/>
            </w:tcBorders>
            <w:shd w:val="clear" w:color="auto" w:fill="auto"/>
            <w:noWrap/>
            <w:vAlign w:val="center"/>
            <w:hideMark/>
          </w:tcPr>
          <w:p w14:paraId="02DEB4A3" w14:textId="77777777" w:rsidR="00EC52FF" w:rsidRPr="00717CA2" w:rsidRDefault="00EC52FF" w:rsidP="005505D0">
            <w:pPr>
              <w:spacing w:before="120" w:after="120" w:line="254" w:lineRule="auto"/>
              <w:jc w:val="center"/>
              <w:rPr>
                <w:color w:val="000000"/>
                <w:sz w:val="20"/>
                <w:szCs w:val="20"/>
              </w:rPr>
            </w:pPr>
            <w:r>
              <w:rPr>
                <w:color w:val="000000"/>
                <w:sz w:val="20"/>
                <w:szCs w:val="20"/>
              </w:rPr>
              <w:t xml:space="preserve">20 </w:t>
            </w:r>
            <w:r w:rsidRPr="00717CA2">
              <w:rPr>
                <w:color w:val="000000"/>
                <w:sz w:val="20"/>
                <w:szCs w:val="20"/>
              </w:rPr>
              <w:t>336</w:t>
            </w:r>
          </w:p>
        </w:tc>
        <w:tc>
          <w:tcPr>
            <w:tcW w:w="1022" w:type="dxa"/>
            <w:tcBorders>
              <w:top w:val="nil"/>
              <w:left w:val="nil"/>
              <w:bottom w:val="single" w:sz="4" w:space="0" w:color="auto"/>
              <w:right w:val="single" w:sz="4" w:space="0" w:color="auto"/>
            </w:tcBorders>
            <w:shd w:val="clear" w:color="auto" w:fill="auto"/>
            <w:noWrap/>
            <w:vAlign w:val="center"/>
            <w:hideMark/>
          </w:tcPr>
          <w:p w14:paraId="34C4890A" w14:textId="77777777" w:rsidR="00EC52FF" w:rsidRPr="00717CA2" w:rsidRDefault="00EC52FF" w:rsidP="005505D0">
            <w:pPr>
              <w:spacing w:before="120" w:after="120" w:line="254" w:lineRule="auto"/>
              <w:jc w:val="center"/>
              <w:rPr>
                <w:color w:val="000000"/>
                <w:sz w:val="20"/>
                <w:szCs w:val="20"/>
              </w:rPr>
            </w:pPr>
            <w:r>
              <w:rPr>
                <w:color w:val="000000"/>
                <w:sz w:val="20"/>
                <w:szCs w:val="20"/>
              </w:rPr>
              <w:t xml:space="preserve">7 </w:t>
            </w:r>
            <w:r w:rsidRPr="00717CA2">
              <w:rPr>
                <w:color w:val="000000"/>
                <w:sz w:val="20"/>
                <w:szCs w:val="20"/>
              </w:rPr>
              <w:t>893</w:t>
            </w:r>
          </w:p>
        </w:tc>
        <w:tc>
          <w:tcPr>
            <w:tcW w:w="1093" w:type="dxa"/>
            <w:tcBorders>
              <w:top w:val="nil"/>
              <w:left w:val="nil"/>
              <w:bottom w:val="single" w:sz="4" w:space="0" w:color="auto"/>
              <w:right w:val="single" w:sz="4" w:space="0" w:color="auto"/>
            </w:tcBorders>
            <w:shd w:val="clear" w:color="auto" w:fill="auto"/>
            <w:noWrap/>
            <w:vAlign w:val="center"/>
            <w:hideMark/>
          </w:tcPr>
          <w:p w14:paraId="72CA0479" w14:textId="77777777" w:rsidR="00EC52FF" w:rsidRPr="00717CA2" w:rsidRDefault="00EC52FF" w:rsidP="005505D0">
            <w:pPr>
              <w:spacing w:before="120" w:after="120" w:line="254" w:lineRule="auto"/>
              <w:jc w:val="center"/>
              <w:rPr>
                <w:color w:val="000000"/>
                <w:sz w:val="20"/>
                <w:szCs w:val="20"/>
              </w:rPr>
            </w:pPr>
            <w:r>
              <w:rPr>
                <w:color w:val="000000"/>
                <w:sz w:val="20"/>
                <w:szCs w:val="20"/>
              </w:rPr>
              <w:t xml:space="preserve">27 </w:t>
            </w:r>
            <w:r w:rsidRPr="00717CA2">
              <w:rPr>
                <w:color w:val="000000"/>
                <w:sz w:val="20"/>
                <w:szCs w:val="20"/>
              </w:rPr>
              <w:t>989</w:t>
            </w:r>
          </w:p>
        </w:tc>
        <w:tc>
          <w:tcPr>
            <w:tcW w:w="1128" w:type="dxa"/>
            <w:tcBorders>
              <w:top w:val="nil"/>
              <w:left w:val="nil"/>
              <w:bottom w:val="single" w:sz="4" w:space="0" w:color="auto"/>
              <w:right w:val="single" w:sz="4" w:space="0" w:color="auto"/>
            </w:tcBorders>
            <w:shd w:val="clear" w:color="auto" w:fill="auto"/>
            <w:noWrap/>
            <w:vAlign w:val="center"/>
            <w:hideMark/>
          </w:tcPr>
          <w:p w14:paraId="4B1A7D82" w14:textId="77777777" w:rsidR="00EC52FF" w:rsidRPr="00717CA2" w:rsidRDefault="00EC52FF" w:rsidP="005505D0">
            <w:pPr>
              <w:spacing w:before="120" w:after="120" w:line="254" w:lineRule="auto"/>
              <w:jc w:val="center"/>
              <w:rPr>
                <w:color w:val="000000"/>
                <w:sz w:val="20"/>
                <w:szCs w:val="20"/>
              </w:rPr>
            </w:pPr>
            <w:r>
              <w:rPr>
                <w:color w:val="000000"/>
                <w:sz w:val="20"/>
                <w:szCs w:val="20"/>
              </w:rPr>
              <w:t xml:space="preserve">18 </w:t>
            </w:r>
            <w:r w:rsidRPr="00717CA2">
              <w:rPr>
                <w:color w:val="000000"/>
                <w:sz w:val="20"/>
                <w:szCs w:val="20"/>
              </w:rPr>
              <w:t>869</w:t>
            </w:r>
          </w:p>
        </w:tc>
      </w:tr>
    </w:tbl>
    <w:p w14:paraId="0BAF61C8" w14:textId="77777777" w:rsidR="00203DFE" w:rsidRDefault="00203DFE" w:rsidP="00203DFE">
      <w:pPr>
        <w:spacing w:after="120"/>
        <w:ind w:firstLine="720"/>
        <w:jc w:val="both"/>
      </w:pPr>
    </w:p>
    <w:p w14:paraId="6246F378" w14:textId="048E09B1" w:rsidR="00EC52FF" w:rsidRPr="00974203" w:rsidRDefault="00EC52FF" w:rsidP="00A664D7">
      <w:pPr>
        <w:spacing w:after="120"/>
        <w:ind w:firstLine="720"/>
        <w:jc w:val="both"/>
        <w:rPr>
          <w:rFonts w:eastAsia="Times New Roman"/>
          <w:color w:val="000000"/>
          <w:lang w:eastAsia="lv-LV"/>
        </w:rPr>
      </w:pPr>
      <w:r>
        <w:t xml:space="preserve">NVD pieejamie dati par plānoto un izpildīto finansējuma un izmeklējumu apjomu 2018. un 2019. gadā liecina, ka, lai arī finansējums tiek piešķirts dotācijas veidā, plānotais un veiktais izmeklējumu skaits būtiski atšķiras, veiktajam izmeklējuma skaitam nesasniedzot </w:t>
      </w:r>
      <w:r w:rsidRPr="00A62265">
        <w:t xml:space="preserve">plānoto </w:t>
      </w:r>
      <w:r>
        <w:t>(</w:t>
      </w:r>
      <w:r w:rsidR="005505D0" w:rsidRPr="005505D0">
        <w:fldChar w:fldCharType="begin"/>
      </w:r>
      <w:r w:rsidR="005505D0" w:rsidRPr="005505D0">
        <w:instrText xml:space="preserve"> REF _Ref46307092 \h </w:instrText>
      </w:r>
      <w:r w:rsidR="005505D0">
        <w:instrText xml:space="preserve"> \* MERGEFORMAT </w:instrText>
      </w:r>
      <w:r w:rsidR="005505D0" w:rsidRPr="005505D0">
        <w:fldChar w:fldCharType="separate"/>
      </w:r>
      <w:r w:rsidR="00D96F20">
        <w:t xml:space="preserve">Tabula Nr. </w:t>
      </w:r>
      <w:r w:rsidR="00D96F20">
        <w:rPr>
          <w:noProof/>
        </w:rPr>
        <w:t>6</w:t>
      </w:r>
      <w:r w:rsidR="005505D0" w:rsidRPr="005505D0">
        <w:fldChar w:fldCharType="end"/>
      </w:r>
      <w:r w:rsidRPr="005505D0">
        <w:t>). Savukārt</w:t>
      </w:r>
      <w:r w:rsidRPr="00A62265">
        <w:t xml:space="preserve"> reformas ietvaros paredzētais papildus finansējums </w:t>
      </w:r>
      <w:r w:rsidRPr="00A62265">
        <w:rPr>
          <w:rFonts w:eastAsia="Times New Roman"/>
          <w:lang w:eastAsia="lv-LV"/>
        </w:rPr>
        <w:t xml:space="preserve">225 768 </w:t>
      </w:r>
      <w:r w:rsidRPr="00A62265">
        <w:rPr>
          <w:rFonts w:eastAsia="Times New Roman"/>
          <w:i/>
          <w:lang w:eastAsia="lv-LV"/>
        </w:rPr>
        <w:t xml:space="preserve">euro </w:t>
      </w:r>
      <w:r w:rsidRPr="00A62265">
        <w:rPr>
          <w:rFonts w:eastAsia="Times New Roman"/>
          <w:lang w:eastAsia="lv-LV"/>
        </w:rPr>
        <w:t xml:space="preserve">apmērā diabēta apmācību kabineta izveidei izlietots 216 658 </w:t>
      </w:r>
      <w:r w:rsidRPr="00A62265">
        <w:rPr>
          <w:rFonts w:eastAsia="Times New Roman"/>
          <w:i/>
          <w:lang w:eastAsia="lv-LV"/>
        </w:rPr>
        <w:t>euro</w:t>
      </w:r>
      <w:r w:rsidRPr="00A62265">
        <w:rPr>
          <w:rFonts w:eastAsia="Times New Roman"/>
          <w:lang w:eastAsia="lv-LV"/>
        </w:rPr>
        <w:t xml:space="preserve"> apmērā, veidojot neizpildi </w:t>
      </w:r>
      <w:r w:rsidRPr="00A62265">
        <w:rPr>
          <w:rFonts w:eastAsia="Times New Roman"/>
          <w:b/>
          <w:iCs/>
          <w:lang w:eastAsia="lv-LV"/>
        </w:rPr>
        <w:t>9 </w:t>
      </w:r>
      <w:r w:rsidRPr="00187FE2">
        <w:rPr>
          <w:rFonts w:eastAsia="Times New Roman"/>
          <w:b/>
          <w:iCs/>
          <w:lang w:eastAsia="lv-LV"/>
        </w:rPr>
        <w:t xml:space="preserve">110 </w:t>
      </w:r>
      <w:r w:rsidRPr="00187FE2">
        <w:rPr>
          <w:rFonts w:eastAsia="Times New Roman"/>
          <w:b/>
          <w:i/>
          <w:iCs/>
          <w:lang w:eastAsia="lv-LV"/>
        </w:rPr>
        <w:t>euro</w:t>
      </w:r>
      <w:r w:rsidRPr="00A62265">
        <w:rPr>
          <w:rFonts w:eastAsia="Times New Roman"/>
          <w:iCs/>
          <w:lang w:eastAsia="lv-LV"/>
        </w:rPr>
        <w:t xml:space="preserve"> </w:t>
      </w:r>
      <w:r w:rsidRPr="00A62265">
        <w:rPr>
          <w:rFonts w:eastAsia="Times New Roman"/>
          <w:b/>
          <w:iCs/>
          <w:lang w:eastAsia="lv-LV"/>
        </w:rPr>
        <w:t xml:space="preserve">apmērā. </w:t>
      </w:r>
      <w:r>
        <w:t xml:space="preserve">2020. gadā turpināta reformas iniciatīvas īstenošana ar plānoto papildus finansējumu </w:t>
      </w:r>
      <w:r w:rsidRPr="00974203">
        <w:rPr>
          <w:rFonts w:eastAsia="Times New Roman"/>
          <w:color w:val="000000"/>
          <w:lang w:eastAsia="lv-LV"/>
        </w:rPr>
        <w:t>212</w:t>
      </w:r>
      <w:r>
        <w:rPr>
          <w:rFonts w:eastAsia="Times New Roman"/>
          <w:color w:val="000000"/>
          <w:lang w:eastAsia="lv-LV"/>
        </w:rPr>
        <w:t> </w:t>
      </w:r>
      <w:r w:rsidRPr="00974203">
        <w:rPr>
          <w:rFonts w:eastAsia="Times New Roman"/>
          <w:color w:val="000000"/>
          <w:lang w:eastAsia="lv-LV"/>
        </w:rPr>
        <w:t>816</w:t>
      </w:r>
      <w:r>
        <w:rPr>
          <w:rFonts w:eastAsia="Times New Roman"/>
          <w:color w:val="000000"/>
          <w:lang w:eastAsia="lv-LV"/>
        </w:rPr>
        <w:t xml:space="preserve"> </w:t>
      </w:r>
      <w:r w:rsidRPr="00974203">
        <w:rPr>
          <w:i/>
        </w:rPr>
        <w:t>euro</w:t>
      </w:r>
      <w:r>
        <w:t xml:space="preserve"> apmērā.</w:t>
      </w:r>
    </w:p>
    <w:p w14:paraId="65F2C77B" w14:textId="77777777" w:rsidR="00EC52FF" w:rsidRPr="002046E7" w:rsidRDefault="00EC52FF" w:rsidP="00A664D7">
      <w:pPr>
        <w:spacing w:after="120"/>
        <w:ind w:firstLine="720"/>
        <w:jc w:val="both"/>
        <w:rPr>
          <w:rFonts w:eastAsia="Times New Roman"/>
          <w:b/>
          <w:i/>
          <w:lang w:eastAsia="lv-LV"/>
        </w:rPr>
      </w:pPr>
      <w:r w:rsidRPr="00187FE2">
        <w:rPr>
          <w:rFonts w:eastAsia="Times New Roman"/>
          <w:b/>
          <w:i/>
          <w:lang w:eastAsia="lv-LV"/>
        </w:rPr>
        <w:t>Endoprotezēšanas operācijas stacionārā</w:t>
      </w:r>
      <w:r w:rsidRPr="002046E7">
        <w:rPr>
          <w:rFonts w:eastAsia="Times New Roman"/>
          <w:b/>
          <w:i/>
          <w:lang w:eastAsia="lv-LV"/>
        </w:rPr>
        <w:t xml:space="preserve"> un endoprotezēšanas zāles izveide</w:t>
      </w:r>
    </w:p>
    <w:p w14:paraId="2DDB953F" w14:textId="3FDFA35E" w:rsidR="00EC52FF" w:rsidRPr="007F7BF0" w:rsidRDefault="00EC52FF" w:rsidP="00A664D7">
      <w:pPr>
        <w:spacing w:after="120"/>
        <w:ind w:firstLine="720"/>
        <w:jc w:val="both"/>
        <w:rPr>
          <w:rFonts w:eastAsia="Times New Roman"/>
          <w:color w:val="000000"/>
          <w:lang w:eastAsia="lv-LV"/>
        </w:rPr>
      </w:pPr>
      <w:r w:rsidRPr="00A352D4">
        <w:lastRenderedPageBreak/>
        <w:t>2019.</w:t>
      </w:r>
      <w:r w:rsidR="004A2CC7">
        <w:t xml:space="preserve"> </w:t>
      </w:r>
      <w:r w:rsidRPr="00A352D4">
        <w:t>gadā t</w:t>
      </w:r>
      <w:r>
        <w:t>ika plānots papildus apmaksāt 1</w:t>
      </w:r>
      <w:r w:rsidRPr="00A352D4">
        <w:t xml:space="preserve">036 endoprotezēšanas operāciju, par kopējo summu </w:t>
      </w:r>
      <w:r w:rsidRPr="007F7BF0">
        <w:t xml:space="preserve">2,6 milj. </w:t>
      </w:r>
      <w:r w:rsidRPr="007F7BF0">
        <w:rPr>
          <w:i/>
        </w:rPr>
        <w:t>euro</w:t>
      </w:r>
      <w:r w:rsidRPr="007F7BF0">
        <w:t>. Faktiski veiktas 802</w:t>
      </w:r>
      <w:r w:rsidRPr="00A352D4">
        <w:rPr>
          <w:i/>
        </w:rPr>
        <w:t xml:space="preserve"> </w:t>
      </w:r>
      <w:r w:rsidRPr="00A352D4">
        <w:t xml:space="preserve">endoprotezēšanas operācijas par </w:t>
      </w:r>
      <w:r w:rsidRPr="00A352D4">
        <w:rPr>
          <w:rFonts w:eastAsia="Times New Roman"/>
          <w:lang w:eastAsia="lv-LV"/>
        </w:rPr>
        <w:t xml:space="preserve">2,5 milj. </w:t>
      </w:r>
      <w:r w:rsidRPr="00A352D4">
        <w:rPr>
          <w:rFonts w:eastAsia="Times New Roman"/>
          <w:i/>
          <w:lang w:eastAsia="lv-LV"/>
        </w:rPr>
        <w:t>euro</w:t>
      </w:r>
      <w:r w:rsidRPr="00A352D4">
        <w:rPr>
          <w:rFonts w:eastAsia="Times New Roman"/>
          <w:lang w:eastAsia="lv-LV"/>
        </w:rPr>
        <w:t xml:space="preserve">, veidojot neizpildi </w:t>
      </w:r>
      <w:r w:rsidRPr="00A352D4">
        <w:rPr>
          <w:rFonts w:eastAsia="Times New Roman"/>
          <w:b/>
          <w:lang w:eastAsia="lv-LV"/>
        </w:rPr>
        <w:t xml:space="preserve">116 747 </w:t>
      </w:r>
      <w:r w:rsidRPr="00A352D4">
        <w:rPr>
          <w:rFonts w:eastAsia="Times New Roman"/>
          <w:b/>
          <w:i/>
          <w:lang w:eastAsia="lv-LV"/>
        </w:rPr>
        <w:t>euro</w:t>
      </w:r>
      <w:r w:rsidRPr="00A352D4">
        <w:rPr>
          <w:rFonts w:eastAsia="Times New Roman"/>
          <w:i/>
          <w:lang w:eastAsia="lv-LV"/>
        </w:rPr>
        <w:t xml:space="preserve"> </w:t>
      </w:r>
      <w:r w:rsidRPr="00A352D4">
        <w:rPr>
          <w:rFonts w:eastAsia="Times New Roman"/>
          <w:lang w:eastAsia="lv-LV"/>
        </w:rPr>
        <w:t>apmērā.</w:t>
      </w:r>
      <w:r>
        <w:rPr>
          <w:rFonts w:eastAsia="Times New Roman"/>
          <w:lang w:eastAsia="lv-LV"/>
        </w:rPr>
        <w:t xml:space="preserve"> </w:t>
      </w:r>
      <w:r>
        <w:t xml:space="preserve">2020. gadā turpināta reformas iniciatīvas īstenošana ar plānoto papildus finansējumu </w:t>
      </w:r>
      <w:r>
        <w:rPr>
          <w:rFonts w:eastAsia="Times New Roman"/>
          <w:color w:val="000000"/>
          <w:lang w:eastAsia="lv-LV"/>
        </w:rPr>
        <w:t xml:space="preserve">2,6 milj. </w:t>
      </w:r>
      <w:r w:rsidRPr="00974203">
        <w:rPr>
          <w:i/>
        </w:rPr>
        <w:t>euro</w:t>
      </w:r>
      <w:r>
        <w:t xml:space="preserve"> apmērā.</w:t>
      </w:r>
      <w:r w:rsidRPr="00A352D4">
        <w:rPr>
          <w:rFonts w:eastAsia="Times New Roman"/>
          <w:lang w:eastAsia="lv-LV"/>
        </w:rPr>
        <w:t xml:space="preserve"> </w:t>
      </w:r>
      <w:r>
        <w:rPr>
          <w:rFonts w:eastAsia="Times New Roman"/>
          <w:lang w:eastAsia="lv-LV"/>
        </w:rPr>
        <w:t xml:space="preserve">Papildus 2019. gadā bija paredzēta </w:t>
      </w:r>
      <w:r w:rsidRPr="00C33B26">
        <w:t>VSIA “Traumato</w:t>
      </w:r>
      <w:r>
        <w:t>loģijas un ortopēdijas slimnīcas” e</w:t>
      </w:r>
      <w:r w:rsidRPr="007F7BF0">
        <w:t>ndoprotezēšanas operācijas bloka izveide</w:t>
      </w:r>
      <w:r>
        <w:t xml:space="preserve"> ar </w:t>
      </w:r>
      <w:r w:rsidRPr="007F7BF0">
        <w:t>962 059</w:t>
      </w:r>
      <w:r>
        <w:t xml:space="preserve"> </w:t>
      </w:r>
      <w:r w:rsidRPr="007F7BF0">
        <w:rPr>
          <w:i/>
        </w:rPr>
        <w:t>euro</w:t>
      </w:r>
      <w:r>
        <w:t xml:space="preserve"> lielu finansējumu. 2019. gadā izlietotais finansējums paredzētajam mērķim sasniedz </w:t>
      </w:r>
      <w:r w:rsidRPr="007F7BF0">
        <w:rPr>
          <w:rFonts w:eastAsia="Times New Roman"/>
          <w:color w:val="000000"/>
          <w:lang w:eastAsia="lv-LV"/>
        </w:rPr>
        <w:t>153</w:t>
      </w:r>
      <w:r>
        <w:rPr>
          <w:rFonts w:eastAsia="Times New Roman"/>
          <w:color w:val="000000"/>
          <w:lang w:eastAsia="lv-LV"/>
        </w:rPr>
        <w:t> </w:t>
      </w:r>
      <w:r w:rsidRPr="007F7BF0">
        <w:rPr>
          <w:rFonts w:eastAsia="Times New Roman"/>
          <w:color w:val="000000"/>
          <w:lang w:eastAsia="lv-LV"/>
        </w:rPr>
        <w:t>598</w:t>
      </w:r>
      <w:r>
        <w:rPr>
          <w:rFonts w:eastAsia="Times New Roman"/>
          <w:color w:val="000000"/>
          <w:lang w:eastAsia="lv-LV"/>
        </w:rPr>
        <w:t xml:space="preserve"> </w:t>
      </w:r>
      <w:r w:rsidRPr="007F7BF0">
        <w:rPr>
          <w:rFonts w:eastAsia="Times New Roman"/>
          <w:i/>
          <w:color w:val="000000"/>
          <w:lang w:eastAsia="lv-LV"/>
        </w:rPr>
        <w:t>euro</w:t>
      </w:r>
      <w:r>
        <w:rPr>
          <w:rFonts w:eastAsia="Times New Roman"/>
          <w:color w:val="000000"/>
          <w:lang w:eastAsia="lv-LV"/>
        </w:rPr>
        <w:t xml:space="preserve">, neizmantojot </w:t>
      </w:r>
      <w:r w:rsidRPr="007F7BF0">
        <w:rPr>
          <w:rFonts w:eastAsia="Times New Roman"/>
          <w:b/>
          <w:color w:val="000000"/>
          <w:lang w:eastAsia="lv-LV"/>
        </w:rPr>
        <w:t xml:space="preserve">808 461 </w:t>
      </w:r>
      <w:r w:rsidRPr="0027496E">
        <w:rPr>
          <w:rFonts w:eastAsia="Times New Roman"/>
          <w:b/>
          <w:i/>
          <w:color w:val="000000"/>
          <w:lang w:eastAsia="lv-LV"/>
        </w:rPr>
        <w:t>euro</w:t>
      </w:r>
      <w:r>
        <w:rPr>
          <w:rFonts w:eastAsia="Times New Roman"/>
          <w:color w:val="000000"/>
          <w:lang w:eastAsia="lv-LV"/>
        </w:rPr>
        <w:t xml:space="preserve"> no kopējā finansējuma. Tāpat 2019. gadā nav apgūts finansējums </w:t>
      </w:r>
      <w:r w:rsidRPr="007F7BF0">
        <w:rPr>
          <w:rFonts w:eastAsia="Times New Roman"/>
          <w:b/>
          <w:color w:val="000000"/>
          <w:lang w:eastAsia="lv-LV"/>
        </w:rPr>
        <w:t xml:space="preserve">120 000 </w:t>
      </w:r>
      <w:r w:rsidRPr="007F7BF0">
        <w:rPr>
          <w:rFonts w:eastAsia="Times New Roman"/>
          <w:b/>
          <w:i/>
          <w:color w:val="000000"/>
          <w:lang w:eastAsia="lv-LV"/>
        </w:rPr>
        <w:t>euro</w:t>
      </w:r>
      <w:r>
        <w:rPr>
          <w:rFonts w:eastAsia="Times New Roman"/>
          <w:color w:val="000000"/>
          <w:lang w:eastAsia="lv-LV"/>
        </w:rPr>
        <w:t xml:space="preserve"> apmērā i</w:t>
      </w:r>
      <w:r w:rsidRPr="007F7BF0">
        <w:rPr>
          <w:rFonts w:eastAsia="Times New Roman"/>
          <w:color w:val="000000"/>
          <w:lang w:eastAsia="lv-LV"/>
        </w:rPr>
        <w:t>ebūvējamā aprīkojuma operāciju zālei</w:t>
      </w:r>
      <w:r>
        <w:rPr>
          <w:rFonts w:eastAsia="Times New Roman"/>
          <w:color w:val="000000"/>
          <w:lang w:eastAsia="lv-LV"/>
        </w:rPr>
        <w:t xml:space="preserve">, savukārt pārvietojamo iekārtu iegādei operāciju zālē paredzētais 352 000 </w:t>
      </w:r>
      <w:r w:rsidRPr="007F7BF0">
        <w:rPr>
          <w:rFonts w:eastAsia="Times New Roman"/>
          <w:i/>
          <w:color w:val="000000"/>
          <w:lang w:eastAsia="lv-LV"/>
        </w:rPr>
        <w:t xml:space="preserve">euro </w:t>
      </w:r>
      <w:r>
        <w:rPr>
          <w:rFonts w:eastAsia="Times New Roman"/>
          <w:color w:val="000000"/>
          <w:lang w:eastAsia="lv-LV"/>
        </w:rPr>
        <w:t xml:space="preserve">finansējums apgūts </w:t>
      </w:r>
      <w:r w:rsidRPr="007F7BF0">
        <w:rPr>
          <w:rFonts w:eastAsia="Times New Roman"/>
          <w:color w:val="000000"/>
          <w:lang w:eastAsia="lv-LV"/>
        </w:rPr>
        <w:t>138</w:t>
      </w:r>
      <w:r>
        <w:rPr>
          <w:rFonts w:eastAsia="Times New Roman"/>
          <w:color w:val="000000"/>
          <w:lang w:eastAsia="lv-LV"/>
        </w:rPr>
        <w:t> </w:t>
      </w:r>
      <w:r w:rsidRPr="007F7BF0">
        <w:rPr>
          <w:rFonts w:eastAsia="Times New Roman"/>
          <w:color w:val="000000"/>
          <w:lang w:eastAsia="lv-LV"/>
        </w:rPr>
        <w:t>64</w:t>
      </w:r>
      <w:r>
        <w:rPr>
          <w:rFonts w:eastAsia="Times New Roman"/>
          <w:color w:val="000000"/>
          <w:lang w:eastAsia="lv-LV"/>
        </w:rPr>
        <w:t xml:space="preserve">1 </w:t>
      </w:r>
      <w:r w:rsidRPr="00F053F6">
        <w:rPr>
          <w:rFonts w:eastAsia="Times New Roman"/>
          <w:i/>
          <w:color w:val="000000"/>
          <w:lang w:eastAsia="lv-LV"/>
        </w:rPr>
        <w:t>euro</w:t>
      </w:r>
      <w:r>
        <w:rPr>
          <w:rFonts w:eastAsia="Times New Roman"/>
          <w:color w:val="000000"/>
          <w:lang w:eastAsia="lv-LV"/>
        </w:rPr>
        <w:t xml:space="preserve"> apmērā, veidojot atlikumu 213 358</w:t>
      </w:r>
      <w:r w:rsidRPr="00F053F6">
        <w:rPr>
          <w:rFonts w:eastAsia="Times New Roman"/>
          <w:i/>
          <w:color w:val="000000"/>
          <w:lang w:eastAsia="lv-LV"/>
        </w:rPr>
        <w:t xml:space="preserve"> euro</w:t>
      </w:r>
      <w:r>
        <w:rPr>
          <w:rFonts w:eastAsia="Times New Roman"/>
          <w:color w:val="000000"/>
          <w:lang w:eastAsia="lv-LV"/>
        </w:rPr>
        <w:t xml:space="preserve"> apmērā. VM ir norādījusi, ka paredzētais finansējums atrodas slimnīcas kontā un tiks izmantos atbilstoši mērķim. FM aicina VM turpināt uzraudzīt izlietotā finansējuma apjomu un atbilstību mērķim. </w:t>
      </w:r>
    </w:p>
    <w:p w14:paraId="5BF96A60" w14:textId="77777777" w:rsidR="00EC52FF" w:rsidRPr="002046E7" w:rsidRDefault="00EC52FF" w:rsidP="00203DFE">
      <w:pPr>
        <w:spacing w:before="120" w:after="120"/>
        <w:ind w:firstLine="720"/>
        <w:jc w:val="both"/>
        <w:rPr>
          <w:rFonts w:eastAsia="Times New Roman"/>
          <w:b/>
          <w:i/>
          <w:lang w:eastAsia="lv-LV"/>
        </w:rPr>
      </w:pPr>
      <w:r w:rsidRPr="002046E7">
        <w:rPr>
          <w:rFonts w:eastAsia="Times New Roman"/>
          <w:b/>
          <w:i/>
          <w:lang w:eastAsia="lv-LV"/>
        </w:rPr>
        <w:t xml:space="preserve">Darbnespējas saīsināšana un pasākumi prognozējamās invaliditātes novēršanai ar mērķi novērst ilgstošu slimošanu personām darbspējīgā vecumā </w:t>
      </w:r>
    </w:p>
    <w:p w14:paraId="0A72D293" w14:textId="77777777" w:rsidR="00EC52FF" w:rsidRPr="00C33B26" w:rsidRDefault="00EC52FF" w:rsidP="00203DFE">
      <w:pPr>
        <w:autoSpaceDE w:val="0"/>
        <w:autoSpaceDN w:val="0"/>
        <w:adjustRightInd w:val="0"/>
        <w:spacing w:before="120" w:after="120"/>
        <w:ind w:firstLine="720"/>
        <w:jc w:val="both"/>
      </w:pPr>
      <w:r>
        <w:t xml:space="preserve">VM norādījusi, ka mērķis piešķirot finansējumu 2,6 milj. </w:t>
      </w:r>
      <w:r w:rsidRPr="002046E7">
        <w:rPr>
          <w:i/>
        </w:rPr>
        <w:t>euro</w:t>
      </w:r>
      <w:r>
        <w:rPr>
          <w:i/>
        </w:rPr>
        <w:t xml:space="preserve"> </w:t>
      </w:r>
      <w:r w:rsidRPr="002046E7">
        <w:t>apmērā</w:t>
      </w:r>
      <w:r w:rsidRPr="002046E7">
        <w:rPr>
          <w:i/>
        </w:rPr>
        <w:t xml:space="preserve"> </w:t>
      </w:r>
      <w:r>
        <w:t xml:space="preserve">ir bijis mazināt </w:t>
      </w:r>
      <w:r w:rsidRPr="00C33B26">
        <w:t>rindas uz plānveida stacionāriem pakalpojumiem personām darbspējīgā vecumā, tādējād</w:t>
      </w:r>
      <w:r>
        <w:t xml:space="preserve">i mazinot darba spējas zudumu, </w:t>
      </w:r>
      <w:r w:rsidRPr="00C33B26">
        <w:t>lai</w:t>
      </w:r>
      <w:r>
        <w:t xml:space="preserve"> 2019. gadā</w:t>
      </w:r>
      <w:r w:rsidRPr="00C33B26">
        <w:t xml:space="preserve"> apmaksātu 1 620 plānveida stacionāros pakalpojumus pacientiem darbspējīgā vecumā. </w:t>
      </w:r>
      <w:r>
        <w:t xml:space="preserve"> 2019. gadā faktiski sniedzot palīdzību</w:t>
      </w:r>
      <w:r w:rsidRPr="00C33B26">
        <w:t xml:space="preserve"> 1 163 personām par kopējo summu </w:t>
      </w:r>
      <w:r>
        <w:t xml:space="preserve">2,5 milj. </w:t>
      </w:r>
      <w:r w:rsidRPr="002046E7">
        <w:rPr>
          <w:i/>
        </w:rPr>
        <w:t>euro</w:t>
      </w:r>
      <w:r>
        <w:t xml:space="preserve">, veidojot finansējuma neizpildi </w:t>
      </w:r>
      <w:r w:rsidRPr="002046E7">
        <w:rPr>
          <w:b/>
        </w:rPr>
        <w:t xml:space="preserve">65 255 </w:t>
      </w:r>
      <w:r w:rsidRPr="002046E7">
        <w:rPr>
          <w:b/>
          <w:i/>
        </w:rPr>
        <w:t>euro</w:t>
      </w:r>
      <w:r w:rsidRPr="002046E7">
        <w:rPr>
          <w:i/>
        </w:rPr>
        <w:t xml:space="preserve"> </w:t>
      </w:r>
      <w:r>
        <w:t xml:space="preserve">apmērā.  2020. gadā turpināta reformas iniciatīvas īstenošana ar plānoto papildus finansējumu </w:t>
      </w:r>
      <w:r>
        <w:rPr>
          <w:rFonts w:eastAsia="Times New Roman"/>
          <w:color w:val="000000"/>
          <w:lang w:eastAsia="lv-LV"/>
        </w:rPr>
        <w:t xml:space="preserve">2,5 milj. </w:t>
      </w:r>
      <w:r w:rsidRPr="00974203">
        <w:rPr>
          <w:i/>
        </w:rPr>
        <w:t>euro</w:t>
      </w:r>
      <w:r>
        <w:t xml:space="preserve"> apmērā.</w:t>
      </w:r>
    </w:p>
    <w:p w14:paraId="720501E1" w14:textId="77777777" w:rsidR="00EC52FF" w:rsidRPr="00E9161D" w:rsidRDefault="00EC52FF" w:rsidP="00203DFE">
      <w:pPr>
        <w:spacing w:before="120" w:after="120"/>
        <w:ind w:firstLine="720"/>
        <w:jc w:val="both"/>
        <w:rPr>
          <w:rFonts w:eastAsia="Times New Roman"/>
          <w:b/>
          <w:i/>
          <w:lang w:eastAsia="lv-LV"/>
        </w:rPr>
      </w:pPr>
      <w:r w:rsidRPr="00E9161D">
        <w:rPr>
          <w:rFonts w:eastAsia="Times New Roman"/>
          <w:b/>
          <w:i/>
          <w:lang w:eastAsia="lv-LV"/>
        </w:rPr>
        <w:t>Algologa (sāpju mazināšanas) pakalpojuma apmaksa</w:t>
      </w:r>
    </w:p>
    <w:p w14:paraId="45260295" w14:textId="5A2E7013" w:rsidR="00B032CF" w:rsidRPr="00B032CF" w:rsidRDefault="00B032CF" w:rsidP="00B032CF">
      <w:pPr>
        <w:autoSpaceDE w:val="0"/>
        <w:autoSpaceDN w:val="0"/>
        <w:adjustRightInd w:val="0"/>
        <w:ind w:firstLine="720"/>
        <w:jc w:val="both"/>
        <w:rPr>
          <w:shd w:val="clear" w:color="auto" w:fill="FFFFFF"/>
        </w:rPr>
      </w:pPr>
      <w:r w:rsidRPr="00504299">
        <w:rPr>
          <w:shd w:val="clear" w:color="auto" w:fill="FFFFFF"/>
        </w:rPr>
        <w:t>No 2019.</w:t>
      </w:r>
      <w:r w:rsidR="004A2CC7">
        <w:rPr>
          <w:shd w:val="clear" w:color="auto" w:fill="FFFFFF"/>
        </w:rPr>
        <w:t xml:space="preserve"> </w:t>
      </w:r>
      <w:r w:rsidRPr="00504299">
        <w:rPr>
          <w:shd w:val="clear" w:color="auto" w:fill="FFFFFF"/>
        </w:rPr>
        <w:t>gada 1.</w:t>
      </w:r>
      <w:r w:rsidR="004A2CC7">
        <w:rPr>
          <w:shd w:val="clear" w:color="auto" w:fill="FFFFFF"/>
        </w:rPr>
        <w:t xml:space="preserve"> </w:t>
      </w:r>
      <w:r w:rsidRPr="00504299">
        <w:rPr>
          <w:shd w:val="clear" w:color="auto" w:fill="FFFFFF"/>
        </w:rPr>
        <w:t xml:space="preserve">aprīļa tika paredzēts, ka algologa (sāpju mazināšanas) pakalpojumus izmantos 11 325 pacientu par kopējo piešķirto summu 191 603 </w:t>
      </w:r>
      <w:r w:rsidRPr="00504299">
        <w:rPr>
          <w:i/>
          <w:shd w:val="clear" w:color="auto" w:fill="FFFFFF"/>
        </w:rPr>
        <w:t>euro</w:t>
      </w:r>
      <w:r w:rsidRPr="00504299">
        <w:rPr>
          <w:shd w:val="clear" w:color="auto" w:fill="FFFFFF"/>
        </w:rPr>
        <w:t>.  No 2019. gada 1. aprīļa sāpju kabineta pakalpojumu kopā ir izmantojis 1 825 unikālais pacients, kas nodrošina 8,75% no potenciāli primārās pamatvajadzības par kopējo summu 41 369 </w:t>
      </w:r>
      <w:r w:rsidRPr="00504299">
        <w:rPr>
          <w:i/>
          <w:shd w:val="clear" w:color="auto" w:fill="FFFFFF"/>
        </w:rPr>
        <w:t>euro</w:t>
      </w:r>
      <w:r w:rsidRPr="00504299">
        <w:rPr>
          <w:shd w:val="clear" w:color="auto" w:fill="FFFFFF"/>
        </w:rPr>
        <w:t xml:space="preserve">, veidojot finansējuma neizpildi </w:t>
      </w:r>
      <w:r w:rsidRPr="004168B3">
        <w:rPr>
          <w:b/>
          <w:shd w:val="clear" w:color="auto" w:fill="FFFFFF"/>
        </w:rPr>
        <w:t>150 234</w:t>
      </w:r>
      <w:r w:rsidRPr="004168B3">
        <w:rPr>
          <w:b/>
          <w:i/>
          <w:shd w:val="clear" w:color="auto" w:fill="FFFFFF"/>
        </w:rPr>
        <w:t xml:space="preserve"> euro</w:t>
      </w:r>
      <w:r w:rsidRPr="00504299">
        <w:rPr>
          <w:i/>
          <w:shd w:val="clear" w:color="auto" w:fill="FFFFFF"/>
        </w:rPr>
        <w:t xml:space="preserve"> </w:t>
      </w:r>
      <w:r w:rsidRPr="00504299">
        <w:rPr>
          <w:shd w:val="clear" w:color="auto" w:fill="FFFFFF"/>
        </w:rPr>
        <w:t xml:space="preserve">apmērā. </w:t>
      </w:r>
      <w:r w:rsidRPr="00504299">
        <w:t xml:space="preserve">2020. gadā turpināta reformas iniciatīvas īstenošana ar plānoto papildus finansējumu 307 539 </w:t>
      </w:r>
      <w:r w:rsidRPr="00504299">
        <w:rPr>
          <w:i/>
        </w:rPr>
        <w:t>euro</w:t>
      </w:r>
      <w:r w:rsidRPr="00504299">
        <w:t xml:space="preserve"> apmērā. Papildus jāatzīmē, ka VM iesniegtajā informatīvajā ziņojumā “Finansējuma </w:t>
      </w:r>
      <w:r w:rsidRPr="00504299">
        <w:rPr>
          <w:bCs/>
        </w:rPr>
        <w:t xml:space="preserve">veselības reformu pasākumu īstenošanai </w:t>
      </w:r>
      <w:r w:rsidRPr="00504299">
        <w:t>izlietojums 2019.</w:t>
      </w:r>
      <w:r w:rsidR="004A2CC7">
        <w:t xml:space="preserve"> </w:t>
      </w:r>
      <w:r w:rsidRPr="00504299">
        <w:t xml:space="preserve">gadā” VM ir norādījusi, ka </w:t>
      </w:r>
      <w:r w:rsidRPr="00504299">
        <w:rPr>
          <w:shd w:val="clear" w:color="auto" w:fill="FFFFFF"/>
        </w:rPr>
        <w:t xml:space="preserve">pasākuma neizpilde ir skaidrojama ar to, ka pakalpojums ir salīdzinoši jauns, pakalpojuma ieviešanā ir pastāvošais </w:t>
      </w:r>
      <w:r w:rsidRPr="00504299">
        <w:t xml:space="preserve">speciālistu trūkums un </w:t>
      </w:r>
      <w:r w:rsidRPr="00504299">
        <w:rPr>
          <w:shd w:val="clear" w:color="auto" w:fill="FFFFFF"/>
        </w:rPr>
        <w:t>ne visas ārstniecības personas un pacienti ir informēti par šāda pakalpojuma esamību un pieejamību. Ņemot vērā, ka šis nav vienīgais pakalpojums ar pakalpojumu nodrošināšanas problemātiku, FM aicina VM sadarbībā ar ārstniecības iestādēm nodrošināt ārstniecības iestāžu un pacientu informētību par pieejamajiem pakalpojumiem un risināt speciālistu trūkuma problēmu, izskatot iespēju palielināt rezidentūras vietas.</w:t>
      </w:r>
    </w:p>
    <w:p w14:paraId="5E3DF30E" w14:textId="77777777" w:rsidR="00EC52FF" w:rsidRPr="00471A0D" w:rsidRDefault="00EC52FF" w:rsidP="00203DFE">
      <w:pPr>
        <w:spacing w:before="120" w:after="120"/>
        <w:ind w:firstLine="720"/>
        <w:jc w:val="both"/>
        <w:rPr>
          <w:rFonts w:eastAsia="Times New Roman"/>
          <w:b/>
          <w:i/>
          <w:lang w:eastAsia="lv-LV"/>
        </w:rPr>
      </w:pPr>
      <w:r w:rsidRPr="00E9161D">
        <w:rPr>
          <w:rFonts w:eastAsia="Times New Roman"/>
          <w:b/>
          <w:i/>
          <w:lang w:eastAsia="lv-LV"/>
        </w:rPr>
        <w:t>Aknu transplantācija</w:t>
      </w:r>
    </w:p>
    <w:p w14:paraId="09A253A1" w14:textId="77777777" w:rsidR="00EC52FF" w:rsidRPr="008351DD" w:rsidRDefault="00EC52FF" w:rsidP="00F17C94">
      <w:pPr>
        <w:spacing w:before="120" w:after="120"/>
        <w:ind w:firstLine="720"/>
        <w:jc w:val="both"/>
        <w:rPr>
          <w:rFonts w:eastAsia="Times New Roman"/>
          <w:color w:val="000000"/>
          <w:lang w:eastAsia="lv-LV"/>
        </w:rPr>
      </w:pPr>
      <w:r w:rsidRPr="00471A0D">
        <w:t>2019.</w:t>
      </w:r>
      <w:r>
        <w:t xml:space="preserve"> </w:t>
      </w:r>
      <w:r w:rsidRPr="00471A0D">
        <w:t>gadā tika plānots apmaksāt 7 aknu transplantācijas par kopējo summu 418 374 </w:t>
      </w:r>
      <w:r w:rsidRPr="00471A0D">
        <w:rPr>
          <w:i/>
        </w:rPr>
        <w:t>euro</w:t>
      </w:r>
      <w:r w:rsidRPr="00471A0D">
        <w:t xml:space="preserve">. Faktiski 2019. gadā nodrošinātas 2 aknu transplantācijas, atlikušo finansējumu izlietojot pacientu medikamentu terapijai, izmeklēšanai un ārstēšanai stacionārā pirms aknu transplantācijas. Kopējais izlietotais finansējums 2019. gadā </w:t>
      </w:r>
      <w:r w:rsidRPr="00471A0D">
        <w:rPr>
          <w:rFonts w:eastAsia="Times New Roman"/>
          <w:lang w:eastAsia="lv-LV"/>
        </w:rPr>
        <w:t xml:space="preserve">176 868 </w:t>
      </w:r>
      <w:r w:rsidRPr="0036733A">
        <w:rPr>
          <w:rFonts w:eastAsia="Times New Roman"/>
          <w:i/>
          <w:lang w:eastAsia="lv-LV"/>
        </w:rPr>
        <w:t>euro</w:t>
      </w:r>
      <w:r w:rsidRPr="00471A0D">
        <w:rPr>
          <w:rFonts w:eastAsia="Times New Roman"/>
          <w:lang w:eastAsia="lv-LV"/>
        </w:rPr>
        <w:t xml:space="preserve">, veidojot finansējuma neizpildi </w:t>
      </w:r>
      <w:r w:rsidRPr="00471A0D">
        <w:rPr>
          <w:rFonts w:eastAsia="Times New Roman"/>
          <w:b/>
          <w:iCs/>
          <w:lang w:eastAsia="lv-LV"/>
        </w:rPr>
        <w:t xml:space="preserve">92 753 </w:t>
      </w:r>
      <w:r w:rsidRPr="00471A0D">
        <w:rPr>
          <w:rFonts w:eastAsia="Times New Roman"/>
          <w:b/>
          <w:i/>
          <w:iCs/>
          <w:lang w:eastAsia="lv-LV"/>
        </w:rPr>
        <w:t>euro</w:t>
      </w:r>
      <w:r w:rsidRPr="00471A0D">
        <w:rPr>
          <w:rFonts w:eastAsia="Times New Roman"/>
          <w:iCs/>
          <w:lang w:eastAsia="lv-LV"/>
        </w:rPr>
        <w:t xml:space="preserve"> apmērā</w:t>
      </w:r>
      <w:r>
        <w:rPr>
          <w:rFonts w:eastAsia="Times New Roman"/>
          <w:i/>
          <w:iCs/>
          <w:lang w:eastAsia="lv-LV"/>
        </w:rPr>
        <w:t xml:space="preserve">. </w:t>
      </w:r>
      <w:r>
        <w:t xml:space="preserve">2020. gadā turpināta reformas iniciatīvas īstenošana ar plānoto papildus finansējumu </w:t>
      </w:r>
      <w:r w:rsidRPr="00A402B4">
        <w:rPr>
          <w:rFonts w:eastAsia="Times New Roman"/>
          <w:color w:val="000000"/>
          <w:lang w:eastAsia="lv-LV"/>
        </w:rPr>
        <w:t>549</w:t>
      </w:r>
      <w:r>
        <w:rPr>
          <w:rFonts w:eastAsia="Times New Roman"/>
          <w:color w:val="000000"/>
          <w:lang w:eastAsia="lv-LV"/>
        </w:rPr>
        <w:t> </w:t>
      </w:r>
      <w:r w:rsidRPr="00A402B4">
        <w:rPr>
          <w:rFonts w:eastAsia="Times New Roman"/>
          <w:color w:val="000000"/>
          <w:lang w:eastAsia="lv-LV"/>
        </w:rPr>
        <w:t>935</w:t>
      </w:r>
      <w:r>
        <w:rPr>
          <w:rFonts w:eastAsia="Times New Roman"/>
          <w:color w:val="000000"/>
          <w:lang w:eastAsia="lv-LV"/>
        </w:rPr>
        <w:t xml:space="preserve"> </w:t>
      </w:r>
      <w:r w:rsidRPr="00974203">
        <w:rPr>
          <w:i/>
        </w:rPr>
        <w:t>euro</w:t>
      </w:r>
      <w:r>
        <w:t xml:space="preserve"> apmērā.</w:t>
      </w:r>
    </w:p>
    <w:p w14:paraId="336EFE69" w14:textId="77777777" w:rsidR="00EC52FF" w:rsidRPr="008351DD" w:rsidRDefault="00EC52FF" w:rsidP="00203DFE">
      <w:pPr>
        <w:spacing w:before="120" w:after="120"/>
        <w:ind w:firstLine="720"/>
        <w:jc w:val="both"/>
        <w:rPr>
          <w:rFonts w:eastAsia="Times New Roman"/>
          <w:b/>
          <w:i/>
          <w:lang w:eastAsia="lv-LV"/>
        </w:rPr>
      </w:pPr>
      <w:r w:rsidRPr="008351DD">
        <w:rPr>
          <w:rFonts w:eastAsia="Times New Roman"/>
          <w:b/>
          <w:i/>
          <w:lang w:eastAsia="lv-LV"/>
        </w:rPr>
        <w:t>Bioloģiskās terapijas nodrošināšana Krona slimībai, čūlainajam kolītam un psoriāzei</w:t>
      </w:r>
    </w:p>
    <w:p w14:paraId="4422E174" w14:textId="77777777" w:rsidR="00EC52FF" w:rsidRPr="00DE0968" w:rsidRDefault="00EC52FF" w:rsidP="00203DFE">
      <w:pPr>
        <w:spacing w:before="120" w:after="120"/>
        <w:ind w:firstLine="720"/>
        <w:jc w:val="both"/>
        <w:rPr>
          <w:rFonts w:eastAsia="Times New Roman"/>
          <w:color w:val="000000"/>
          <w:lang w:eastAsia="lv-LV"/>
        </w:rPr>
      </w:pPr>
      <w:r w:rsidRPr="00743F29">
        <w:rPr>
          <w:rFonts w:eastAsia="Times New Roman"/>
          <w:iCs/>
          <w:lang w:eastAsia="lv-LV"/>
        </w:rPr>
        <w:lastRenderedPageBreak/>
        <w:t xml:space="preserve">Ar paredzēto finansējumu reformas iniciatīvai 2019. gadā </w:t>
      </w:r>
      <w:r w:rsidRPr="00743F29">
        <w:rPr>
          <w:rFonts w:eastAsia="Times New Roman"/>
          <w:lang w:eastAsia="lv-LV"/>
        </w:rPr>
        <w:t xml:space="preserve">1,9 milj. </w:t>
      </w:r>
      <w:r w:rsidRPr="00743F29">
        <w:rPr>
          <w:rFonts w:eastAsia="Times New Roman"/>
          <w:i/>
          <w:lang w:eastAsia="lv-LV"/>
        </w:rPr>
        <w:t>euro</w:t>
      </w:r>
      <w:r w:rsidRPr="00743F29">
        <w:rPr>
          <w:rFonts w:eastAsia="Times New Roman"/>
          <w:lang w:eastAsia="lv-LV"/>
        </w:rPr>
        <w:t xml:space="preserve"> tika plānots nodrošināt medikamentu terapiju 11 872 pacientiem. Faktiski medikamenti nodrošināti 13 962 pacientiem ar mazāku finansējumu 1,4 milj. </w:t>
      </w:r>
      <w:r w:rsidRPr="00743F29">
        <w:rPr>
          <w:rFonts w:eastAsia="Times New Roman"/>
          <w:i/>
          <w:lang w:eastAsia="lv-LV"/>
        </w:rPr>
        <w:t>euro</w:t>
      </w:r>
      <w:r w:rsidRPr="00743F29">
        <w:rPr>
          <w:rFonts w:eastAsia="Times New Roman"/>
          <w:lang w:eastAsia="lv-LV"/>
        </w:rPr>
        <w:t xml:space="preserve">, tādējādi veidojot neapgūto finansējumu </w:t>
      </w:r>
      <w:r w:rsidRPr="00743F29">
        <w:rPr>
          <w:rFonts w:eastAsia="Times New Roman"/>
          <w:b/>
          <w:lang w:eastAsia="lv-LV"/>
        </w:rPr>
        <w:t xml:space="preserve">462 047 </w:t>
      </w:r>
      <w:r w:rsidRPr="00743F29">
        <w:rPr>
          <w:rFonts w:eastAsia="Times New Roman"/>
          <w:b/>
          <w:i/>
          <w:lang w:eastAsia="lv-LV"/>
        </w:rPr>
        <w:t>euro</w:t>
      </w:r>
      <w:r w:rsidRPr="00743F29">
        <w:rPr>
          <w:rFonts w:eastAsia="Times New Roman"/>
          <w:i/>
          <w:lang w:eastAsia="lv-LV"/>
        </w:rPr>
        <w:t xml:space="preserve"> </w:t>
      </w:r>
      <w:r w:rsidRPr="00743F29">
        <w:rPr>
          <w:rFonts w:eastAsia="Times New Roman"/>
          <w:lang w:eastAsia="lv-LV"/>
        </w:rPr>
        <w:t xml:space="preserve">apmērā. </w:t>
      </w:r>
      <w:r>
        <w:t xml:space="preserve">2020. gadā turpināta reformas iniciatīvas īstenošana ar plānoto papildus finansējumu </w:t>
      </w:r>
      <w:r>
        <w:rPr>
          <w:rFonts w:eastAsia="Times New Roman"/>
          <w:color w:val="000000"/>
          <w:lang w:eastAsia="lv-LV"/>
        </w:rPr>
        <w:t xml:space="preserve">2,6 milj. </w:t>
      </w:r>
      <w:r w:rsidRPr="00974203">
        <w:rPr>
          <w:i/>
        </w:rPr>
        <w:t>euro</w:t>
      </w:r>
      <w:r>
        <w:t xml:space="preserve"> apmērā.</w:t>
      </w:r>
    </w:p>
    <w:p w14:paraId="092FFAC8" w14:textId="77777777" w:rsidR="00EC52FF" w:rsidRPr="008351DD" w:rsidRDefault="00EC52FF" w:rsidP="00203DFE">
      <w:pPr>
        <w:spacing w:before="120" w:after="120"/>
        <w:ind w:firstLine="720"/>
        <w:jc w:val="both"/>
        <w:rPr>
          <w:rFonts w:eastAsia="Times New Roman"/>
          <w:b/>
          <w:i/>
          <w:lang w:eastAsia="lv-LV"/>
        </w:rPr>
      </w:pPr>
      <w:r w:rsidRPr="008351DD">
        <w:rPr>
          <w:rFonts w:eastAsia="Times New Roman"/>
          <w:b/>
          <w:i/>
          <w:lang w:eastAsia="lv-LV"/>
        </w:rPr>
        <w:t>Hronisko pacientu aprūpes reforma</w:t>
      </w:r>
    </w:p>
    <w:p w14:paraId="10B483C1" w14:textId="00F00511" w:rsidR="00EC52FF" w:rsidRPr="008351DD" w:rsidRDefault="00EC52FF" w:rsidP="00203DFE">
      <w:pPr>
        <w:spacing w:before="120" w:after="120"/>
        <w:ind w:firstLine="720"/>
        <w:jc w:val="both"/>
      </w:pPr>
      <w:r w:rsidRPr="008351DD">
        <w:t xml:space="preserve">Lai nodrošinātu </w:t>
      </w:r>
      <w:r w:rsidRPr="008351DD">
        <w:rPr>
          <w:rFonts w:eastAsia="Times New Roman"/>
          <w:lang w:eastAsia="lv-LV"/>
        </w:rPr>
        <w:t xml:space="preserve">13 142 </w:t>
      </w:r>
      <w:r w:rsidRPr="008351DD">
        <w:t xml:space="preserve">hronisko pacientu veselības aprūpes pakalpojumu pieejamību tika piešķirti 4,7 milj. </w:t>
      </w:r>
      <w:r w:rsidRPr="008351DD">
        <w:rPr>
          <w:i/>
        </w:rPr>
        <w:t>euro</w:t>
      </w:r>
      <w:r w:rsidRPr="008351DD">
        <w:t xml:space="preserve">,  faktiski 2019. gadā pakalpojumi tika nodrošināti 9 523 pacientiem, par 4,4 milj. </w:t>
      </w:r>
      <w:r w:rsidRPr="008351DD">
        <w:rPr>
          <w:i/>
        </w:rPr>
        <w:t>euro</w:t>
      </w:r>
      <w:r w:rsidRPr="008351DD">
        <w:t xml:space="preserve">, veidojot neapgūto finansējumu </w:t>
      </w:r>
      <w:r w:rsidRPr="008351DD">
        <w:rPr>
          <w:b/>
        </w:rPr>
        <w:t>248</w:t>
      </w:r>
      <w:r w:rsidR="00BB6B9E">
        <w:rPr>
          <w:b/>
        </w:rPr>
        <w:t xml:space="preserve"> 917 </w:t>
      </w:r>
      <w:r w:rsidRPr="008351DD">
        <w:rPr>
          <w:b/>
          <w:i/>
        </w:rPr>
        <w:t>euro</w:t>
      </w:r>
      <w:r w:rsidRPr="008351DD">
        <w:t xml:space="preserve"> apmērā. 2020. gadā turpināta reformas iniciatīvas īstenošana ar plānoto papildus finansējumu </w:t>
      </w:r>
      <w:r w:rsidRPr="008351DD">
        <w:rPr>
          <w:rFonts w:eastAsia="Times New Roman"/>
          <w:color w:val="000000"/>
          <w:lang w:eastAsia="lv-LV"/>
        </w:rPr>
        <w:t xml:space="preserve">5,4 milj. </w:t>
      </w:r>
      <w:r w:rsidRPr="008351DD">
        <w:rPr>
          <w:i/>
        </w:rPr>
        <w:t>euro</w:t>
      </w:r>
      <w:r w:rsidRPr="008351DD">
        <w:t xml:space="preserve"> apmērā.</w:t>
      </w:r>
    </w:p>
    <w:p w14:paraId="782F4652" w14:textId="77777777" w:rsidR="00EC52FF" w:rsidRPr="008351DD" w:rsidRDefault="00EC52FF" w:rsidP="00203DFE">
      <w:pPr>
        <w:spacing w:before="120" w:after="120"/>
        <w:ind w:firstLine="720"/>
        <w:jc w:val="both"/>
        <w:rPr>
          <w:rFonts w:eastAsia="Times New Roman"/>
          <w:b/>
          <w:i/>
          <w:lang w:eastAsia="lv-LV"/>
        </w:rPr>
      </w:pPr>
      <w:r w:rsidRPr="00073A0F">
        <w:rPr>
          <w:rFonts w:eastAsia="Times New Roman"/>
          <w:b/>
          <w:i/>
          <w:lang w:eastAsia="lv-LV"/>
        </w:rPr>
        <w:t xml:space="preserve">Psihoemocionālā atbalsta dienas centrs </w:t>
      </w:r>
      <w:r w:rsidRPr="008351DD">
        <w:rPr>
          <w:rFonts w:eastAsia="Times New Roman"/>
          <w:b/>
          <w:i/>
          <w:lang w:eastAsia="lv-LV"/>
        </w:rPr>
        <w:t>“</w:t>
      </w:r>
      <w:r w:rsidRPr="00073A0F">
        <w:rPr>
          <w:rFonts w:eastAsia="Times New Roman"/>
          <w:b/>
          <w:i/>
          <w:lang w:eastAsia="lv-LV"/>
        </w:rPr>
        <w:t>Spēka avots</w:t>
      </w:r>
      <w:r w:rsidRPr="008351DD">
        <w:rPr>
          <w:rFonts w:eastAsia="Times New Roman"/>
          <w:b/>
          <w:i/>
          <w:lang w:eastAsia="lv-LV"/>
        </w:rPr>
        <w:t>”</w:t>
      </w:r>
    </w:p>
    <w:p w14:paraId="48A9B55E" w14:textId="5CC76BBE" w:rsidR="00EC52FF" w:rsidRPr="008351DD" w:rsidRDefault="00EC52FF" w:rsidP="00203DFE">
      <w:pPr>
        <w:spacing w:before="120" w:after="120"/>
        <w:ind w:firstLine="720"/>
        <w:jc w:val="both"/>
        <w:rPr>
          <w:rFonts w:eastAsia="Times New Roman"/>
          <w:color w:val="000000"/>
          <w:lang w:eastAsia="lv-LV"/>
        </w:rPr>
      </w:pPr>
      <w:r w:rsidRPr="008351DD">
        <w:t xml:space="preserve">2019. gadā, lai izveidotu psihoemocionālā atbalsta dienas centru onkoloģiskajiem pacientiem, tika piešķirti 34 104 </w:t>
      </w:r>
      <w:r w:rsidRPr="008351DD">
        <w:rPr>
          <w:i/>
          <w:iCs/>
        </w:rPr>
        <w:t>euro.</w:t>
      </w:r>
      <w:r w:rsidRPr="008351DD">
        <w:rPr>
          <w:bCs/>
          <w:kern w:val="1"/>
          <w:lang w:eastAsia="ar-SA"/>
        </w:rPr>
        <w:t xml:space="preserve"> Atbilstoši 2019.</w:t>
      </w:r>
      <w:r w:rsidR="004A2CC7">
        <w:rPr>
          <w:bCs/>
          <w:kern w:val="1"/>
          <w:lang w:eastAsia="ar-SA"/>
        </w:rPr>
        <w:t xml:space="preserve"> </w:t>
      </w:r>
      <w:r w:rsidRPr="008351DD">
        <w:rPr>
          <w:bCs/>
          <w:kern w:val="1"/>
          <w:lang w:eastAsia="ar-SA"/>
        </w:rPr>
        <w:t>gada faktiskajai izpildei Psihoemocionālā atbalsta centrs darbu ar pacientiem uzsāka 2019.</w:t>
      </w:r>
      <w:r w:rsidR="004A2CC7">
        <w:rPr>
          <w:bCs/>
          <w:kern w:val="1"/>
          <w:lang w:eastAsia="ar-SA"/>
        </w:rPr>
        <w:t xml:space="preserve"> </w:t>
      </w:r>
      <w:r w:rsidRPr="008351DD">
        <w:rPr>
          <w:bCs/>
          <w:kern w:val="1"/>
          <w:lang w:eastAsia="ar-SA"/>
        </w:rPr>
        <w:t>gada 15.</w:t>
      </w:r>
      <w:r w:rsidR="004A2CC7">
        <w:rPr>
          <w:bCs/>
          <w:kern w:val="1"/>
          <w:lang w:eastAsia="ar-SA"/>
        </w:rPr>
        <w:t xml:space="preserve"> </w:t>
      </w:r>
      <w:r w:rsidRPr="008351DD">
        <w:rPr>
          <w:bCs/>
          <w:kern w:val="1"/>
          <w:lang w:eastAsia="ar-SA"/>
        </w:rPr>
        <w:t>novembrī, kad tika pilnībā pabeigti remontdarbi un labiekārtotas atvēlētās telpas, ka</w:t>
      </w:r>
      <w:r>
        <w:rPr>
          <w:bCs/>
          <w:kern w:val="1"/>
          <w:lang w:eastAsia="ar-SA"/>
        </w:rPr>
        <w:t>m faktiski tika iztērēti 29 780 </w:t>
      </w:r>
      <w:r w:rsidRPr="008351DD">
        <w:rPr>
          <w:bCs/>
          <w:i/>
          <w:iCs/>
          <w:kern w:val="1"/>
          <w:lang w:eastAsia="ar-SA"/>
        </w:rPr>
        <w:t>euro</w:t>
      </w:r>
      <w:r w:rsidRPr="008351DD">
        <w:rPr>
          <w:bCs/>
          <w:kern w:val="1"/>
          <w:lang w:eastAsia="ar-SA"/>
        </w:rPr>
        <w:t xml:space="preserve">, </w:t>
      </w:r>
      <w:r w:rsidRPr="008351DD">
        <w:t xml:space="preserve">veidojot neapgūto finansējumu </w:t>
      </w:r>
      <w:r>
        <w:rPr>
          <w:b/>
        </w:rPr>
        <w:t>4 324</w:t>
      </w:r>
      <w:r w:rsidRPr="008351DD">
        <w:rPr>
          <w:b/>
        </w:rPr>
        <w:t xml:space="preserve"> </w:t>
      </w:r>
      <w:r w:rsidRPr="008351DD">
        <w:rPr>
          <w:b/>
          <w:i/>
        </w:rPr>
        <w:t>euro</w:t>
      </w:r>
      <w:r w:rsidRPr="008351DD">
        <w:t xml:space="preserve"> apmērā. 2020. gadā turpināta reformas iniciatīvas īstenošana ar plānoto papildus finansējumu </w:t>
      </w:r>
      <w:r w:rsidRPr="00073A0F">
        <w:rPr>
          <w:rFonts w:eastAsia="Times New Roman"/>
          <w:color w:val="000000"/>
          <w:lang w:eastAsia="lv-LV"/>
        </w:rPr>
        <w:t>134</w:t>
      </w:r>
      <w:r w:rsidRPr="008351DD">
        <w:rPr>
          <w:rFonts w:eastAsia="Times New Roman"/>
          <w:color w:val="000000"/>
          <w:lang w:eastAsia="lv-LV"/>
        </w:rPr>
        <w:t> </w:t>
      </w:r>
      <w:r w:rsidRPr="00073A0F">
        <w:rPr>
          <w:rFonts w:eastAsia="Times New Roman"/>
          <w:color w:val="000000"/>
          <w:lang w:eastAsia="lv-LV"/>
        </w:rPr>
        <w:t>336</w:t>
      </w:r>
      <w:r w:rsidRPr="008351DD">
        <w:rPr>
          <w:rFonts w:eastAsia="Times New Roman"/>
          <w:color w:val="000000"/>
          <w:lang w:eastAsia="lv-LV"/>
        </w:rPr>
        <w:t xml:space="preserve"> </w:t>
      </w:r>
      <w:r w:rsidRPr="008351DD">
        <w:rPr>
          <w:i/>
        </w:rPr>
        <w:t>euro</w:t>
      </w:r>
      <w:r w:rsidRPr="008351DD">
        <w:t xml:space="preserve"> apmērā.</w:t>
      </w:r>
    </w:p>
    <w:p w14:paraId="319FC179" w14:textId="77777777" w:rsidR="00EC52FF" w:rsidRPr="008351DD" w:rsidRDefault="00EC52FF" w:rsidP="00203DFE">
      <w:pPr>
        <w:spacing w:before="120" w:after="120"/>
        <w:ind w:firstLine="720"/>
        <w:jc w:val="both"/>
        <w:rPr>
          <w:rFonts w:eastAsia="Times New Roman"/>
          <w:b/>
          <w:i/>
          <w:lang w:eastAsia="lv-LV"/>
        </w:rPr>
      </w:pPr>
      <w:r w:rsidRPr="002C3FD8">
        <w:rPr>
          <w:rFonts w:eastAsia="Times New Roman"/>
          <w:b/>
          <w:i/>
          <w:lang w:eastAsia="lv-LV"/>
        </w:rPr>
        <w:t>Pozitronu emisijas tomogrāfija/ datortomogrāfija</w:t>
      </w:r>
      <w:r w:rsidRPr="008351DD">
        <w:rPr>
          <w:rFonts w:eastAsia="Times New Roman"/>
          <w:b/>
          <w:i/>
          <w:lang w:eastAsia="lv-LV"/>
        </w:rPr>
        <w:t xml:space="preserve"> (</w:t>
      </w:r>
      <w:r w:rsidRPr="008351DD">
        <w:rPr>
          <w:b/>
          <w:i/>
        </w:rPr>
        <w:t>PET/DT)</w:t>
      </w:r>
    </w:p>
    <w:p w14:paraId="58CE0F21" w14:textId="1110E1FA" w:rsidR="00EC52FF" w:rsidRPr="008351DD" w:rsidRDefault="00EC52FF" w:rsidP="00203DFE">
      <w:pPr>
        <w:spacing w:before="120" w:after="120"/>
        <w:ind w:firstLine="720"/>
        <w:jc w:val="both"/>
      </w:pPr>
      <w:r w:rsidRPr="00C33B26">
        <w:t>2019.</w:t>
      </w:r>
      <w:r w:rsidR="004A2CC7">
        <w:t xml:space="preserve"> </w:t>
      </w:r>
      <w:r w:rsidRPr="00C33B26">
        <w:t>gadā tika piešķirti</w:t>
      </w:r>
      <w:r>
        <w:t xml:space="preserve"> </w:t>
      </w:r>
      <w:r w:rsidRPr="00593D80">
        <w:t xml:space="preserve">558 842 </w:t>
      </w:r>
      <w:r w:rsidRPr="00593D80">
        <w:rPr>
          <w:i/>
        </w:rPr>
        <w:t>euro</w:t>
      </w:r>
      <w:r w:rsidRPr="00C33B26">
        <w:t>, lai apmaksātu 515 PET/DT izmeklējumus personām ar aizdomām par ļaundabīgu audzēju dinamiskajā novērošanā.</w:t>
      </w:r>
      <w:r>
        <w:t xml:space="preserve"> </w:t>
      </w:r>
      <w:r w:rsidRPr="00C33B26">
        <w:t>2019.</w:t>
      </w:r>
      <w:r>
        <w:t xml:space="preserve"> </w:t>
      </w:r>
      <w:r w:rsidRPr="00C33B26">
        <w:t xml:space="preserve">gadā PET/CT ir veikti 886 izmeklējumi par kopējo summu 502 721 </w:t>
      </w:r>
      <w:r w:rsidRPr="00595AE9">
        <w:rPr>
          <w:i/>
        </w:rPr>
        <w:t>euro</w:t>
      </w:r>
      <w:r w:rsidRPr="00C33B26">
        <w:t xml:space="preserve">, kas ir 89,96% no plānotā </w:t>
      </w:r>
      <w:r>
        <w:t xml:space="preserve">2019. gada finansējuma apjoma, veidojot </w:t>
      </w:r>
      <w:r w:rsidRPr="008351DD">
        <w:t>neapgūto finansēju</w:t>
      </w:r>
      <w:r>
        <w:t xml:space="preserve">mu </w:t>
      </w:r>
      <w:r w:rsidRPr="008351DD">
        <w:rPr>
          <w:b/>
        </w:rPr>
        <w:t>56 121</w:t>
      </w:r>
      <w:r w:rsidRPr="008351DD">
        <w:rPr>
          <w:b/>
          <w:i/>
        </w:rPr>
        <w:t xml:space="preserve"> euro</w:t>
      </w:r>
      <w:r w:rsidRPr="008351DD">
        <w:rPr>
          <w:i/>
        </w:rPr>
        <w:t xml:space="preserve"> </w:t>
      </w:r>
      <w:r>
        <w:t xml:space="preserve">apmērā. Tāpat kā 2019. gadā </w:t>
      </w:r>
      <w:r w:rsidRPr="008351DD">
        <w:t xml:space="preserve">2020. gadā turpināta reformas iniciatīvas īstenošana ar plānoto papildus finansējumu </w:t>
      </w:r>
      <w:r>
        <w:rPr>
          <w:rFonts w:eastAsia="Times New Roman"/>
          <w:color w:val="000000"/>
          <w:lang w:eastAsia="lv-LV"/>
        </w:rPr>
        <w:t>558 842 </w:t>
      </w:r>
      <w:r w:rsidRPr="008351DD">
        <w:rPr>
          <w:i/>
        </w:rPr>
        <w:t>euro</w:t>
      </w:r>
      <w:r w:rsidRPr="008351DD">
        <w:t xml:space="preserve"> apmērā.</w:t>
      </w:r>
      <w:r>
        <w:t xml:space="preserve">  FM vērš uzmanību, ka ar mazāku finansējuma apjomu 2019. gadā tika nodrošināts lielāks pacientu skaits, kas varēja saņemt pakalpojumu, līdz ar to pieļaujams, ka laika periodā no 2020. – 2022. gadam var rasties situācija, ka finansējums attiecīgajai reformai atkārtoti netiek apgūts pilnībā. </w:t>
      </w:r>
    </w:p>
    <w:p w14:paraId="74274C76" w14:textId="77777777" w:rsidR="00EC52FF" w:rsidRPr="0036733A" w:rsidRDefault="00EC52FF" w:rsidP="00203DFE">
      <w:pPr>
        <w:spacing w:before="120" w:after="120"/>
        <w:ind w:firstLine="720"/>
        <w:jc w:val="both"/>
        <w:rPr>
          <w:rFonts w:eastAsia="Times New Roman"/>
          <w:b/>
          <w:i/>
          <w:szCs w:val="22"/>
          <w:lang w:eastAsia="lv-LV"/>
        </w:rPr>
      </w:pPr>
      <w:r w:rsidRPr="0036733A">
        <w:rPr>
          <w:rFonts w:eastAsia="Times New Roman"/>
          <w:b/>
          <w:i/>
          <w:szCs w:val="22"/>
          <w:lang w:eastAsia="lv-LV"/>
        </w:rPr>
        <w:t>Valsts patoloģijas centra (VPC) izveide un Valsts patoloģijas centrā jaunu manipulāciju izveide</w:t>
      </w:r>
    </w:p>
    <w:p w14:paraId="22AD4527" w14:textId="77777777" w:rsidR="00EC52FF" w:rsidRDefault="00EC52FF" w:rsidP="00203DFE">
      <w:pPr>
        <w:spacing w:before="120" w:after="120"/>
        <w:ind w:firstLine="720"/>
        <w:jc w:val="both"/>
      </w:pPr>
      <w:r w:rsidRPr="00C33B26">
        <w:rPr>
          <w:bCs/>
          <w:shd w:val="clear" w:color="auto" w:fill="FFFFFF"/>
        </w:rPr>
        <w:t>2019.</w:t>
      </w:r>
      <w:r>
        <w:rPr>
          <w:bCs/>
          <w:shd w:val="clear" w:color="auto" w:fill="FFFFFF"/>
        </w:rPr>
        <w:t xml:space="preserve"> </w:t>
      </w:r>
      <w:r w:rsidRPr="00C33B26">
        <w:rPr>
          <w:bCs/>
          <w:shd w:val="clear" w:color="auto" w:fill="FFFFFF"/>
        </w:rPr>
        <w:t>gadā VPC izveides p</w:t>
      </w:r>
      <w:r>
        <w:rPr>
          <w:bCs/>
          <w:shd w:val="clear" w:color="auto" w:fill="FFFFFF"/>
        </w:rPr>
        <w:t xml:space="preserve">rojektam kopumā plānoja apgūt aptuveni 3 milj. </w:t>
      </w:r>
      <w:r w:rsidRPr="00D61B39">
        <w:rPr>
          <w:bCs/>
          <w:i/>
          <w:shd w:val="clear" w:color="auto" w:fill="FFFFFF"/>
        </w:rPr>
        <w:t>euro</w:t>
      </w:r>
      <w:r>
        <w:rPr>
          <w:bCs/>
          <w:shd w:val="clear" w:color="auto" w:fill="FFFFFF"/>
        </w:rPr>
        <w:t>, t. sk.</w:t>
      </w:r>
      <w:r w:rsidRPr="00C33B26">
        <w:rPr>
          <w:bCs/>
          <w:shd w:val="clear" w:color="auto" w:fill="FFFFFF"/>
        </w:rPr>
        <w:t xml:space="preserve"> </w:t>
      </w:r>
      <w:r w:rsidRPr="00C33B26">
        <w:rPr>
          <w:shd w:val="clear" w:color="auto" w:fill="FFFFFF"/>
        </w:rPr>
        <w:t>ēkas un</w:t>
      </w:r>
      <w:r>
        <w:rPr>
          <w:shd w:val="clear" w:color="auto" w:fill="FFFFFF"/>
        </w:rPr>
        <w:t xml:space="preserve"> tās infrastruktūras renovācija</w:t>
      </w:r>
      <w:r w:rsidRPr="00C33B26">
        <w:rPr>
          <w:shd w:val="clear" w:color="auto" w:fill="FFFFFF"/>
        </w:rPr>
        <w:t xml:space="preserve"> </w:t>
      </w:r>
      <w:r>
        <w:rPr>
          <w:shd w:val="clear" w:color="auto" w:fill="FFFFFF"/>
        </w:rPr>
        <w:t xml:space="preserve">un iekārtu iegāde. No kopējās summas 2019. gadā tika apgūti 1,6 milj. </w:t>
      </w:r>
      <w:r w:rsidRPr="00F17C94">
        <w:rPr>
          <w:i/>
          <w:shd w:val="clear" w:color="auto" w:fill="FFFFFF"/>
        </w:rPr>
        <w:t>euro</w:t>
      </w:r>
      <w:r>
        <w:rPr>
          <w:shd w:val="clear" w:color="auto" w:fill="FFFFFF"/>
        </w:rPr>
        <w:t xml:space="preserve">, tādējādi </w:t>
      </w:r>
      <w:r>
        <w:t xml:space="preserve">veidojot </w:t>
      </w:r>
      <w:r w:rsidRPr="008351DD">
        <w:t xml:space="preserve">neapgūto </w:t>
      </w:r>
      <w:r w:rsidRPr="00D61B39">
        <w:t xml:space="preserve">finansējumu </w:t>
      </w:r>
      <w:r w:rsidRPr="00D61B39">
        <w:rPr>
          <w:b/>
        </w:rPr>
        <w:t>1 322</w:t>
      </w:r>
      <w:r>
        <w:rPr>
          <w:b/>
        </w:rPr>
        <w:t xml:space="preserve"> 182 </w:t>
      </w:r>
      <w:r w:rsidRPr="00D61B39">
        <w:rPr>
          <w:b/>
          <w:i/>
        </w:rPr>
        <w:t>euro</w:t>
      </w:r>
      <w:r w:rsidRPr="008351DD">
        <w:rPr>
          <w:i/>
        </w:rPr>
        <w:t xml:space="preserve"> </w:t>
      </w:r>
      <w:r>
        <w:t xml:space="preserve">apmērā. </w:t>
      </w:r>
      <w:r>
        <w:rPr>
          <w:rFonts w:eastAsia="Times New Roman"/>
          <w:color w:val="000000"/>
          <w:lang w:eastAsia="lv-LV"/>
        </w:rPr>
        <w:t xml:space="preserve">VM ir norādījusi, ka paredzētais finansējums atrodas slimnīcas kontā un tiks izmantos atbilstoši mērķim. Papildus VPC 2019. gadā tika paredzēti 110 905 </w:t>
      </w:r>
      <w:r w:rsidRPr="00D61B39">
        <w:rPr>
          <w:rFonts w:eastAsia="Times New Roman"/>
          <w:i/>
          <w:color w:val="000000"/>
          <w:lang w:eastAsia="lv-LV"/>
        </w:rPr>
        <w:t>euro</w:t>
      </w:r>
      <w:r w:rsidRPr="00753406">
        <w:rPr>
          <w:rFonts w:eastAsia="Times New Roman"/>
          <w:color w:val="000000"/>
          <w:lang w:eastAsia="lv-LV"/>
        </w:rPr>
        <w:t>,</w:t>
      </w:r>
      <w:r>
        <w:rPr>
          <w:rFonts w:eastAsia="Times New Roman"/>
          <w:i/>
          <w:color w:val="000000"/>
          <w:lang w:eastAsia="lv-LV"/>
        </w:rPr>
        <w:t xml:space="preserve"> </w:t>
      </w:r>
      <w:r w:rsidRPr="00C33B26">
        <w:t xml:space="preserve">lai nodrošinātu </w:t>
      </w:r>
      <w:r>
        <w:t>VPC jaunu manipulāciju izveidi</w:t>
      </w:r>
      <w:r w:rsidRPr="00C33B26">
        <w:t xml:space="preserve"> ambulatori </w:t>
      </w:r>
      <w:r>
        <w:t xml:space="preserve">un jaunu manipulāciju izveidi VPC. No paredzētās summas 2019. </w:t>
      </w:r>
      <w:r w:rsidRPr="00753406">
        <w:t>gadā apgūti 5 988</w:t>
      </w:r>
      <w:r>
        <w:t xml:space="preserve"> </w:t>
      </w:r>
      <w:r w:rsidRPr="00753406">
        <w:rPr>
          <w:i/>
        </w:rPr>
        <w:t>euro</w:t>
      </w:r>
      <w:r>
        <w:t xml:space="preserve">, veidojot </w:t>
      </w:r>
      <w:r w:rsidRPr="008351DD">
        <w:t xml:space="preserve">neapgūto </w:t>
      </w:r>
      <w:r w:rsidRPr="00D61B39">
        <w:t>finansējumu</w:t>
      </w:r>
      <w:r>
        <w:t xml:space="preserve"> </w:t>
      </w:r>
      <w:r w:rsidRPr="00753406">
        <w:rPr>
          <w:rFonts w:eastAsia="Times New Roman"/>
          <w:b/>
          <w:color w:val="000000"/>
          <w:lang w:eastAsia="lv-LV"/>
        </w:rPr>
        <w:t>104 916</w:t>
      </w:r>
      <w:r w:rsidRPr="00D61B39">
        <w:t xml:space="preserve"> </w:t>
      </w:r>
      <w:r w:rsidRPr="00D61B39">
        <w:rPr>
          <w:b/>
          <w:i/>
        </w:rPr>
        <w:t>euro</w:t>
      </w:r>
      <w:r w:rsidRPr="008351DD">
        <w:rPr>
          <w:i/>
        </w:rPr>
        <w:t xml:space="preserve"> </w:t>
      </w:r>
      <w:r>
        <w:t xml:space="preserve">apmērā. Tāpat kā 2019. gadā </w:t>
      </w:r>
      <w:r w:rsidRPr="008351DD">
        <w:t xml:space="preserve">2020. gadā turpināta reformas iniciatīvas īstenošana ar plānoto papildus finansējumu </w:t>
      </w:r>
      <w:r>
        <w:rPr>
          <w:rFonts w:eastAsia="Times New Roman"/>
          <w:color w:val="000000"/>
          <w:lang w:eastAsia="lv-LV"/>
        </w:rPr>
        <w:t>443 620 </w:t>
      </w:r>
      <w:r w:rsidRPr="008351DD">
        <w:rPr>
          <w:i/>
        </w:rPr>
        <w:t>euro</w:t>
      </w:r>
      <w:r w:rsidRPr="008351DD">
        <w:t xml:space="preserve"> apmērā.</w:t>
      </w:r>
    </w:p>
    <w:p w14:paraId="6C42AD6D" w14:textId="77777777" w:rsidR="00EC52FF" w:rsidRDefault="00EC52FF" w:rsidP="00203DFE">
      <w:pPr>
        <w:spacing w:before="120" w:after="120"/>
        <w:ind w:firstLine="720"/>
        <w:jc w:val="both"/>
        <w:rPr>
          <w:rFonts w:eastAsia="Times New Roman"/>
          <w:b/>
          <w:i/>
          <w:color w:val="000000"/>
          <w:lang w:eastAsia="lv-LV"/>
        </w:rPr>
      </w:pPr>
      <w:r w:rsidRPr="00D00B63">
        <w:rPr>
          <w:rFonts w:eastAsia="Times New Roman"/>
          <w:b/>
          <w:i/>
          <w:color w:val="000000"/>
          <w:lang w:eastAsia="lv-LV"/>
        </w:rPr>
        <w:t>Zarnu vēža skrīnings</w:t>
      </w:r>
    </w:p>
    <w:p w14:paraId="55041AA5" w14:textId="4C26C6A1" w:rsidR="00EC52FF" w:rsidRPr="0080334F" w:rsidRDefault="00EC52FF" w:rsidP="00203DFE">
      <w:pPr>
        <w:spacing w:before="120" w:after="120"/>
        <w:ind w:firstLine="720"/>
        <w:jc w:val="both"/>
      </w:pPr>
      <w:r w:rsidRPr="0042151C">
        <w:t>2019.gadam kolorektālā zarnu vēža skrīninga pasākumu īstenošanai tika piešķirti 305 283 </w:t>
      </w:r>
      <w:r w:rsidRPr="0042151C">
        <w:rPr>
          <w:i/>
        </w:rPr>
        <w:t>euro</w:t>
      </w:r>
      <w:r w:rsidRPr="0042151C">
        <w:t>, lai nodrošinātu</w:t>
      </w:r>
      <w:r w:rsidRPr="0042151C">
        <w:rPr>
          <w:b/>
          <w:i/>
        </w:rPr>
        <w:t xml:space="preserve"> </w:t>
      </w:r>
      <w:r w:rsidRPr="0042151C">
        <w:rPr>
          <w:rFonts w:eastAsia="Times New Roman"/>
          <w:lang w:eastAsia="lv-LV"/>
        </w:rPr>
        <w:t>103 121 izmeklējumu.</w:t>
      </w:r>
      <w:r w:rsidRPr="0042151C">
        <w:rPr>
          <w:b/>
          <w:i/>
        </w:rPr>
        <w:t xml:space="preserve"> </w:t>
      </w:r>
      <w:r w:rsidRPr="0042151C">
        <w:rPr>
          <w:bCs/>
          <w:iCs/>
        </w:rPr>
        <w:t>Atbilstoši 2019.</w:t>
      </w:r>
      <w:r w:rsidR="004A2CC7">
        <w:rPr>
          <w:bCs/>
          <w:iCs/>
        </w:rPr>
        <w:t xml:space="preserve"> </w:t>
      </w:r>
      <w:r w:rsidRPr="0042151C">
        <w:rPr>
          <w:bCs/>
          <w:iCs/>
        </w:rPr>
        <w:t xml:space="preserve">gada faktiskajai izpildei tika veikti 10 603 kolorektālā vēža skrīninga izmeklējumi par kopējo summu 119 814 </w:t>
      </w:r>
      <w:r w:rsidRPr="0042151C">
        <w:rPr>
          <w:bCs/>
          <w:i/>
        </w:rPr>
        <w:t>euro</w:t>
      </w:r>
      <w:r w:rsidRPr="0042151C">
        <w:rPr>
          <w:bCs/>
          <w:iCs/>
        </w:rPr>
        <w:t xml:space="preserve">, </w:t>
      </w:r>
      <w:r w:rsidRPr="0042151C">
        <w:lastRenderedPageBreak/>
        <w:t xml:space="preserve">veidojot neapgūto finansējumu </w:t>
      </w:r>
      <w:r w:rsidRPr="0042151C">
        <w:rPr>
          <w:rFonts w:eastAsia="Times New Roman"/>
          <w:b/>
          <w:color w:val="000000"/>
          <w:lang w:eastAsia="lv-LV"/>
        </w:rPr>
        <w:t xml:space="preserve">185 469 </w:t>
      </w:r>
      <w:r w:rsidRPr="0042151C">
        <w:rPr>
          <w:b/>
          <w:i/>
        </w:rPr>
        <w:t>euro</w:t>
      </w:r>
      <w:r w:rsidRPr="0042151C">
        <w:rPr>
          <w:i/>
        </w:rPr>
        <w:t xml:space="preserve"> </w:t>
      </w:r>
      <w:r w:rsidRPr="0042151C">
        <w:t xml:space="preserve">apmērā. 2020. gadā turpināta reformas iniciatīvas </w:t>
      </w:r>
      <w:r w:rsidRPr="0080334F">
        <w:t xml:space="preserve">īstenošana ar lielāku plānoto papildus finansējumu nekā 2019. gadā </w:t>
      </w:r>
      <w:r w:rsidR="00FB3B36">
        <w:rPr>
          <w:rFonts w:eastAsia="Times New Roman"/>
          <w:lang w:eastAsia="lv-LV"/>
        </w:rPr>
        <w:t>610 581</w:t>
      </w:r>
      <w:r w:rsidRPr="0080334F">
        <w:rPr>
          <w:rFonts w:eastAsia="Times New Roman"/>
          <w:lang w:eastAsia="lv-LV"/>
        </w:rPr>
        <w:t xml:space="preserve"> </w:t>
      </w:r>
      <w:r w:rsidRPr="0080334F">
        <w:rPr>
          <w:i/>
        </w:rPr>
        <w:t>euro</w:t>
      </w:r>
      <w:r w:rsidRPr="0080334F">
        <w:t xml:space="preserve"> apmērā.</w:t>
      </w:r>
    </w:p>
    <w:p w14:paraId="197F0316" w14:textId="77777777" w:rsidR="00EC52FF" w:rsidRPr="0080334F" w:rsidRDefault="00EC52FF" w:rsidP="00203DFE">
      <w:pPr>
        <w:spacing w:before="120" w:after="120"/>
        <w:ind w:firstLine="720"/>
        <w:jc w:val="both"/>
        <w:rPr>
          <w:rFonts w:eastAsia="Times New Roman"/>
          <w:b/>
          <w:i/>
          <w:lang w:eastAsia="lv-LV"/>
        </w:rPr>
      </w:pPr>
      <w:r w:rsidRPr="0042151C">
        <w:rPr>
          <w:rFonts w:eastAsia="Times New Roman"/>
          <w:b/>
          <w:i/>
          <w:lang w:eastAsia="lv-LV"/>
        </w:rPr>
        <w:t>Jaunu manipulāciju izveide urīnpūšļa un prostatas vēža diagnostikai un ārstēšanai</w:t>
      </w:r>
    </w:p>
    <w:p w14:paraId="38A61FFC" w14:textId="28C7893A" w:rsidR="00EC52FF" w:rsidRPr="0036733A" w:rsidRDefault="00EC52FF" w:rsidP="00203DFE">
      <w:pPr>
        <w:spacing w:before="120" w:after="120"/>
        <w:ind w:firstLine="720"/>
        <w:jc w:val="both"/>
      </w:pPr>
      <w:r w:rsidRPr="0080334F">
        <w:rPr>
          <w:rFonts w:eastAsiaTheme="majorEastAsia"/>
        </w:rPr>
        <w:t xml:space="preserve">2019. gadā papildus finansējums 165 874 </w:t>
      </w:r>
      <w:r w:rsidRPr="0080334F">
        <w:rPr>
          <w:rFonts w:eastAsiaTheme="majorEastAsia"/>
          <w:i/>
        </w:rPr>
        <w:t>euro</w:t>
      </w:r>
      <w:r w:rsidRPr="0080334F">
        <w:rPr>
          <w:rFonts w:eastAsiaTheme="majorEastAsia"/>
        </w:rPr>
        <w:t xml:space="preserve"> apmērā tika paredzēts </w:t>
      </w:r>
      <w:r w:rsidRPr="0080334F">
        <w:rPr>
          <w:rFonts w:eastAsia="Times New Roman"/>
          <w:color w:val="000000"/>
          <w:lang w:eastAsia="lv-LV"/>
        </w:rPr>
        <w:t>jauna tarifa manipulācijai par urīnpūšļa fotodinamisku diagnostiku (FDD) (54 662</w:t>
      </w:r>
      <w:r w:rsidRPr="0080334F">
        <w:rPr>
          <w:rFonts w:eastAsia="Times New Roman"/>
          <w:i/>
          <w:color w:val="000000"/>
          <w:lang w:eastAsia="lv-LV"/>
        </w:rPr>
        <w:t xml:space="preserve"> euro</w:t>
      </w:r>
      <w:r w:rsidRPr="0080334F">
        <w:rPr>
          <w:rFonts w:eastAsia="Times New Roman"/>
          <w:color w:val="000000"/>
          <w:lang w:eastAsia="lv-LV"/>
        </w:rPr>
        <w:t xml:space="preserve">) un jauns tarifa prostatas vēža diagnostikai un ārstēšanai (divi tarifi biopsijām un viena priekšdziedzera vēža minimāli invazīvas ārstēšanas procedūrai ar AIFU iekārtu) (111 212 </w:t>
      </w:r>
      <w:r w:rsidRPr="0080334F">
        <w:rPr>
          <w:rFonts w:eastAsia="Times New Roman"/>
          <w:i/>
          <w:color w:val="000000"/>
          <w:lang w:eastAsia="lv-LV"/>
        </w:rPr>
        <w:t>euro</w:t>
      </w:r>
      <w:r w:rsidRPr="0080334F">
        <w:rPr>
          <w:rFonts w:eastAsia="Times New Roman"/>
          <w:color w:val="000000"/>
          <w:lang w:eastAsia="lv-LV"/>
        </w:rPr>
        <w:t xml:space="preserve">), no kopējā finansējuma manipulāciju izveidei 2019. gadā apgūts </w:t>
      </w:r>
      <w:r w:rsidRPr="0080334F">
        <w:rPr>
          <w:rFonts w:eastAsia="Times New Roman"/>
          <w:lang w:eastAsia="lv-LV"/>
        </w:rPr>
        <w:t>29 </w:t>
      </w:r>
      <w:r w:rsidR="00212D35">
        <w:rPr>
          <w:rFonts w:eastAsia="Times New Roman"/>
          <w:lang w:eastAsia="lv-LV"/>
        </w:rPr>
        <w:t>433</w:t>
      </w:r>
      <w:r w:rsidRPr="0080334F">
        <w:rPr>
          <w:rFonts w:eastAsia="Times New Roman"/>
          <w:lang w:eastAsia="lv-LV"/>
        </w:rPr>
        <w:t xml:space="preserve"> </w:t>
      </w:r>
      <w:r w:rsidRPr="0080334F">
        <w:rPr>
          <w:rFonts w:eastAsia="Times New Roman"/>
          <w:i/>
          <w:lang w:eastAsia="lv-LV"/>
        </w:rPr>
        <w:t>euro</w:t>
      </w:r>
      <w:r w:rsidRPr="0080334F">
        <w:rPr>
          <w:rFonts w:eastAsia="Times New Roman"/>
          <w:lang w:eastAsia="lv-LV"/>
        </w:rPr>
        <w:t>,</w:t>
      </w:r>
      <w:r>
        <w:rPr>
          <w:rFonts w:eastAsia="Times New Roman"/>
          <w:lang w:eastAsia="lv-LV"/>
        </w:rPr>
        <w:t xml:space="preserve"> </w:t>
      </w:r>
      <w:r w:rsidRPr="0080334F">
        <w:t xml:space="preserve">veidojot neapgūto finansējumu </w:t>
      </w:r>
      <w:r w:rsidRPr="0080334F">
        <w:rPr>
          <w:rFonts w:eastAsia="Times New Roman"/>
          <w:b/>
          <w:color w:val="000000"/>
          <w:lang w:eastAsia="lv-LV"/>
        </w:rPr>
        <w:t xml:space="preserve">136 </w:t>
      </w:r>
      <w:r w:rsidR="00212D35">
        <w:rPr>
          <w:rFonts w:eastAsia="Times New Roman"/>
          <w:b/>
          <w:color w:val="000000"/>
          <w:lang w:eastAsia="lv-LV"/>
        </w:rPr>
        <w:t>461</w:t>
      </w:r>
      <w:r w:rsidRPr="0080334F">
        <w:rPr>
          <w:rFonts w:eastAsia="Times New Roman"/>
          <w:b/>
          <w:color w:val="000000"/>
          <w:lang w:eastAsia="lv-LV"/>
        </w:rPr>
        <w:t xml:space="preserve"> </w:t>
      </w:r>
      <w:r w:rsidRPr="0080334F">
        <w:rPr>
          <w:b/>
          <w:i/>
        </w:rPr>
        <w:t>euro</w:t>
      </w:r>
      <w:r w:rsidRPr="0080334F">
        <w:rPr>
          <w:i/>
        </w:rPr>
        <w:t xml:space="preserve"> </w:t>
      </w:r>
      <w:r w:rsidRPr="0080334F">
        <w:t xml:space="preserve">apmērā. 2020. gadā turpināta reformas iniciatīvas īstenošana ar lielāku plānoto papildus finansējumu nekā 2019. gadā </w:t>
      </w:r>
      <w:r w:rsidRPr="0080334F">
        <w:rPr>
          <w:rFonts w:eastAsia="Times New Roman"/>
          <w:lang w:eastAsia="lv-LV"/>
        </w:rPr>
        <w:t xml:space="preserve">227 991 </w:t>
      </w:r>
      <w:r w:rsidRPr="0080334F">
        <w:rPr>
          <w:i/>
        </w:rPr>
        <w:t>euro</w:t>
      </w:r>
      <w:r>
        <w:t xml:space="preserve"> apmērā.</w:t>
      </w:r>
    </w:p>
    <w:p w14:paraId="5825DAD7" w14:textId="77777777" w:rsidR="00EC52FF" w:rsidRDefault="00EC52FF" w:rsidP="00203DFE">
      <w:pPr>
        <w:spacing w:before="120" w:after="120"/>
        <w:ind w:firstLine="720"/>
        <w:jc w:val="both"/>
        <w:rPr>
          <w:rFonts w:eastAsia="Times New Roman"/>
          <w:lang w:eastAsia="lv-LV"/>
        </w:rPr>
      </w:pPr>
      <w:r w:rsidRPr="0042151C">
        <w:rPr>
          <w:rFonts w:eastAsia="Times New Roman"/>
          <w:b/>
          <w:i/>
          <w:lang w:eastAsia="lv-LV"/>
        </w:rPr>
        <w:t>Lineārā paātrinātāja</w:t>
      </w:r>
      <w:r w:rsidRPr="0080334F">
        <w:rPr>
          <w:rFonts w:eastAsia="Times New Roman"/>
          <w:b/>
          <w:i/>
          <w:lang w:eastAsia="lv-LV"/>
        </w:rPr>
        <w:t xml:space="preserve"> un videocistoskopijas sistēmas komplekta iegāde</w:t>
      </w:r>
    </w:p>
    <w:p w14:paraId="3F495135" w14:textId="04FACD94" w:rsidR="00EC52FF" w:rsidRPr="0080334F" w:rsidRDefault="00EC52FF" w:rsidP="00203DFE">
      <w:pPr>
        <w:spacing w:before="120" w:after="120"/>
        <w:ind w:firstLine="720"/>
        <w:jc w:val="both"/>
        <w:rPr>
          <w:rFonts w:eastAsia="Times New Roman"/>
          <w:lang w:eastAsia="lv-LV"/>
        </w:rPr>
      </w:pPr>
      <w:r w:rsidRPr="0080334F">
        <w:rPr>
          <w:rFonts w:eastAsia="Times New Roman"/>
          <w:lang w:eastAsia="lv-LV"/>
        </w:rPr>
        <w:t xml:space="preserve">Lai nodrošinātu </w:t>
      </w:r>
      <w:r w:rsidRPr="0080334F">
        <w:t xml:space="preserve">VSIA “Paula Stradiņa klīniskā universitātes” jauna </w:t>
      </w:r>
      <w:r w:rsidRPr="0080334F">
        <w:rPr>
          <w:lang w:bidi="lo-LA"/>
        </w:rPr>
        <w:t xml:space="preserve">lineārā paātrinātāja iegādi, tika piešķiti </w:t>
      </w:r>
      <w:r w:rsidRPr="0080334F">
        <w:t xml:space="preserve">2 500 000 </w:t>
      </w:r>
      <w:r w:rsidRPr="00F17C94">
        <w:rPr>
          <w:i/>
        </w:rPr>
        <w:t>euro</w:t>
      </w:r>
      <w:r w:rsidRPr="0080334F">
        <w:t xml:space="preserve">. </w:t>
      </w:r>
      <w:r w:rsidRPr="0080334F">
        <w:rPr>
          <w:lang w:bidi="lo-LA"/>
        </w:rPr>
        <w:t>Atbilstoši 2019.</w:t>
      </w:r>
      <w:r w:rsidR="004A2CC7">
        <w:rPr>
          <w:lang w:bidi="lo-LA"/>
        </w:rPr>
        <w:t xml:space="preserve"> </w:t>
      </w:r>
      <w:r w:rsidRPr="0080334F">
        <w:rPr>
          <w:lang w:bidi="lo-LA"/>
        </w:rPr>
        <w:t xml:space="preserve">gada faktiskajai izpildei tika iegādāts lineārais paātrinātājs par kopējo summu 2 498 650 </w:t>
      </w:r>
      <w:r w:rsidRPr="0080334F">
        <w:rPr>
          <w:i/>
          <w:lang w:bidi="lo-LA"/>
        </w:rPr>
        <w:t>euro</w:t>
      </w:r>
      <w:r w:rsidRPr="0080334F">
        <w:rPr>
          <w:lang w:bidi="lo-LA"/>
        </w:rPr>
        <w:t xml:space="preserve"> apmērā. Tāpat </w:t>
      </w:r>
      <w:r w:rsidRPr="0080334F">
        <w:rPr>
          <w:rFonts w:eastAsia="Times New Roman"/>
          <w:lang w:eastAsia="lv-LV"/>
        </w:rPr>
        <w:t>videocistoskopijas sistēmas komplekta iegādei tika piešķirti</w:t>
      </w:r>
      <w:r w:rsidRPr="0080334F">
        <w:rPr>
          <w:rFonts w:eastAsia="Times New Roman"/>
          <w:i/>
          <w:lang w:eastAsia="lv-LV"/>
        </w:rPr>
        <w:t xml:space="preserve"> </w:t>
      </w:r>
      <w:r w:rsidRPr="0080334F">
        <w:t xml:space="preserve">360 000 </w:t>
      </w:r>
      <w:r w:rsidRPr="0080334F">
        <w:rPr>
          <w:i/>
        </w:rPr>
        <w:t>euro</w:t>
      </w:r>
      <w:r w:rsidRPr="0080334F">
        <w:t xml:space="preserve">,  </w:t>
      </w:r>
      <w:r w:rsidRPr="0080334F">
        <w:rPr>
          <w:rFonts w:eastAsia="Times New Roman"/>
          <w:i/>
          <w:lang w:eastAsia="lv-LV"/>
        </w:rPr>
        <w:t xml:space="preserve"> </w:t>
      </w:r>
      <w:r w:rsidRPr="0080334F">
        <w:rPr>
          <w:lang w:bidi="lo-LA"/>
        </w:rPr>
        <w:t xml:space="preserve">faktiski iekārtas iegādājoties par </w:t>
      </w:r>
      <w:r w:rsidRPr="0080334F">
        <w:t xml:space="preserve">359 323 </w:t>
      </w:r>
      <w:r w:rsidRPr="0080334F">
        <w:rPr>
          <w:i/>
        </w:rPr>
        <w:t>euro</w:t>
      </w:r>
      <w:r w:rsidRPr="0080334F">
        <w:t xml:space="preserve">. </w:t>
      </w:r>
      <w:r w:rsidRPr="0080334F">
        <w:rPr>
          <w:lang w:bidi="lo-LA"/>
        </w:rPr>
        <w:t xml:space="preserve">VM ir norādījusi, ka kopējā līdzekļu ekonomija </w:t>
      </w:r>
      <w:r w:rsidRPr="0080334F">
        <w:rPr>
          <w:b/>
          <w:lang w:bidi="lo-LA"/>
        </w:rPr>
        <w:t xml:space="preserve">1 350 </w:t>
      </w:r>
      <w:r w:rsidRPr="0080334F">
        <w:rPr>
          <w:b/>
          <w:i/>
          <w:lang w:bidi="lo-LA"/>
        </w:rPr>
        <w:t xml:space="preserve">euro </w:t>
      </w:r>
      <w:r>
        <w:rPr>
          <w:b/>
          <w:lang w:bidi="lo-LA"/>
        </w:rPr>
        <w:t>un 677</w:t>
      </w:r>
      <w:r w:rsidRPr="0080334F">
        <w:rPr>
          <w:b/>
          <w:lang w:bidi="lo-LA"/>
        </w:rPr>
        <w:t xml:space="preserve"> </w:t>
      </w:r>
      <w:r w:rsidRPr="0080334F">
        <w:rPr>
          <w:b/>
          <w:i/>
          <w:lang w:bidi="lo-LA"/>
        </w:rPr>
        <w:t xml:space="preserve">euro  </w:t>
      </w:r>
      <w:r w:rsidRPr="0080334F">
        <w:rPr>
          <w:lang w:bidi="lo-LA"/>
        </w:rPr>
        <w:t xml:space="preserve">apmērā tika atmaksāta Valsts budžetā. FM norāda, ka šāda redakcija VM ziņojumā būtu precizējama, </w:t>
      </w:r>
      <w:r>
        <w:rPr>
          <w:lang w:bidi="lo-LA"/>
        </w:rPr>
        <w:t>ņemot vērā, ka nav saprotams kā minētais fakts ir noticis</w:t>
      </w:r>
      <w:r w:rsidRPr="0080334F">
        <w:rPr>
          <w:lang w:bidi="lo-LA"/>
        </w:rPr>
        <w:t xml:space="preserve">, līdz ar to 1 350 </w:t>
      </w:r>
      <w:r w:rsidRPr="0080334F">
        <w:rPr>
          <w:i/>
          <w:lang w:bidi="lo-LA"/>
        </w:rPr>
        <w:t>euro un</w:t>
      </w:r>
      <w:r>
        <w:rPr>
          <w:lang w:bidi="lo-LA"/>
        </w:rPr>
        <w:t xml:space="preserve"> 677</w:t>
      </w:r>
      <w:r w:rsidRPr="0080334F">
        <w:rPr>
          <w:lang w:bidi="lo-LA"/>
        </w:rPr>
        <w:t xml:space="preserve"> </w:t>
      </w:r>
      <w:r w:rsidRPr="0080334F">
        <w:rPr>
          <w:i/>
          <w:lang w:bidi="lo-LA"/>
        </w:rPr>
        <w:t>euro</w:t>
      </w:r>
      <w:r w:rsidRPr="0080334F">
        <w:rPr>
          <w:b/>
          <w:i/>
          <w:lang w:bidi="lo-LA"/>
        </w:rPr>
        <w:t xml:space="preserve"> </w:t>
      </w:r>
      <w:r w:rsidRPr="0080334F">
        <w:rPr>
          <w:lang w:bidi="lo-LA"/>
        </w:rPr>
        <w:t xml:space="preserve">ir pieejamie VM budžeta līdzekļi.  </w:t>
      </w:r>
    </w:p>
    <w:p w14:paraId="7ABD35B1" w14:textId="77777777" w:rsidR="00EC52FF" w:rsidRPr="003A7EB7" w:rsidRDefault="00EC52FF" w:rsidP="00203DFE">
      <w:pPr>
        <w:spacing w:before="120" w:after="120"/>
        <w:ind w:firstLine="720"/>
        <w:jc w:val="both"/>
        <w:rPr>
          <w:rFonts w:eastAsia="Times New Roman"/>
          <w:b/>
          <w:i/>
          <w:lang w:eastAsia="lv-LV"/>
        </w:rPr>
      </w:pPr>
      <w:r w:rsidRPr="003A7EB7">
        <w:rPr>
          <w:rFonts w:eastAsia="Times New Roman"/>
          <w:b/>
          <w:i/>
          <w:lang w:eastAsia="lv-LV"/>
        </w:rPr>
        <w:t xml:space="preserve">Kompensējamie medikamenti C hepatīta ārstēšanai F3-F4 stadijā </w:t>
      </w:r>
    </w:p>
    <w:p w14:paraId="47C1C687" w14:textId="77777777" w:rsidR="00EC52FF" w:rsidRDefault="00EC52FF" w:rsidP="00203DFE">
      <w:pPr>
        <w:spacing w:before="120" w:after="120"/>
        <w:ind w:firstLine="720"/>
        <w:jc w:val="both"/>
      </w:pPr>
      <w:r w:rsidRPr="0050666D">
        <w:t xml:space="preserve">2019. gadā tika paredzēti 400 unikālie pacienti, kuri saņemtu nepieciešamo ārstēšanu. Lai paplašinātu pacientu loku, kas saņem medikamentozo ārstēšanu 2019. gadā papildus tika piešķirti 10,5 milj. </w:t>
      </w:r>
      <w:r w:rsidRPr="0050666D">
        <w:rPr>
          <w:i/>
        </w:rPr>
        <w:t>euro</w:t>
      </w:r>
      <w:r w:rsidRPr="0050666D">
        <w:t xml:space="preserve">, no kopējā finansējuma 2019. gadā tika apgūti 9,3 milj. </w:t>
      </w:r>
      <w:r w:rsidRPr="0050666D">
        <w:rPr>
          <w:i/>
        </w:rPr>
        <w:t>euro</w:t>
      </w:r>
      <w:r w:rsidRPr="0050666D">
        <w:t xml:space="preserve">, veidojot neapgūto finansējumu </w:t>
      </w:r>
      <w:r w:rsidRPr="0050666D">
        <w:rPr>
          <w:rFonts w:eastAsia="Times New Roman"/>
          <w:b/>
          <w:color w:val="000000"/>
          <w:lang w:eastAsia="lv-LV"/>
        </w:rPr>
        <w:t xml:space="preserve">1 177 781 </w:t>
      </w:r>
      <w:r w:rsidRPr="0050666D">
        <w:rPr>
          <w:b/>
          <w:i/>
        </w:rPr>
        <w:t>euro</w:t>
      </w:r>
      <w:r w:rsidRPr="0050666D">
        <w:rPr>
          <w:i/>
        </w:rPr>
        <w:t xml:space="preserve"> </w:t>
      </w:r>
      <w:r w:rsidRPr="0050666D">
        <w:t xml:space="preserve">apmērā. Jānorāda, ka par apgūto finansējumu faktiskais pacientu skaits sasniedza 2 806. 2020. gadā turpināta reformas iniciatīvas īstenošana ar plānoto papildus finansējumu </w:t>
      </w:r>
      <w:r w:rsidRPr="0050666D">
        <w:rPr>
          <w:rFonts w:eastAsia="Times New Roman"/>
          <w:color w:val="000000"/>
          <w:lang w:eastAsia="lv-LV"/>
        </w:rPr>
        <w:t xml:space="preserve">10,5 milj. </w:t>
      </w:r>
      <w:r w:rsidRPr="0050666D">
        <w:rPr>
          <w:i/>
        </w:rPr>
        <w:t>euro</w:t>
      </w:r>
      <w:r w:rsidRPr="0050666D">
        <w:t xml:space="preserve"> apmērā.</w:t>
      </w:r>
    </w:p>
    <w:p w14:paraId="6FEA135D" w14:textId="77777777" w:rsidR="00EC52FF" w:rsidRPr="0050666D" w:rsidRDefault="00EC52FF" w:rsidP="00203DFE">
      <w:pPr>
        <w:spacing w:before="120" w:after="120"/>
        <w:ind w:firstLine="720"/>
        <w:rPr>
          <w:rFonts w:eastAsia="Times New Roman"/>
          <w:b/>
          <w:i/>
          <w:color w:val="000000"/>
          <w:lang w:eastAsia="lv-LV"/>
        </w:rPr>
      </w:pPr>
      <w:r w:rsidRPr="0050666D">
        <w:rPr>
          <w:rFonts w:eastAsia="Times New Roman"/>
          <w:b/>
          <w:i/>
          <w:color w:val="000000"/>
          <w:lang w:eastAsia="lv-LV"/>
        </w:rPr>
        <w:t>FibroScan iekārta</w:t>
      </w:r>
      <w:r>
        <w:rPr>
          <w:rFonts w:eastAsia="Times New Roman"/>
          <w:b/>
          <w:i/>
          <w:color w:val="000000"/>
          <w:lang w:eastAsia="lv-LV"/>
        </w:rPr>
        <w:t>s nodrošinājums</w:t>
      </w:r>
    </w:p>
    <w:p w14:paraId="01F5CD53" w14:textId="40F14DC7" w:rsidR="00EC52FF" w:rsidRPr="0080334F" w:rsidRDefault="00EC52FF" w:rsidP="00203DFE">
      <w:pPr>
        <w:spacing w:before="120" w:after="120"/>
        <w:ind w:firstLine="720"/>
        <w:jc w:val="both"/>
        <w:rPr>
          <w:rFonts w:eastAsia="Times New Roman"/>
          <w:lang w:eastAsia="lv-LV"/>
        </w:rPr>
      </w:pPr>
      <w:r>
        <w:t>VM informē, ka, l</w:t>
      </w:r>
      <w:r w:rsidRPr="00C33B26">
        <w:t>ai nodrošinātu to, ka pēc iespējas ātrāk tiek identificēti pacienti, kam nepieciešama VHC ārstēšana, no 2019.</w:t>
      </w:r>
      <w:r w:rsidR="004A2CC7">
        <w:t xml:space="preserve"> </w:t>
      </w:r>
      <w:r w:rsidRPr="00C33B26">
        <w:t>gada 1.</w:t>
      </w:r>
      <w:r w:rsidR="004A2CC7">
        <w:t xml:space="preserve"> </w:t>
      </w:r>
      <w:r w:rsidRPr="00C33B26">
        <w:t>jūlija tika uzsākts nodrošināt par valsts budžeta līdzekļiem apmaksātu FibroScan izmeklējumu tīklu Rīgā un reģionos</w:t>
      </w:r>
      <w:r>
        <w:t xml:space="preserve">. Reformas iniciatīvai 2019. gadā piešķiti 360 000 </w:t>
      </w:r>
      <w:r w:rsidRPr="002B7E8A">
        <w:rPr>
          <w:i/>
        </w:rPr>
        <w:t>euro</w:t>
      </w:r>
      <w:r>
        <w:t xml:space="preserve">, faktiski tika nodrošināta paredzēto 4 iekārtu iegāde par 347 536 </w:t>
      </w:r>
      <w:r w:rsidRPr="00F17C94">
        <w:rPr>
          <w:i/>
        </w:rPr>
        <w:t>euro</w:t>
      </w:r>
      <w:r>
        <w:t xml:space="preserve">. </w:t>
      </w:r>
      <w:r w:rsidRPr="0080334F">
        <w:rPr>
          <w:lang w:bidi="lo-LA"/>
        </w:rPr>
        <w:t xml:space="preserve">VM ir norādījusi, ka kopējā līdzekļu ekonomija </w:t>
      </w:r>
      <w:r w:rsidRPr="0050666D">
        <w:rPr>
          <w:b/>
          <w:lang w:bidi="lo-LA"/>
        </w:rPr>
        <w:t>12 </w:t>
      </w:r>
      <w:r>
        <w:rPr>
          <w:b/>
          <w:lang w:bidi="lo-LA"/>
        </w:rPr>
        <w:t>464</w:t>
      </w:r>
      <w:r w:rsidRPr="0050666D">
        <w:rPr>
          <w:b/>
          <w:lang w:bidi="lo-LA"/>
        </w:rPr>
        <w:t xml:space="preserve"> </w:t>
      </w:r>
      <w:r w:rsidRPr="0050666D">
        <w:rPr>
          <w:b/>
          <w:i/>
          <w:lang w:bidi="lo-LA"/>
        </w:rPr>
        <w:t>euro</w:t>
      </w:r>
      <w:r w:rsidRPr="0050666D">
        <w:rPr>
          <w:i/>
          <w:lang w:bidi="lo-LA"/>
        </w:rPr>
        <w:t xml:space="preserve"> </w:t>
      </w:r>
      <w:r w:rsidRPr="0080334F">
        <w:rPr>
          <w:lang w:bidi="lo-LA"/>
        </w:rPr>
        <w:t xml:space="preserve">apmērā tika atmaksāta Valsts budžetā. FM norāda, ka šāda redakcija VM ziņojumā būtu precizējama, </w:t>
      </w:r>
      <w:r>
        <w:rPr>
          <w:lang w:bidi="lo-LA"/>
        </w:rPr>
        <w:t>ņemot vērā, ka nav saprotams kā minētais fakts ir noticis</w:t>
      </w:r>
      <w:r w:rsidRPr="0080334F">
        <w:rPr>
          <w:lang w:bidi="lo-LA"/>
        </w:rPr>
        <w:t xml:space="preserve">, līdz ar to </w:t>
      </w:r>
      <w:r w:rsidRPr="0050666D">
        <w:rPr>
          <w:lang w:bidi="lo-LA"/>
        </w:rPr>
        <w:t xml:space="preserve">12 464 </w:t>
      </w:r>
      <w:r w:rsidRPr="0050666D">
        <w:rPr>
          <w:i/>
          <w:lang w:bidi="lo-LA"/>
        </w:rPr>
        <w:t xml:space="preserve">euro </w:t>
      </w:r>
      <w:r w:rsidRPr="0080334F">
        <w:rPr>
          <w:lang w:bidi="lo-LA"/>
        </w:rPr>
        <w:t xml:space="preserve">ir pieejamie VM budžeta līdzekļi.  </w:t>
      </w:r>
    </w:p>
    <w:p w14:paraId="4DD2AA6A" w14:textId="77777777" w:rsidR="00EC52FF" w:rsidRPr="004522A5" w:rsidRDefault="00EC52FF" w:rsidP="00203DFE">
      <w:pPr>
        <w:spacing w:before="120" w:after="120"/>
        <w:ind w:firstLine="720"/>
        <w:rPr>
          <w:rFonts w:eastAsia="Times New Roman"/>
          <w:b/>
          <w:i/>
          <w:lang w:eastAsia="lv-LV"/>
        </w:rPr>
      </w:pPr>
      <w:r w:rsidRPr="004522A5">
        <w:rPr>
          <w:rFonts w:eastAsia="Times New Roman"/>
          <w:b/>
          <w:i/>
          <w:lang w:eastAsia="lv-LV"/>
        </w:rPr>
        <w:t>Aknu elastogramma ar Fibroscan iekārtu</w:t>
      </w:r>
    </w:p>
    <w:p w14:paraId="25E0865E" w14:textId="04A15B99" w:rsidR="00EC52FF" w:rsidRPr="004522A5" w:rsidRDefault="00EC52FF" w:rsidP="00203DFE">
      <w:pPr>
        <w:spacing w:before="120" w:after="120"/>
        <w:ind w:firstLine="720"/>
        <w:jc w:val="both"/>
        <w:rPr>
          <w:rFonts w:eastAsia="Times New Roman"/>
          <w:color w:val="000000"/>
          <w:lang w:eastAsia="lv-LV"/>
        </w:rPr>
      </w:pPr>
      <w:r>
        <w:t>No 2019.</w:t>
      </w:r>
      <w:r w:rsidR="004A2CC7">
        <w:t xml:space="preserve"> </w:t>
      </w:r>
      <w:r>
        <w:t>gada 1.</w:t>
      </w:r>
      <w:r w:rsidR="004A2CC7">
        <w:t xml:space="preserve"> </w:t>
      </w:r>
      <w:r>
        <w:t xml:space="preserve">aprīļa tika </w:t>
      </w:r>
      <w:r w:rsidRPr="00C33B26">
        <w:t xml:space="preserve">piešķirti </w:t>
      </w:r>
      <w:r w:rsidRPr="004522A5">
        <w:t xml:space="preserve">24 550 </w:t>
      </w:r>
      <w:r w:rsidRPr="004522A5">
        <w:rPr>
          <w:i/>
        </w:rPr>
        <w:t>euro</w:t>
      </w:r>
      <w:r w:rsidRPr="004522A5">
        <w:t>,</w:t>
      </w:r>
      <w:r w:rsidRPr="00C33B26">
        <w:t xml:space="preserve"> lai nodrošinātu 5 000 pacientiem aknu elastogrāfiju ar tarifu 4,91 </w:t>
      </w:r>
      <w:r w:rsidRPr="00595AE9">
        <w:rPr>
          <w:i/>
        </w:rPr>
        <w:t>euro</w:t>
      </w:r>
      <w:r>
        <w:t xml:space="preserve">, 2019. gada faktiskā pakalpojuma izpilde liecina, ka </w:t>
      </w:r>
      <w:r w:rsidRPr="00C33B26">
        <w:t xml:space="preserve">apmaksātus aknu elastogrāfijas pakalpojumus saņēma 3246 pacienti un pakalpojumu apmaksai tika izlietoti 18 697 </w:t>
      </w:r>
      <w:r w:rsidRPr="00595AE9">
        <w:rPr>
          <w:i/>
          <w:iCs/>
        </w:rPr>
        <w:t>euro</w:t>
      </w:r>
      <w:r>
        <w:t xml:space="preserve">, veidojot </w:t>
      </w:r>
      <w:r w:rsidRPr="0050666D">
        <w:t xml:space="preserve">neapgūto finansējumu </w:t>
      </w:r>
      <w:r w:rsidRPr="004522A5">
        <w:rPr>
          <w:rFonts w:eastAsia="Times New Roman"/>
          <w:b/>
          <w:color w:val="000000"/>
          <w:lang w:eastAsia="lv-LV"/>
        </w:rPr>
        <w:t>5 853</w:t>
      </w:r>
      <w:r>
        <w:rPr>
          <w:rFonts w:eastAsia="Times New Roman"/>
          <w:color w:val="000000"/>
          <w:lang w:eastAsia="lv-LV"/>
        </w:rPr>
        <w:t xml:space="preserve"> </w:t>
      </w:r>
      <w:r w:rsidRPr="0050666D">
        <w:rPr>
          <w:b/>
          <w:i/>
        </w:rPr>
        <w:t>euro</w:t>
      </w:r>
      <w:r w:rsidRPr="0050666D">
        <w:rPr>
          <w:i/>
        </w:rPr>
        <w:t xml:space="preserve"> </w:t>
      </w:r>
      <w:r w:rsidRPr="0050666D">
        <w:t>apmērā</w:t>
      </w:r>
      <w:r>
        <w:t xml:space="preserve">. </w:t>
      </w:r>
      <w:r w:rsidRPr="0050666D">
        <w:t xml:space="preserve">2020. gadā turpināta reformas iniciatīvas īstenošana ar </w:t>
      </w:r>
      <w:r>
        <w:t xml:space="preserve">lielāku </w:t>
      </w:r>
      <w:r w:rsidRPr="0050666D">
        <w:t xml:space="preserve">plānoto papildus finansējumu </w:t>
      </w:r>
      <w:r>
        <w:rPr>
          <w:rFonts w:eastAsia="Times New Roman"/>
          <w:color w:val="000000"/>
          <w:lang w:eastAsia="lv-LV"/>
        </w:rPr>
        <w:t>36 000</w:t>
      </w:r>
      <w:r w:rsidRPr="0050666D">
        <w:rPr>
          <w:rFonts w:eastAsia="Times New Roman"/>
          <w:color w:val="000000"/>
          <w:lang w:eastAsia="lv-LV"/>
        </w:rPr>
        <w:t xml:space="preserve"> </w:t>
      </w:r>
      <w:r w:rsidRPr="0050666D">
        <w:rPr>
          <w:i/>
        </w:rPr>
        <w:t>euro</w:t>
      </w:r>
      <w:r w:rsidRPr="0050666D">
        <w:t xml:space="preserve"> apmērā.</w:t>
      </w:r>
    </w:p>
    <w:p w14:paraId="318F972C" w14:textId="77777777" w:rsidR="00FE3A2C" w:rsidRDefault="00FE3A2C" w:rsidP="00203DFE">
      <w:pPr>
        <w:spacing w:before="120" w:after="120"/>
        <w:ind w:firstLine="720"/>
        <w:jc w:val="both"/>
        <w:rPr>
          <w:rFonts w:eastAsia="Times New Roman"/>
          <w:b/>
          <w:i/>
          <w:lang w:eastAsia="lv-LV"/>
        </w:rPr>
      </w:pPr>
    </w:p>
    <w:p w14:paraId="6CA73059" w14:textId="77777777" w:rsidR="00EC52FF" w:rsidRPr="00313086" w:rsidRDefault="00EC52FF" w:rsidP="00203DFE">
      <w:pPr>
        <w:spacing w:before="120" w:after="120"/>
        <w:ind w:firstLine="720"/>
        <w:jc w:val="both"/>
        <w:rPr>
          <w:rFonts w:eastAsia="Times New Roman"/>
          <w:b/>
          <w:i/>
          <w:lang w:eastAsia="lv-LV"/>
        </w:rPr>
      </w:pPr>
      <w:r w:rsidRPr="00313086">
        <w:rPr>
          <w:rFonts w:eastAsia="Times New Roman"/>
          <w:b/>
          <w:i/>
          <w:lang w:eastAsia="lv-LV"/>
        </w:rPr>
        <w:lastRenderedPageBreak/>
        <w:t>HIV/AIDS medikamentoza ārstēšana</w:t>
      </w:r>
    </w:p>
    <w:p w14:paraId="64F6BD77" w14:textId="7FCFC812" w:rsidR="00EC52FF" w:rsidRDefault="00EC52FF" w:rsidP="00203DFE">
      <w:pPr>
        <w:spacing w:before="120" w:after="120"/>
        <w:ind w:firstLine="720"/>
        <w:jc w:val="both"/>
      </w:pPr>
      <w:r w:rsidRPr="00313086">
        <w:t>VM norādījusi, ka 2019.</w:t>
      </w:r>
      <w:r w:rsidR="004A2CC7">
        <w:t xml:space="preserve"> </w:t>
      </w:r>
      <w:r w:rsidRPr="00313086">
        <w:t xml:space="preserve">gadā tika plānots ārstēt 1 500 HIV pacientus, kuriem HIV/AIDS terapijas nodrošināšanai nepieciešami 4,2 milj. </w:t>
      </w:r>
      <w:r w:rsidRPr="00313086">
        <w:rPr>
          <w:i/>
        </w:rPr>
        <w:t>euro</w:t>
      </w:r>
      <w:r w:rsidRPr="00313086">
        <w:t xml:space="preserve">. No kopējā finansējuma 2019. gadā apgūti 3,6 milj. </w:t>
      </w:r>
      <w:r w:rsidRPr="002B7E8A">
        <w:rPr>
          <w:i/>
        </w:rPr>
        <w:t>euro</w:t>
      </w:r>
      <w:r w:rsidRPr="00313086">
        <w:t xml:space="preserve">, veidojot neapgūto finansējumu </w:t>
      </w:r>
      <w:r w:rsidRPr="00313086">
        <w:rPr>
          <w:b/>
        </w:rPr>
        <w:t xml:space="preserve">564 814 </w:t>
      </w:r>
      <w:r w:rsidRPr="00313086">
        <w:rPr>
          <w:b/>
          <w:i/>
        </w:rPr>
        <w:t>euro</w:t>
      </w:r>
      <w:r w:rsidRPr="00313086">
        <w:t xml:space="preserve"> apmērā, turklāt pakalpojums nodrošināts 1 062 pacientiem. 2020. gadā turpināta reformas iniciatīvas īstenošana ar plānoto papildus finansējumu </w:t>
      </w:r>
      <w:r w:rsidRPr="00313086">
        <w:rPr>
          <w:rFonts w:eastAsia="Times New Roman"/>
          <w:color w:val="000000"/>
          <w:lang w:eastAsia="lv-LV"/>
        </w:rPr>
        <w:t xml:space="preserve">4,2 milj. </w:t>
      </w:r>
      <w:r w:rsidRPr="00313086">
        <w:rPr>
          <w:i/>
        </w:rPr>
        <w:t>euro</w:t>
      </w:r>
      <w:r w:rsidRPr="00313086">
        <w:t xml:space="preserve"> apmērā.</w:t>
      </w:r>
    </w:p>
    <w:p w14:paraId="68CF773D" w14:textId="77777777" w:rsidR="00EC52FF" w:rsidRPr="00D1017B" w:rsidRDefault="00EC52FF" w:rsidP="00203DFE">
      <w:pPr>
        <w:spacing w:before="120" w:after="120"/>
        <w:ind w:firstLine="720"/>
        <w:jc w:val="both"/>
        <w:rPr>
          <w:rFonts w:eastAsia="Times New Roman"/>
          <w:b/>
          <w:i/>
          <w:color w:val="000000"/>
          <w:lang w:eastAsia="lv-LV"/>
        </w:rPr>
      </w:pPr>
      <w:r w:rsidRPr="00D1017B">
        <w:rPr>
          <w:b/>
          <w:i/>
        </w:rPr>
        <w:t xml:space="preserve">Līdzestības pakalpojumu un </w:t>
      </w:r>
      <w:r w:rsidRPr="00D1017B">
        <w:rPr>
          <w:rFonts w:eastAsia="Times New Roman"/>
          <w:b/>
          <w:i/>
          <w:color w:val="000000"/>
          <w:lang w:eastAsia="lv-LV"/>
        </w:rPr>
        <w:t>atbalsta personas HIV inficētām personām</w:t>
      </w:r>
      <w:r w:rsidRPr="00D1017B">
        <w:rPr>
          <w:b/>
          <w:i/>
        </w:rPr>
        <w:t xml:space="preserve"> nodrošināšana</w:t>
      </w:r>
    </w:p>
    <w:p w14:paraId="7A1E4668" w14:textId="4CC1B32E" w:rsidR="00EC52FF" w:rsidRDefault="00EC52FF" w:rsidP="00203DFE">
      <w:pPr>
        <w:spacing w:before="120" w:after="120"/>
        <w:ind w:firstLine="720"/>
        <w:jc w:val="both"/>
      </w:pPr>
      <w:r w:rsidRPr="002D2BE5">
        <w:t>Lai nodrošinātu no 2019.</w:t>
      </w:r>
      <w:r w:rsidR="00CC268C">
        <w:t xml:space="preserve"> </w:t>
      </w:r>
      <w:r w:rsidRPr="002D2BE5">
        <w:t>gada 1.</w:t>
      </w:r>
      <w:r w:rsidR="00CC268C">
        <w:t xml:space="preserve"> </w:t>
      </w:r>
      <w:r w:rsidRPr="002D2BE5">
        <w:t xml:space="preserve">aprīļa HIV līdzestības kabinetu izveidi tika piešķirti 21 465 </w:t>
      </w:r>
      <w:r w:rsidRPr="002D2BE5">
        <w:rPr>
          <w:i/>
        </w:rPr>
        <w:t>euro</w:t>
      </w:r>
      <w:r w:rsidRPr="002D2BE5">
        <w:t>, Atbilstoši faktiskajai izpildei (no 2019.</w:t>
      </w:r>
      <w:r w:rsidR="00CC268C">
        <w:t xml:space="preserve"> </w:t>
      </w:r>
      <w:r w:rsidRPr="002D2BE5">
        <w:t>gada 1.</w:t>
      </w:r>
      <w:r w:rsidR="00CC268C">
        <w:t xml:space="preserve"> </w:t>
      </w:r>
      <w:r w:rsidRPr="002D2BE5">
        <w:t>aprīļa) HIV līdzestības kabineta darbībai ir izlietoti 9 347 </w:t>
      </w:r>
      <w:r w:rsidRPr="002D2BE5">
        <w:rPr>
          <w:i/>
        </w:rPr>
        <w:t>euro</w:t>
      </w:r>
      <w:r w:rsidRPr="002D2BE5">
        <w:t xml:space="preserve">, kas ir 43,55% no plānotā kopējā finansējuma 9 mēnešiem, neapgūtais finansējums </w:t>
      </w:r>
      <w:r w:rsidRPr="002D2BE5">
        <w:rPr>
          <w:b/>
          <w:shd w:val="clear" w:color="auto" w:fill="FFFFFF"/>
        </w:rPr>
        <w:t xml:space="preserve">12 118 </w:t>
      </w:r>
      <w:r w:rsidRPr="002D2BE5">
        <w:rPr>
          <w:b/>
          <w:i/>
          <w:shd w:val="clear" w:color="auto" w:fill="FFFFFF"/>
        </w:rPr>
        <w:t>euro</w:t>
      </w:r>
      <w:r w:rsidRPr="002D2BE5">
        <w:rPr>
          <w:shd w:val="clear" w:color="auto" w:fill="FFFFFF"/>
        </w:rPr>
        <w:t xml:space="preserve">. Papildus finansējums 14 000 </w:t>
      </w:r>
      <w:r w:rsidRPr="002D2BE5">
        <w:rPr>
          <w:i/>
          <w:shd w:val="clear" w:color="auto" w:fill="FFFFFF"/>
        </w:rPr>
        <w:t>euro</w:t>
      </w:r>
      <w:r w:rsidRPr="002D2BE5">
        <w:rPr>
          <w:shd w:val="clear" w:color="auto" w:fill="FFFFFF"/>
        </w:rPr>
        <w:t xml:space="preserve"> apmērā piešķirts </w:t>
      </w:r>
      <w:r w:rsidRPr="002D2BE5">
        <w:rPr>
          <w:rFonts w:eastAsia="Times New Roman"/>
          <w:color w:val="000000"/>
          <w:lang w:eastAsia="lv-LV"/>
        </w:rPr>
        <w:t>a</w:t>
      </w:r>
      <w:r w:rsidRPr="00D1017B">
        <w:rPr>
          <w:rFonts w:eastAsia="Times New Roman"/>
          <w:color w:val="000000"/>
          <w:lang w:eastAsia="lv-LV"/>
        </w:rPr>
        <w:t>tbalsta personas HIV inficētām personām</w:t>
      </w:r>
      <w:r w:rsidRPr="002D2BE5">
        <w:t xml:space="preserve"> nodrošināšanai, faktiski apgūstot 13 990 </w:t>
      </w:r>
      <w:r w:rsidRPr="002D2BE5">
        <w:rPr>
          <w:i/>
        </w:rPr>
        <w:t>euro</w:t>
      </w:r>
      <w:r w:rsidRPr="002D2BE5">
        <w:t xml:space="preserve"> (neapgūtais finansējums </w:t>
      </w:r>
      <w:r w:rsidRPr="002D2BE5">
        <w:rPr>
          <w:b/>
        </w:rPr>
        <w:t xml:space="preserve">10 </w:t>
      </w:r>
      <w:r w:rsidRPr="002D2BE5">
        <w:rPr>
          <w:b/>
          <w:i/>
        </w:rPr>
        <w:t>euro</w:t>
      </w:r>
      <w:r w:rsidRPr="002D2BE5">
        <w:rPr>
          <w:i/>
        </w:rPr>
        <w:t xml:space="preserve"> </w:t>
      </w:r>
      <w:r w:rsidRPr="002D2BE5">
        <w:t xml:space="preserve">apmērā). </w:t>
      </w:r>
      <w:r w:rsidRPr="002D2BE5">
        <w:rPr>
          <w:shd w:val="clear" w:color="auto" w:fill="FFFFFF"/>
        </w:rPr>
        <w:t xml:space="preserve">Lai arī VM norādījusi, ka nav pietiekama skaita speciālistu, kuri varētu īstenot šo pakalpojumus, 2020. gadā </w:t>
      </w:r>
      <w:r w:rsidRPr="002D2BE5">
        <w:t>turpināta reformas iniciatīvas līdzestības pakalpojumu īstenošana ar lielāku plānoto papildus finansējumu</w:t>
      </w:r>
      <w:r w:rsidRPr="002D2BE5">
        <w:rPr>
          <w:shd w:val="clear" w:color="auto" w:fill="FFFFFF"/>
        </w:rPr>
        <w:t xml:space="preserve"> </w:t>
      </w:r>
      <w:r w:rsidRPr="002D2BE5">
        <w:rPr>
          <w:rFonts w:eastAsia="Times New Roman"/>
          <w:color w:val="000000"/>
          <w:lang w:eastAsia="lv-LV"/>
        </w:rPr>
        <w:t xml:space="preserve">30 955 </w:t>
      </w:r>
      <w:r w:rsidRPr="002D2BE5">
        <w:rPr>
          <w:rFonts w:eastAsia="Times New Roman"/>
          <w:i/>
          <w:color w:val="000000"/>
          <w:lang w:eastAsia="lv-LV"/>
        </w:rPr>
        <w:t>euro</w:t>
      </w:r>
      <w:r w:rsidRPr="002D2BE5">
        <w:rPr>
          <w:rFonts w:eastAsia="Times New Roman"/>
          <w:color w:val="000000"/>
          <w:lang w:eastAsia="lv-LV"/>
        </w:rPr>
        <w:t xml:space="preserve"> apmērā un a</w:t>
      </w:r>
      <w:r w:rsidRPr="00D1017B">
        <w:rPr>
          <w:rFonts w:eastAsia="Times New Roman"/>
          <w:color w:val="000000"/>
          <w:lang w:eastAsia="lv-LV"/>
        </w:rPr>
        <w:t>tbalsta personas HIV inficētām personām</w:t>
      </w:r>
      <w:r w:rsidRPr="002D2BE5">
        <w:t xml:space="preserve"> nodrošināšana 28 000 </w:t>
      </w:r>
      <w:r w:rsidRPr="002D2BE5">
        <w:rPr>
          <w:i/>
        </w:rPr>
        <w:t>euro</w:t>
      </w:r>
      <w:r w:rsidRPr="002D2BE5">
        <w:t xml:space="preserve"> apmērā. </w:t>
      </w:r>
    </w:p>
    <w:p w14:paraId="76800F85" w14:textId="77777777" w:rsidR="00EC52FF" w:rsidRPr="002D2BE5" w:rsidRDefault="00EC52FF" w:rsidP="00203DFE">
      <w:pPr>
        <w:spacing w:before="120" w:after="120"/>
        <w:ind w:firstLine="720"/>
        <w:jc w:val="both"/>
        <w:rPr>
          <w:b/>
          <w:i/>
        </w:rPr>
      </w:pPr>
      <w:r w:rsidRPr="002D2BE5">
        <w:rPr>
          <w:b/>
          <w:bCs/>
          <w:i/>
        </w:rPr>
        <w:t xml:space="preserve">Zema sliekšņa pakalpojumu centru nodrošināšana </w:t>
      </w:r>
    </w:p>
    <w:p w14:paraId="29E05861" w14:textId="77777777" w:rsidR="00EC52FF" w:rsidRPr="002B7E8A" w:rsidRDefault="00EC52FF" w:rsidP="00203DFE">
      <w:pPr>
        <w:spacing w:before="120" w:after="120"/>
        <w:jc w:val="both"/>
        <w:rPr>
          <w:rFonts w:eastAsia="Times New Roman"/>
          <w:color w:val="000000"/>
          <w:lang w:eastAsia="lv-LV"/>
        </w:rPr>
      </w:pPr>
      <w:r>
        <w:rPr>
          <w:b/>
          <w:i/>
        </w:rPr>
        <w:tab/>
      </w:r>
      <w:r w:rsidRPr="003B1949">
        <w:t>Lai nodrošinātu pakalpojuma turpināšanu 2019. gadā no valsts budžeta līdzekļiem tika paredzēts finansējums</w:t>
      </w:r>
      <w:r>
        <w:rPr>
          <w:b/>
          <w:i/>
        </w:rPr>
        <w:t xml:space="preserve"> </w:t>
      </w:r>
      <w:r w:rsidRPr="003B1949">
        <w:rPr>
          <w:rFonts w:eastAsia="Times New Roman"/>
          <w:color w:val="000000"/>
          <w:lang w:eastAsia="lv-LV"/>
        </w:rPr>
        <w:t>47</w:t>
      </w:r>
      <w:r>
        <w:rPr>
          <w:rFonts w:eastAsia="Times New Roman"/>
          <w:color w:val="000000"/>
          <w:lang w:eastAsia="lv-LV"/>
        </w:rPr>
        <w:t> </w:t>
      </w:r>
      <w:r w:rsidRPr="003B1949">
        <w:rPr>
          <w:rFonts w:eastAsia="Times New Roman"/>
          <w:color w:val="000000"/>
          <w:lang w:eastAsia="lv-LV"/>
        </w:rPr>
        <w:t>556</w:t>
      </w:r>
      <w:r>
        <w:rPr>
          <w:rFonts w:eastAsia="Times New Roman"/>
          <w:color w:val="000000"/>
          <w:lang w:eastAsia="lv-LV"/>
        </w:rPr>
        <w:t xml:space="preserve"> </w:t>
      </w:r>
      <w:r w:rsidRPr="003B1949">
        <w:rPr>
          <w:rFonts w:eastAsia="Times New Roman"/>
          <w:i/>
          <w:color w:val="000000"/>
          <w:lang w:eastAsia="lv-LV"/>
        </w:rPr>
        <w:t>euro</w:t>
      </w:r>
      <w:r>
        <w:rPr>
          <w:rFonts w:eastAsia="Times New Roman"/>
          <w:color w:val="000000"/>
          <w:lang w:eastAsia="lv-LV"/>
        </w:rPr>
        <w:t xml:space="preserve">. </w:t>
      </w:r>
      <w:r w:rsidRPr="00C33B26">
        <w:t>Atbilstoši 2019.</w:t>
      </w:r>
      <w:r>
        <w:t xml:space="preserve"> </w:t>
      </w:r>
      <w:r w:rsidRPr="00C33B26">
        <w:t>gada faktiskajai izpildei no</w:t>
      </w:r>
      <w:r>
        <w:t xml:space="preserve"> </w:t>
      </w:r>
      <w:r w:rsidRPr="00C33B26">
        <w:t>2019.</w:t>
      </w:r>
      <w:r>
        <w:t xml:space="preserve"> </w:t>
      </w:r>
      <w:r w:rsidRPr="00C33B26">
        <w:t>gada 1.</w:t>
      </w:r>
      <w:r>
        <w:t xml:space="preserve"> </w:t>
      </w:r>
      <w:r w:rsidRPr="00C33B26">
        <w:t>jūlija līdz 2019.</w:t>
      </w:r>
      <w:r>
        <w:t xml:space="preserve"> </w:t>
      </w:r>
      <w:r w:rsidRPr="00C33B26">
        <w:t>gada 31.</w:t>
      </w:r>
      <w:r>
        <w:t xml:space="preserve"> </w:t>
      </w:r>
      <w:r w:rsidRPr="00C33B26">
        <w:t>decembrim pakalpojuma izpildītājam izmaksāti 35</w:t>
      </w:r>
      <w:r>
        <w:t xml:space="preserve"> 133 </w:t>
      </w:r>
      <w:r w:rsidRPr="00595AE9">
        <w:rPr>
          <w:i/>
        </w:rPr>
        <w:t>euro</w:t>
      </w:r>
      <w:r>
        <w:t xml:space="preserve">, veidojot neizpildi </w:t>
      </w:r>
      <w:r w:rsidRPr="003B1949">
        <w:rPr>
          <w:b/>
        </w:rPr>
        <w:t xml:space="preserve">12 423 </w:t>
      </w:r>
      <w:r w:rsidRPr="003B1949">
        <w:rPr>
          <w:b/>
          <w:i/>
        </w:rPr>
        <w:t>euro</w:t>
      </w:r>
      <w:r w:rsidRPr="003B1949">
        <w:rPr>
          <w:i/>
        </w:rPr>
        <w:t xml:space="preserve"> </w:t>
      </w:r>
      <w:r>
        <w:t xml:space="preserve">apmērā. </w:t>
      </w:r>
      <w:r w:rsidRPr="002D2BE5">
        <w:rPr>
          <w:shd w:val="clear" w:color="auto" w:fill="FFFFFF"/>
        </w:rPr>
        <w:t>2020. gadā</w:t>
      </w:r>
      <w:r w:rsidRPr="002D2BE5">
        <w:t xml:space="preserve"> turpināta reformas iniciatīvas īstenošana ar papildus</w:t>
      </w:r>
      <w:r>
        <w:t xml:space="preserve"> plānoto</w:t>
      </w:r>
      <w:r w:rsidRPr="002D2BE5">
        <w:t xml:space="preserve"> finansējumu</w:t>
      </w:r>
      <w:r w:rsidRPr="002D2BE5">
        <w:rPr>
          <w:shd w:val="clear" w:color="auto" w:fill="FFFFFF"/>
        </w:rPr>
        <w:t xml:space="preserve"> </w:t>
      </w:r>
      <w:r w:rsidRPr="003B1949">
        <w:rPr>
          <w:rFonts w:eastAsia="Times New Roman"/>
          <w:color w:val="000000"/>
          <w:lang w:eastAsia="lv-LV"/>
        </w:rPr>
        <w:t>47</w:t>
      </w:r>
      <w:r>
        <w:rPr>
          <w:rFonts w:eastAsia="Times New Roman"/>
          <w:color w:val="000000"/>
          <w:lang w:eastAsia="lv-LV"/>
        </w:rPr>
        <w:t> </w:t>
      </w:r>
      <w:r w:rsidRPr="003B1949">
        <w:rPr>
          <w:rFonts w:eastAsia="Times New Roman"/>
          <w:color w:val="000000"/>
          <w:lang w:eastAsia="lv-LV"/>
        </w:rPr>
        <w:t>556</w:t>
      </w:r>
      <w:r>
        <w:rPr>
          <w:rFonts w:eastAsia="Times New Roman"/>
          <w:color w:val="000000"/>
          <w:lang w:eastAsia="lv-LV"/>
        </w:rPr>
        <w:t xml:space="preserve"> </w:t>
      </w:r>
      <w:r w:rsidRPr="002D2BE5">
        <w:rPr>
          <w:rFonts w:eastAsia="Times New Roman"/>
          <w:i/>
          <w:color w:val="000000"/>
          <w:lang w:eastAsia="lv-LV"/>
        </w:rPr>
        <w:t xml:space="preserve"> euro</w:t>
      </w:r>
      <w:r w:rsidRPr="002D2BE5">
        <w:rPr>
          <w:rFonts w:eastAsia="Times New Roman"/>
          <w:color w:val="000000"/>
          <w:lang w:eastAsia="lv-LV"/>
        </w:rPr>
        <w:t xml:space="preserve"> apmērā</w:t>
      </w:r>
      <w:r>
        <w:rPr>
          <w:rFonts w:eastAsia="Times New Roman"/>
          <w:color w:val="000000"/>
          <w:lang w:eastAsia="lv-LV"/>
        </w:rPr>
        <w:t xml:space="preserve">. </w:t>
      </w:r>
    </w:p>
    <w:p w14:paraId="1EAB4CD8" w14:textId="77777777" w:rsidR="00EC52FF" w:rsidRDefault="00EC52FF" w:rsidP="00203DFE">
      <w:pPr>
        <w:spacing w:before="120" w:after="120"/>
        <w:ind w:firstLine="720"/>
        <w:jc w:val="both"/>
        <w:rPr>
          <w:rFonts w:eastAsia="Times New Roman"/>
          <w:b/>
          <w:i/>
          <w:lang w:eastAsia="lv-LV"/>
        </w:rPr>
      </w:pPr>
      <w:r w:rsidRPr="003F3C00">
        <w:rPr>
          <w:rFonts w:eastAsia="Times New Roman"/>
          <w:b/>
          <w:i/>
          <w:lang w:eastAsia="lv-LV"/>
        </w:rPr>
        <w:t>Ģimenes ārstu kvalitātes maksājumu sistēmas reforma</w:t>
      </w:r>
    </w:p>
    <w:p w14:paraId="2CAFB883" w14:textId="47CAE721" w:rsidR="00EC52FF" w:rsidRDefault="00EC52FF" w:rsidP="00203DFE">
      <w:pPr>
        <w:spacing w:before="120" w:after="120"/>
        <w:ind w:firstLine="720"/>
        <w:jc w:val="both"/>
      </w:pPr>
      <w:r>
        <w:t xml:space="preserve">2019. gadā </w:t>
      </w:r>
      <w:r w:rsidRPr="003F3C00">
        <w:rPr>
          <w:rFonts w:eastAsia="Times New Roman"/>
          <w:lang w:eastAsia="lv-LV"/>
        </w:rPr>
        <w:t xml:space="preserve">ģimenes ārstu kvalitātes maksājumu sistēmas reformai papildus tika piešķirti 1,6 milj. </w:t>
      </w:r>
      <w:r w:rsidRPr="00DF308E">
        <w:rPr>
          <w:rFonts w:eastAsia="Times New Roman"/>
          <w:i/>
          <w:lang w:eastAsia="lv-LV"/>
        </w:rPr>
        <w:t>euro</w:t>
      </w:r>
      <w:r w:rsidRPr="003F3C00">
        <w:rPr>
          <w:rFonts w:eastAsia="Times New Roman"/>
          <w:lang w:eastAsia="lv-LV"/>
        </w:rPr>
        <w:t>.</w:t>
      </w:r>
      <w:r>
        <w:t xml:space="preserve"> </w:t>
      </w:r>
      <w:r w:rsidR="003738E5">
        <w:t>VKo</w:t>
      </w:r>
      <w:r>
        <w:t xml:space="preserve"> savā starpziņojumā “</w:t>
      </w:r>
      <w:r w:rsidRPr="003F3C00">
        <w:t>Vai ambulatorā veselības aprūpes sistēma Latvijā ir pilnveidojama?</w:t>
      </w:r>
      <w:r>
        <w:t>” secinājusi, ka tomēr</w:t>
      </w:r>
      <w:r w:rsidRPr="00ED4283">
        <w:t xml:space="preserve"> </w:t>
      </w:r>
      <w:r>
        <w:t>“</w:t>
      </w:r>
      <w:r w:rsidRPr="00ED4283">
        <w:t>sistēma finansiāli nav pietiekami motivējoša ģimenes ārstiem, jo 2018.</w:t>
      </w:r>
      <w:r w:rsidR="00CC268C">
        <w:t xml:space="preserve"> </w:t>
      </w:r>
      <w:r w:rsidRPr="00ED4283">
        <w:t>gadā visus astoņus darbības novērtēšanas kritērijus izpildījuši vien 4% ģimenes ārstu, savukārt 60% ģimenes ārstu izpildījuši mazāk par pusi no visiem kritērijiem, tāpat vidēji valstī no astoņiem kvalitātes kritērijiem</w:t>
      </w:r>
      <w:r>
        <w:t xml:space="preserve"> sasniegti vien četri kritēriji.”</w:t>
      </w:r>
      <w:r>
        <w:rPr>
          <w:rStyle w:val="FootnoteReference"/>
        </w:rPr>
        <w:footnoteReference w:id="14"/>
      </w:r>
      <w:r>
        <w:t xml:space="preserve">, turklāt 2019. gadā faktiski apgūti 1,5 milj. </w:t>
      </w:r>
      <w:r w:rsidRPr="00DF308E">
        <w:rPr>
          <w:i/>
        </w:rPr>
        <w:t>euro</w:t>
      </w:r>
      <w:r>
        <w:t xml:space="preserve">, veidojot finansējuma neapguvi </w:t>
      </w:r>
      <w:r w:rsidRPr="00BB4568">
        <w:rPr>
          <w:b/>
        </w:rPr>
        <w:t xml:space="preserve">65 693 </w:t>
      </w:r>
      <w:r w:rsidRPr="00BB4568">
        <w:rPr>
          <w:b/>
          <w:i/>
        </w:rPr>
        <w:t>euro</w:t>
      </w:r>
      <w:r>
        <w:t xml:space="preserve"> apmērā.  </w:t>
      </w:r>
      <w:r w:rsidRPr="002D2BE5">
        <w:rPr>
          <w:shd w:val="clear" w:color="auto" w:fill="FFFFFF"/>
        </w:rPr>
        <w:t>2020. gadā</w:t>
      </w:r>
      <w:r>
        <w:t xml:space="preserve"> turpināta reformas iniciatīva – mērķa kritēriju iestrāde</w:t>
      </w:r>
      <w:r w:rsidRPr="00DF308E">
        <w:t xml:space="preserve"> ģimenes ārstu kapitācijas naudas maksājumā</w:t>
      </w:r>
      <w:r>
        <w:t xml:space="preserve"> – </w:t>
      </w:r>
      <w:r w:rsidRPr="00DF308E">
        <w:t xml:space="preserve"> </w:t>
      </w:r>
      <w:r w:rsidRPr="002D2BE5">
        <w:t>ar papildus</w:t>
      </w:r>
      <w:r>
        <w:t xml:space="preserve"> plānoto</w:t>
      </w:r>
      <w:r w:rsidRPr="002D2BE5">
        <w:t xml:space="preserve"> finansējumu</w:t>
      </w:r>
      <w:r w:rsidRPr="002D2BE5">
        <w:rPr>
          <w:shd w:val="clear" w:color="auto" w:fill="FFFFFF"/>
        </w:rPr>
        <w:t xml:space="preserve"> </w:t>
      </w:r>
      <w:r w:rsidRPr="00DF308E">
        <w:rPr>
          <w:shd w:val="clear" w:color="auto" w:fill="FFFFFF"/>
        </w:rPr>
        <w:t>3</w:t>
      </w:r>
      <w:r>
        <w:rPr>
          <w:shd w:val="clear" w:color="auto" w:fill="FFFFFF"/>
        </w:rPr>
        <w:t>,7 milj.</w:t>
      </w:r>
      <w:r w:rsidRPr="00DF308E">
        <w:rPr>
          <w:shd w:val="clear" w:color="auto" w:fill="FFFFFF"/>
        </w:rPr>
        <w:t xml:space="preserve"> </w:t>
      </w:r>
      <w:r w:rsidRPr="00DF308E">
        <w:rPr>
          <w:i/>
          <w:shd w:val="clear" w:color="auto" w:fill="FFFFFF"/>
        </w:rPr>
        <w:t xml:space="preserve">euro </w:t>
      </w:r>
      <w:r w:rsidRPr="002D2BE5">
        <w:rPr>
          <w:rFonts w:eastAsia="Times New Roman"/>
          <w:color w:val="000000"/>
          <w:lang w:eastAsia="lv-LV"/>
        </w:rPr>
        <w:t>apmērā</w:t>
      </w:r>
      <w:r>
        <w:rPr>
          <w:rFonts w:eastAsia="Times New Roman"/>
          <w:color w:val="000000"/>
          <w:lang w:eastAsia="lv-LV"/>
        </w:rPr>
        <w:t xml:space="preserve">. </w:t>
      </w:r>
      <w:r>
        <w:t xml:space="preserve">Ņemot vērā neapgūto finansējumu, nepieciešams izvērtēt piešķirtā finansējuma apmēru un reformas īstenošanas turpināšanu, vai tā sasniedz vēlamos rezultātus. </w:t>
      </w:r>
    </w:p>
    <w:p w14:paraId="6C463C59" w14:textId="77777777" w:rsidR="00EC52FF" w:rsidRPr="002B7E8A" w:rsidRDefault="00EC52FF" w:rsidP="00203DFE">
      <w:pPr>
        <w:spacing w:before="120" w:after="120"/>
        <w:ind w:firstLine="720"/>
        <w:jc w:val="both"/>
        <w:rPr>
          <w:rFonts w:eastAsia="Times New Roman"/>
          <w:b/>
          <w:i/>
          <w:color w:val="000000"/>
          <w:lang w:eastAsia="lv-LV"/>
        </w:rPr>
      </w:pPr>
      <w:r w:rsidRPr="0014317B">
        <w:rPr>
          <w:rFonts w:eastAsia="Times New Roman"/>
          <w:b/>
          <w:i/>
          <w:color w:val="000000"/>
          <w:lang w:eastAsia="lv-LV"/>
        </w:rPr>
        <w:t>Bērnu zobārstniecības tarifu pārskatīšana</w:t>
      </w:r>
    </w:p>
    <w:p w14:paraId="5D861C77" w14:textId="07EA0ADB" w:rsidR="00EC52FF" w:rsidRPr="008B5F3A" w:rsidRDefault="00EC52FF" w:rsidP="00203DFE">
      <w:pPr>
        <w:spacing w:after="120"/>
        <w:ind w:firstLine="720"/>
        <w:jc w:val="both"/>
      </w:pPr>
      <w:r>
        <w:t xml:space="preserve">2019. gadā tika paredzēts 7,5 milj. </w:t>
      </w:r>
      <w:r w:rsidRPr="00BB4568">
        <w:rPr>
          <w:i/>
        </w:rPr>
        <w:t>euro</w:t>
      </w:r>
      <w:r>
        <w:t xml:space="preserve"> </w:t>
      </w:r>
      <w:r w:rsidRPr="00C33B26">
        <w:t>m</w:t>
      </w:r>
      <w:r>
        <w:t>anipulācijām</w:t>
      </w:r>
      <w:r w:rsidRPr="00C33B26">
        <w:t xml:space="preserve"> ar palielināto zobārstniecības tarifu </w:t>
      </w:r>
      <w:r>
        <w:t>un manipulācijām,</w:t>
      </w:r>
      <w:r w:rsidRPr="00C33B26">
        <w:t xml:space="preserve"> </w:t>
      </w:r>
      <w:r>
        <w:t xml:space="preserve">kurās tika pielietots kompozīts, faktiski manipulācijas veicot par 7,4 milj. </w:t>
      </w:r>
      <w:r w:rsidRPr="00BB4568">
        <w:rPr>
          <w:i/>
        </w:rPr>
        <w:t>euro</w:t>
      </w:r>
      <w:r>
        <w:t xml:space="preserve">, veidojot neapgūto finansējumu </w:t>
      </w:r>
      <w:r w:rsidRPr="00BB4568">
        <w:rPr>
          <w:b/>
        </w:rPr>
        <w:t>52 526</w:t>
      </w:r>
      <w:r w:rsidRPr="00BB4568">
        <w:rPr>
          <w:b/>
          <w:i/>
        </w:rPr>
        <w:t xml:space="preserve"> euro</w:t>
      </w:r>
      <w:r>
        <w:t xml:space="preserve"> apmērā. </w:t>
      </w:r>
      <w:r w:rsidRPr="002D2BE5">
        <w:rPr>
          <w:shd w:val="clear" w:color="auto" w:fill="FFFFFF"/>
        </w:rPr>
        <w:t>2020. gadā</w:t>
      </w:r>
      <w:r w:rsidRPr="002D2BE5">
        <w:t xml:space="preserve"> turpināta reformas iniciatīvas īstenošana ar papildus</w:t>
      </w:r>
      <w:r>
        <w:t xml:space="preserve"> plānoto</w:t>
      </w:r>
      <w:r w:rsidRPr="002D2BE5">
        <w:t xml:space="preserve"> finansējumu</w:t>
      </w:r>
      <w:r w:rsidRPr="002D2BE5">
        <w:rPr>
          <w:shd w:val="clear" w:color="auto" w:fill="FFFFFF"/>
        </w:rPr>
        <w:t xml:space="preserve"> </w:t>
      </w:r>
      <w:r>
        <w:rPr>
          <w:rFonts w:eastAsia="Times New Roman"/>
          <w:color w:val="000000"/>
          <w:lang w:eastAsia="lv-LV"/>
        </w:rPr>
        <w:t xml:space="preserve">7,5 milj. </w:t>
      </w:r>
      <w:r w:rsidRPr="002D2BE5">
        <w:rPr>
          <w:rFonts w:eastAsia="Times New Roman"/>
          <w:i/>
          <w:color w:val="000000"/>
          <w:lang w:eastAsia="lv-LV"/>
        </w:rPr>
        <w:t>euro</w:t>
      </w:r>
      <w:r w:rsidRPr="002D2BE5">
        <w:rPr>
          <w:rFonts w:eastAsia="Times New Roman"/>
          <w:color w:val="000000"/>
          <w:lang w:eastAsia="lv-LV"/>
        </w:rPr>
        <w:t xml:space="preserve"> apmērā</w:t>
      </w:r>
      <w:r>
        <w:rPr>
          <w:rFonts w:eastAsia="Times New Roman"/>
          <w:color w:val="000000"/>
          <w:lang w:eastAsia="lv-LV"/>
        </w:rPr>
        <w:t xml:space="preserve">. FM </w:t>
      </w:r>
      <w:r>
        <w:rPr>
          <w:rFonts w:eastAsia="Times New Roman"/>
          <w:color w:val="000000"/>
          <w:lang w:eastAsia="lv-LV"/>
        </w:rPr>
        <w:lastRenderedPageBreak/>
        <w:t>norāda, ka NVD publiski pieejamā informācija par zobārstniecības pakalpojumu nodrošināšanu 2018. un 2019. gadā (</w:t>
      </w:r>
      <w:r w:rsidR="005505D0">
        <w:rPr>
          <w:rFonts w:eastAsia="Times New Roman"/>
          <w:color w:val="000000"/>
          <w:highlight w:val="yellow"/>
          <w:lang w:eastAsia="lv-LV"/>
        </w:rPr>
        <w:fldChar w:fldCharType="begin"/>
      </w:r>
      <w:r w:rsidR="005505D0">
        <w:rPr>
          <w:rFonts w:eastAsia="Times New Roman"/>
          <w:color w:val="000000"/>
          <w:lang w:eastAsia="lv-LV"/>
        </w:rPr>
        <w:instrText xml:space="preserve"> REF _Ref46307147 \h </w:instrText>
      </w:r>
      <w:r w:rsidR="005505D0">
        <w:rPr>
          <w:rFonts w:eastAsia="Times New Roman"/>
          <w:color w:val="000000"/>
          <w:highlight w:val="yellow"/>
          <w:lang w:eastAsia="lv-LV"/>
        </w:rPr>
      </w:r>
      <w:r w:rsidR="005505D0">
        <w:rPr>
          <w:rFonts w:eastAsia="Times New Roman"/>
          <w:color w:val="000000"/>
          <w:highlight w:val="yellow"/>
          <w:lang w:eastAsia="lv-LV"/>
        </w:rPr>
        <w:fldChar w:fldCharType="separate"/>
      </w:r>
      <w:r w:rsidR="00D96F20">
        <w:t xml:space="preserve">Tabula Nr. </w:t>
      </w:r>
      <w:r w:rsidR="00D96F20">
        <w:rPr>
          <w:noProof/>
        </w:rPr>
        <w:t>7</w:t>
      </w:r>
      <w:r w:rsidR="005505D0">
        <w:rPr>
          <w:rFonts w:eastAsia="Times New Roman"/>
          <w:color w:val="000000"/>
          <w:highlight w:val="yellow"/>
          <w:lang w:eastAsia="lv-LV"/>
        </w:rPr>
        <w:fldChar w:fldCharType="end"/>
      </w:r>
      <w:r w:rsidR="005505D0">
        <w:rPr>
          <w:rFonts w:eastAsia="Times New Roman"/>
          <w:color w:val="000000"/>
          <w:lang w:eastAsia="lv-LV"/>
        </w:rPr>
        <w:t xml:space="preserve">) </w:t>
      </w:r>
      <w:r>
        <w:rPr>
          <w:rFonts w:eastAsia="Times New Roman"/>
          <w:color w:val="000000"/>
          <w:lang w:eastAsia="lv-LV"/>
        </w:rPr>
        <w:t xml:space="preserve">liecina, ka </w:t>
      </w:r>
      <w:r>
        <w:t xml:space="preserve">piešķirto finansējumu 2019. gadā zobārstniecības nav spējušas apgūt un līguma neizpilde ir </w:t>
      </w:r>
      <w:r w:rsidRPr="00985AA0">
        <w:t xml:space="preserve">1,1 milj. </w:t>
      </w:r>
      <w:r w:rsidRPr="00985AA0">
        <w:rPr>
          <w:i/>
        </w:rPr>
        <w:t>euro</w:t>
      </w:r>
      <w:r w:rsidRPr="006716F7">
        <w:rPr>
          <w:i/>
        </w:rPr>
        <w:t xml:space="preserve"> </w:t>
      </w:r>
      <w:r>
        <w:t xml:space="preserve">apmērā. </w:t>
      </w:r>
    </w:p>
    <w:p w14:paraId="7CFEDE10" w14:textId="62BB9D4D" w:rsidR="005505D0" w:rsidRDefault="005505D0" w:rsidP="005505D0">
      <w:pPr>
        <w:pStyle w:val="Caption"/>
      </w:pPr>
      <w:bookmarkStart w:id="90" w:name="_Ref46307147"/>
      <w:r>
        <w:t xml:space="preserve">Tabula Nr. </w:t>
      </w:r>
      <w:fldSimple w:instr=" SEQ Tabula_Nr. \* ARABIC ">
        <w:r w:rsidR="00D96F20">
          <w:rPr>
            <w:noProof/>
          </w:rPr>
          <w:t>7</w:t>
        </w:r>
      </w:fldSimple>
      <w:bookmarkEnd w:id="90"/>
    </w:p>
    <w:p w14:paraId="589A0E09" w14:textId="77777777" w:rsidR="00EC52FF" w:rsidRPr="006716F7" w:rsidRDefault="00EC52FF" w:rsidP="00EC52FF">
      <w:pPr>
        <w:spacing w:line="240" w:lineRule="auto"/>
        <w:jc w:val="center"/>
        <w:rPr>
          <w:rFonts w:eastAsia="Times New Roman"/>
          <w:b/>
          <w:bCs/>
          <w:color w:val="000000"/>
          <w:lang w:eastAsia="lv-LV"/>
        </w:rPr>
      </w:pPr>
      <w:r>
        <w:rPr>
          <w:rFonts w:eastAsia="Times New Roman"/>
          <w:b/>
          <w:bCs/>
          <w:color w:val="000000"/>
          <w:lang w:eastAsia="lv-LV"/>
        </w:rPr>
        <w:t>Zobārstniecības pakalpojumu nodrošinājums 2018. un 2019.gadā</w:t>
      </w:r>
      <w:r w:rsidRPr="00E47FBB">
        <w:rPr>
          <w:rFonts w:eastAsia="Times New Roman"/>
          <w:b/>
          <w:bCs/>
          <w:color w:val="000000"/>
          <w:lang w:eastAsia="lv-LV"/>
        </w:rPr>
        <w:t xml:space="preserve"> </w:t>
      </w:r>
    </w:p>
    <w:tbl>
      <w:tblPr>
        <w:tblW w:w="9066" w:type="dxa"/>
        <w:tblInd w:w="-5" w:type="dxa"/>
        <w:tblLayout w:type="fixed"/>
        <w:tblLook w:val="04A0" w:firstRow="1" w:lastRow="0" w:firstColumn="1" w:lastColumn="0" w:noHBand="0" w:noVBand="1"/>
      </w:tblPr>
      <w:tblGrid>
        <w:gridCol w:w="671"/>
        <w:gridCol w:w="1314"/>
        <w:gridCol w:w="1276"/>
        <w:gridCol w:w="1275"/>
        <w:gridCol w:w="993"/>
        <w:gridCol w:w="1275"/>
        <w:gridCol w:w="1418"/>
        <w:gridCol w:w="844"/>
      </w:tblGrid>
      <w:tr w:rsidR="00EC52FF" w:rsidRPr="002B7E8A" w14:paraId="76B23E9E" w14:textId="77777777" w:rsidTr="009317E4">
        <w:trPr>
          <w:trHeight w:val="225"/>
        </w:trPr>
        <w:tc>
          <w:tcPr>
            <w:tcW w:w="671"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91963C9" w14:textId="77777777" w:rsidR="00EC52FF" w:rsidRPr="009317E4" w:rsidRDefault="00EC52FF" w:rsidP="00EC52FF">
            <w:pPr>
              <w:spacing w:after="0" w:line="240" w:lineRule="auto"/>
              <w:jc w:val="center"/>
              <w:rPr>
                <w:rFonts w:eastAsia="Times New Roman"/>
                <w:b/>
                <w:color w:val="000000"/>
                <w:sz w:val="18"/>
                <w:szCs w:val="16"/>
                <w:lang w:eastAsia="lv-LV"/>
              </w:rPr>
            </w:pPr>
            <w:r w:rsidRPr="009317E4">
              <w:rPr>
                <w:rFonts w:eastAsia="Times New Roman"/>
                <w:b/>
                <w:color w:val="000000"/>
                <w:sz w:val="18"/>
                <w:szCs w:val="16"/>
                <w:lang w:eastAsia="lv-LV"/>
              </w:rPr>
              <w:t>Gads</w:t>
            </w:r>
          </w:p>
        </w:tc>
        <w:tc>
          <w:tcPr>
            <w:tcW w:w="6133" w:type="dxa"/>
            <w:gridSpan w:val="5"/>
            <w:tcBorders>
              <w:top w:val="single" w:sz="4" w:space="0" w:color="000000"/>
              <w:left w:val="nil"/>
              <w:bottom w:val="single" w:sz="4" w:space="0" w:color="000000"/>
              <w:right w:val="single" w:sz="4" w:space="0" w:color="000000"/>
            </w:tcBorders>
            <w:shd w:val="clear" w:color="000000" w:fill="FFFFFF"/>
            <w:vAlign w:val="center"/>
            <w:hideMark/>
          </w:tcPr>
          <w:p w14:paraId="4E15DACE" w14:textId="77777777" w:rsidR="00EC52FF" w:rsidRPr="009317E4" w:rsidRDefault="00EC52FF" w:rsidP="00EC52FF">
            <w:pPr>
              <w:spacing w:after="0" w:line="240" w:lineRule="auto"/>
              <w:jc w:val="center"/>
              <w:rPr>
                <w:rFonts w:eastAsia="Times New Roman"/>
                <w:b/>
                <w:bCs/>
                <w:color w:val="000000"/>
                <w:sz w:val="18"/>
                <w:szCs w:val="16"/>
                <w:lang w:eastAsia="lv-LV"/>
              </w:rPr>
            </w:pPr>
            <w:r w:rsidRPr="009317E4">
              <w:rPr>
                <w:rFonts w:eastAsia="Times New Roman"/>
                <w:b/>
                <w:bCs/>
                <w:color w:val="000000"/>
                <w:sz w:val="18"/>
                <w:szCs w:val="16"/>
                <w:lang w:eastAsia="lv-LV"/>
              </w:rPr>
              <w:t>Līguma summa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777E0EF" w14:textId="77777777" w:rsidR="00EC52FF" w:rsidRPr="009317E4" w:rsidRDefault="00EC52FF" w:rsidP="00EC52FF">
            <w:pPr>
              <w:spacing w:after="0" w:line="240" w:lineRule="auto"/>
              <w:jc w:val="center"/>
              <w:rPr>
                <w:rFonts w:eastAsia="Times New Roman"/>
                <w:b/>
                <w:bCs/>
                <w:color w:val="000000"/>
                <w:sz w:val="18"/>
                <w:szCs w:val="16"/>
                <w:lang w:eastAsia="lv-LV"/>
              </w:rPr>
            </w:pPr>
            <w:r w:rsidRPr="009317E4">
              <w:rPr>
                <w:rFonts w:eastAsia="Times New Roman"/>
                <w:b/>
                <w:bCs/>
                <w:color w:val="000000"/>
                <w:sz w:val="18"/>
                <w:szCs w:val="16"/>
                <w:lang w:eastAsia="lv-LV"/>
              </w:rPr>
              <w:t>Faktiskais apmeklējumu skaits pārskata periodā</w:t>
            </w:r>
          </w:p>
        </w:tc>
        <w:tc>
          <w:tcPr>
            <w:tcW w:w="84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CFD1156" w14:textId="77777777" w:rsidR="009317E4" w:rsidRPr="009317E4" w:rsidRDefault="00EC52FF" w:rsidP="00EC52FF">
            <w:pPr>
              <w:spacing w:after="0" w:line="240" w:lineRule="auto"/>
              <w:jc w:val="center"/>
              <w:rPr>
                <w:rFonts w:eastAsia="Times New Roman"/>
                <w:b/>
                <w:iCs/>
                <w:color w:val="000000"/>
                <w:sz w:val="18"/>
                <w:szCs w:val="16"/>
                <w:lang w:eastAsia="lv-LV"/>
              </w:rPr>
            </w:pPr>
            <w:r w:rsidRPr="009317E4">
              <w:rPr>
                <w:rFonts w:eastAsia="Times New Roman"/>
                <w:b/>
                <w:iCs/>
                <w:color w:val="000000"/>
                <w:sz w:val="18"/>
                <w:szCs w:val="16"/>
                <w:lang w:eastAsia="lv-LV"/>
              </w:rPr>
              <w:t>t.sk.</w:t>
            </w:r>
          </w:p>
          <w:p w14:paraId="638EC1EB" w14:textId="77777777" w:rsidR="00EC52FF" w:rsidRPr="009317E4" w:rsidRDefault="00EC52FF" w:rsidP="00EC52FF">
            <w:pPr>
              <w:spacing w:after="0" w:line="240" w:lineRule="auto"/>
              <w:jc w:val="center"/>
              <w:rPr>
                <w:rFonts w:eastAsia="Times New Roman"/>
                <w:b/>
                <w:iCs/>
                <w:color w:val="000000"/>
                <w:sz w:val="18"/>
                <w:szCs w:val="16"/>
                <w:lang w:eastAsia="lv-LV"/>
              </w:rPr>
            </w:pPr>
            <w:r w:rsidRPr="009317E4">
              <w:rPr>
                <w:rFonts w:eastAsia="Times New Roman"/>
                <w:b/>
                <w:iCs/>
                <w:color w:val="000000"/>
                <w:sz w:val="18"/>
                <w:szCs w:val="16"/>
                <w:lang w:eastAsia="lv-LV"/>
              </w:rPr>
              <w:t>mobilā zobārstniecības kabinetā</w:t>
            </w:r>
          </w:p>
        </w:tc>
      </w:tr>
      <w:tr w:rsidR="009317E4" w:rsidRPr="002B7E8A" w14:paraId="11788E16" w14:textId="77777777" w:rsidTr="009317E4">
        <w:trPr>
          <w:trHeight w:val="229"/>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14:paraId="2F1922F8" w14:textId="77777777" w:rsidR="00EC52FF" w:rsidRPr="009317E4" w:rsidRDefault="00EC52FF" w:rsidP="00EC52FF">
            <w:pPr>
              <w:spacing w:after="0" w:line="240" w:lineRule="auto"/>
              <w:rPr>
                <w:rFonts w:eastAsia="Times New Roman"/>
                <w:color w:val="000000"/>
                <w:sz w:val="18"/>
                <w:szCs w:val="16"/>
                <w:lang w:eastAsia="lv-LV"/>
              </w:rPr>
            </w:pPr>
          </w:p>
        </w:tc>
        <w:tc>
          <w:tcPr>
            <w:tcW w:w="1314" w:type="dxa"/>
            <w:tcBorders>
              <w:top w:val="nil"/>
              <w:left w:val="nil"/>
              <w:bottom w:val="single" w:sz="4" w:space="0" w:color="000000"/>
              <w:right w:val="single" w:sz="4" w:space="0" w:color="000000"/>
            </w:tcBorders>
            <w:shd w:val="clear" w:color="000000" w:fill="FFFFFF"/>
            <w:vAlign w:val="center"/>
            <w:hideMark/>
          </w:tcPr>
          <w:p w14:paraId="725F4966" w14:textId="77777777" w:rsidR="00EC52FF" w:rsidRPr="009317E4" w:rsidRDefault="00EC52FF" w:rsidP="00EC52FF">
            <w:pPr>
              <w:spacing w:after="0" w:line="240" w:lineRule="auto"/>
              <w:jc w:val="center"/>
              <w:rPr>
                <w:rFonts w:eastAsia="Times New Roman"/>
                <w:b/>
                <w:bCs/>
                <w:color w:val="000000"/>
                <w:sz w:val="18"/>
                <w:szCs w:val="16"/>
                <w:lang w:eastAsia="lv-LV"/>
              </w:rPr>
            </w:pPr>
            <w:r w:rsidRPr="009317E4">
              <w:rPr>
                <w:rFonts w:eastAsia="Times New Roman"/>
                <w:b/>
                <w:bCs/>
                <w:color w:val="000000"/>
                <w:sz w:val="18"/>
                <w:szCs w:val="16"/>
                <w:lang w:eastAsia="lv-LV"/>
              </w:rPr>
              <w:t>Līguma summa gadam</w:t>
            </w:r>
          </w:p>
        </w:tc>
        <w:tc>
          <w:tcPr>
            <w:tcW w:w="1276" w:type="dxa"/>
            <w:tcBorders>
              <w:top w:val="nil"/>
              <w:left w:val="nil"/>
              <w:bottom w:val="single" w:sz="4" w:space="0" w:color="000000"/>
              <w:right w:val="single" w:sz="4" w:space="0" w:color="000000"/>
            </w:tcBorders>
            <w:shd w:val="clear" w:color="000000" w:fill="FFFFFF"/>
            <w:vAlign w:val="center"/>
            <w:hideMark/>
          </w:tcPr>
          <w:p w14:paraId="4C8FCEEE" w14:textId="77777777" w:rsidR="00EC52FF" w:rsidRPr="009317E4" w:rsidRDefault="00EC52FF" w:rsidP="00EC52FF">
            <w:pPr>
              <w:spacing w:after="0" w:line="240" w:lineRule="auto"/>
              <w:jc w:val="center"/>
              <w:rPr>
                <w:rFonts w:eastAsia="Times New Roman"/>
                <w:b/>
                <w:bCs/>
                <w:color w:val="000000"/>
                <w:sz w:val="18"/>
                <w:szCs w:val="16"/>
                <w:lang w:eastAsia="lv-LV"/>
              </w:rPr>
            </w:pPr>
            <w:r w:rsidRPr="009317E4">
              <w:rPr>
                <w:rFonts w:eastAsia="Times New Roman"/>
                <w:b/>
                <w:bCs/>
                <w:color w:val="000000"/>
                <w:sz w:val="18"/>
                <w:szCs w:val="16"/>
                <w:lang w:eastAsia="lv-LV"/>
              </w:rPr>
              <w:t>Veiktais darbs</w:t>
            </w:r>
          </w:p>
        </w:tc>
        <w:tc>
          <w:tcPr>
            <w:tcW w:w="1275" w:type="dxa"/>
            <w:tcBorders>
              <w:top w:val="nil"/>
              <w:left w:val="nil"/>
              <w:bottom w:val="single" w:sz="4" w:space="0" w:color="000000"/>
              <w:right w:val="single" w:sz="4" w:space="0" w:color="000000"/>
            </w:tcBorders>
            <w:shd w:val="clear" w:color="000000" w:fill="FFFFFF"/>
            <w:vAlign w:val="center"/>
            <w:hideMark/>
          </w:tcPr>
          <w:p w14:paraId="44026A7C" w14:textId="77777777" w:rsidR="00EC52FF" w:rsidRPr="009317E4" w:rsidRDefault="00EC52FF" w:rsidP="00EC52FF">
            <w:pPr>
              <w:spacing w:after="0" w:line="240" w:lineRule="auto"/>
              <w:jc w:val="center"/>
              <w:rPr>
                <w:rFonts w:eastAsia="Times New Roman"/>
                <w:b/>
                <w:bCs/>
                <w:color w:val="000000"/>
                <w:sz w:val="18"/>
                <w:szCs w:val="16"/>
                <w:lang w:eastAsia="lv-LV"/>
              </w:rPr>
            </w:pPr>
            <w:r w:rsidRPr="009317E4">
              <w:rPr>
                <w:rFonts w:eastAsia="Times New Roman"/>
                <w:b/>
                <w:bCs/>
                <w:color w:val="000000"/>
                <w:sz w:val="18"/>
                <w:szCs w:val="16"/>
                <w:lang w:eastAsia="lv-LV"/>
              </w:rPr>
              <w:t>Veiktais darbs līguma ietvaros</w:t>
            </w:r>
          </w:p>
        </w:tc>
        <w:tc>
          <w:tcPr>
            <w:tcW w:w="993" w:type="dxa"/>
            <w:tcBorders>
              <w:top w:val="nil"/>
              <w:left w:val="nil"/>
              <w:bottom w:val="single" w:sz="4" w:space="0" w:color="000000"/>
              <w:right w:val="single" w:sz="4" w:space="0" w:color="000000"/>
            </w:tcBorders>
            <w:shd w:val="clear" w:color="000000" w:fill="FFFFFF"/>
            <w:vAlign w:val="center"/>
            <w:hideMark/>
          </w:tcPr>
          <w:p w14:paraId="2BBBF1B6" w14:textId="77777777" w:rsidR="00EC52FF" w:rsidRPr="009317E4" w:rsidRDefault="00EC52FF" w:rsidP="00EC52FF">
            <w:pPr>
              <w:spacing w:after="0" w:line="240" w:lineRule="auto"/>
              <w:jc w:val="center"/>
              <w:rPr>
                <w:rFonts w:eastAsia="Times New Roman"/>
                <w:b/>
                <w:bCs/>
                <w:color w:val="000000"/>
                <w:sz w:val="18"/>
                <w:szCs w:val="16"/>
                <w:lang w:eastAsia="lv-LV"/>
              </w:rPr>
            </w:pPr>
            <w:r w:rsidRPr="009317E4">
              <w:rPr>
                <w:rFonts w:eastAsia="Times New Roman"/>
                <w:b/>
                <w:bCs/>
                <w:color w:val="000000"/>
                <w:sz w:val="18"/>
                <w:szCs w:val="16"/>
                <w:lang w:eastAsia="lv-LV"/>
              </w:rPr>
              <w:t>Pārstrāde virs līguma summas</w:t>
            </w:r>
          </w:p>
        </w:tc>
        <w:tc>
          <w:tcPr>
            <w:tcW w:w="1275" w:type="dxa"/>
            <w:tcBorders>
              <w:top w:val="nil"/>
              <w:left w:val="nil"/>
              <w:bottom w:val="single" w:sz="4" w:space="0" w:color="000000"/>
              <w:right w:val="single" w:sz="4" w:space="0" w:color="000000"/>
            </w:tcBorders>
            <w:shd w:val="clear" w:color="000000" w:fill="FFFFFF"/>
            <w:vAlign w:val="center"/>
            <w:hideMark/>
          </w:tcPr>
          <w:p w14:paraId="6434A4B6" w14:textId="77777777" w:rsidR="00EC52FF" w:rsidRPr="009317E4" w:rsidRDefault="00EC52FF" w:rsidP="00EC52FF">
            <w:pPr>
              <w:spacing w:after="0" w:line="240" w:lineRule="auto"/>
              <w:jc w:val="center"/>
              <w:rPr>
                <w:rFonts w:eastAsia="Times New Roman"/>
                <w:b/>
                <w:bCs/>
                <w:color w:val="000000"/>
                <w:sz w:val="18"/>
                <w:szCs w:val="16"/>
                <w:lang w:eastAsia="lv-LV"/>
              </w:rPr>
            </w:pPr>
            <w:r w:rsidRPr="009317E4">
              <w:rPr>
                <w:rFonts w:eastAsia="Times New Roman"/>
                <w:b/>
                <w:bCs/>
                <w:color w:val="000000"/>
                <w:sz w:val="18"/>
                <w:szCs w:val="16"/>
                <w:lang w:eastAsia="lv-LV"/>
              </w:rPr>
              <w:t>Līguma neizpilde</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529FD2E7" w14:textId="77777777" w:rsidR="00EC52FF" w:rsidRPr="009317E4" w:rsidRDefault="00EC52FF" w:rsidP="00EC52FF">
            <w:pPr>
              <w:spacing w:after="0" w:line="240" w:lineRule="auto"/>
              <w:rPr>
                <w:rFonts w:eastAsia="Times New Roman"/>
                <w:bCs/>
                <w:color w:val="000000"/>
                <w:sz w:val="18"/>
                <w:szCs w:val="16"/>
                <w:lang w:eastAsia="lv-LV"/>
              </w:rPr>
            </w:pPr>
          </w:p>
        </w:tc>
        <w:tc>
          <w:tcPr>
            <w:tcW w:w="844" w:type="dxa"/>
            <w:vMerge/>
            <w:tcBorders>
              <w:top w:val="single" w:sz="4" w:space="0" w:color="000000"/>
              <w:left w:val="single" w:sz="4" w:space="0" w:color="000000"/>
              <w:bottom w:val="single" w:sz="4" w:space="0" w:color="000000"/>
              <w:right w:val="single" w:sz="4" w:space="0" w:color="000000"/>
            </w:tcBorders>
            <w:vAlign w:val="center"/>
            <w:hideMark/>
          </w:tcPr>
          <w:p w14:paraId="586ABA43" w14:textId="77777777" w:rsidR="00EC52FF" w:rsidRPr="009317E4" w:rsidRDefault="00EC52FF" w:rsidP="00EC52FF">
            <w:pPr>
              <w:spacing w:after="0" w:line="240" w:lineRule="auto"/>
              <w:rPr>
                <w:rFonts w:eastAsia="Times New Roman"/>
                <w:iCs/>
                <w:color w:val="000000"/>
                <w:sz w:val="18"/>
                <w:szCs w:val="16"/>
                <w:lang w:eastAsia="lv-LV"/>
              </w:rPr>
            </w:pPr>
          </w:p>
        </w:tc>
      </w:tr>
      <w:tr w:rsidR="009317E4" w:rsidRPr="002B7E8A" w14:paraId="2E803F12" w14:textId="77777777" w:rsidTr="009317E4">
        <w:trPr>
          <w:trHeight w:val="53"/>
        </w:trPr>
        <w:tc>
          <w:tcPr>
            <w:tcW w:w="671" w:type="dxa"/>
            <w:tcBorders>
              <w:top w:val="nil"/>
              <w:left w:val="single" w:sz="4" w:space="0" w:color="000000"/>
              <w:bottom w:val="single" w:sz="4" w:space="0" w:color="000000"/>
              <w:right w:val="single" w:sz="4" w:space="0" w:color="000000"/>
            </w:tcBorders>
            <w:shd w:val="clear" w:color="000000" w:fill="FFFFFF"/>
            <w:noWrap/>
            <w:vAlign w:val="bottom"/>
            <w:hideMark/>
          </w:tcPr>
          <w:p w14:paraId="58EF8B20" w14:textId="77777777" w:rsidR="00EC52FF" w:rsidRPr="009317E4" w:rsidRDefault="00EC52FF" w:rsidP="00EC52FF">
            <w:pPr>
              <w:spacing w:after="0" w:line="240" w:lineRule="auto"/>
              <w:rPr>
                <w:rFonts w:eastAsia="Times New Roman"/>
                <w:color w:val="000000"/>
                <w:sz w:val="18"/>
                <w:szCs w:val="16"/>
                <w:lang w:eastAsia="lv-LV"/>
              </w:rPr>
            </w:pPr>
            <w:r w:rsidRPr="009317E4">
              <w:rPr>
                <w:rFonts w:eastAsia="Times New Roman"/>
                <w:color w:val="000000"/>
                <w:sz w:val="18"/>
                <w:szCs w:val="16"/>
                <w:lang w:eastAsia="lv-LV"/>
              </w:rPr>
              <w:t>2018. gads</w:t>
            </w:r>
          </w:p>
        </w:tc>
        <w:tc>
          <w:tcPr>
            <w:tcW w:w="1314" w:type="dxa"/>
            <w:tcBorders>
              <w:top w:val="nil"/>
              <w:left w:val="nil"/>
              <w:bottom w:val="single" w:sz="4" w:space="0" w:color="000000"/>
              <w:right w:val="single" w:sz="4" w:space="0" w:color="000000"/>
            </w:tcBorders>
            <w:shd w:val="clear" w:color="000000" w:fill="FFFFFF"/>
            <w:noWrap/>
            <w:vAlign w:val="bottom"/>
            <w:hideMark/>
          </w:tcPr>
          <w:p w14:paraId="78B9401C" w14:textId="77777777" w:rsidR="00EC52FF" w:rsidRPr="009317E4" w:rsidRDefault="00EC52FF" w:rsidP="00EC52FF">
            <w:pPr>
              <w:spacing w:after="0" w:line="240" w:lineRule="auto"/>
              <w:jc w:val="right"/>
              <w:rPr>
                <w:rFonts w:eastAsia="Times New Roman"/>
                <w:color w:val="000000"/>
                <w:sz w:val="18"/>
                <w:szCs w:val="16"/>
                <w:lang w:eastAsia="lv-LV"/>
              </w:rPr>
            </w:pPr>
            <w:r w:rsidRPr="009317E4">
              <w:rPr>
                <w:rFonts w:eastAsia="Times New Roman"/>
                <w:bCs/>
                <w:color w:val="000000"/>
                <w:sz w:val="18"/>
                <w:szCs w:val="16"/>
                <w:lang w:eastAsia="lv-LV"/>
              </w:rPr>
              <w:t>13 793 453,77</w:t>
            </w:r>
          </w:p>
        </w:tc>
        <w:tc>
          <w:tcPr>
            <w:tcW w:w="1276" w:type="dxa"/>
            <w:tcBorders>
              <w:top w:val="nil"/>
              <w:left w:val="nil"/>
              <w:bottom w:val="single" w:sz="4" w:space="0" w:color="000000"/>
              <w:right w:val="single" w:sz="4" w:space="0" w:color="000000"/>
            </w:tcBorders>
            <w:shd w:val="clear" w:color="000000" w:fill="FFFFFF"/>
            <w:noWrap/>
            <w:vAlign w:val="bottom"/>
            <w:hideMark/>
          </w:tcPr>
          <w:p w14:paraId="75DD6B2E" w14:textId="77777777" w:rsidR="00EC52FF" w:rsidRPr="009317E4" w:rsidRDefault="00EC52FF" w:rsidP="00EC52FF">
            <w:pPr>
              <w:spacing w:after="0" w:line="240" w:lineRule="auto"/>
              <w:jc w:val="right"/>
              <w:rPr>
                <w:rFonts w:eastAsia="Times New Roman"/>
                <w:color w:val="000000"/>
                <w:sz w:val="18"/>
                <w:szCs w:val="16"/>
                <w:lang w:eastAsia="lv-LV"/>
              </w:rPr>
            </w:pPr>
            <w:r w:rsidRPr="009317E4">
              <w:rPr>
                <w:rFonts w:eastAsia="Times New Roman"/>
                <w:bCs/>
                <w:color w:val="000000"/>
                <w:sz w:val="18"/>
                <w:szCs w:val="16"/>
                <w:lang w:eastAsia="lv-LV"/>
              </w:rPr>
              <w:t>13 531 644,82</w:t>
            </w:r>
          </w:p>
        </w:tc>
        <w:tc>
          <w:tcPr>
            <w:tcW w:w="1275" w:type="dxa"/>
            <w:tcBorders>
              <w:top w:val="nil"/>
              <w:left w:val="nil"/>
              <w:bottom w:val="single" w:sz="4" w:space="0" w:color="000000"/>
              <w:right w:val="single" w:sz="4" w:space="0" w:color="000000"/>
            </w:tcBorders>
            <w:shd w:val="clear" w:color="000000" w:fill="FFFFFF"/>
            <w:noWrap/>
            <w:vAlign w:val="bottom"/>
            <w:hideMark/>
          </w:tcPr>
          <w:p w14:paraId="4A65AB09" w14:textId="77777777" w:rsidR="00EC52FF" w:rsidRPr="009317E4" w:rsidRDefault="00EC52FF" w:rsidP="00EC52FF">
            <w:pPr>
              <w:spacing w:after="0" w:line="240" w:lineRule="auto"/>
              <w:jc w:val="right"/>
              <w:rPr>
                <w:rFonts w:eastAsia="Times New Roman"/>
                <w:color w:val="000000"/>
                <w:sz w:val="18"/>
                <w:szCs w:val="16"/>
                <w:lang w:eastAsia="lv-LV"/>
              </w:rPr>
            </w:pPr>
            <w:r w:rsidRPr="009317E4">
              <w:rPr>
                <w:rFonts w:eastAsia="Times New Roman"/>
                <w:bCs/>
                <w:color w:val="000000"/>
                <w:sz w:val="18"/>
                <w:szCs w:val="16"/>
                <w:lang w:eastAsia="lv-LV"/>
              </w:rPr>
              <w:t>13 468 909,61</w:t>
            </w:r>
          </w:p>
        </w:tc>
        <w:tc>
          <w:tcPr>
            <w:tcW w:w="993" w:type="dxa"/>
            <w:tcBorders>
              <w:top w:val="nil"/>
              <w:left w:val="nil"/>
              <w:bottom w:val="single" w:sz="4" w:space="0" w:color="000000"/>
              <w:right w:val="single" w:sz="4" w:space="0" w:color="000000"/>
            </w:tcBorders>
            <w:shd w:val="clear" w:color="000000" w:fill="FFFFFF"/>
            <w:noWrap/>
            <w:vAlign w:val="bottom"/>
            <w:hideMark/>
          </w:tcPr>
          <w:p w14:paraId="395F64B1" w14:textId="77777777" w:rsidR="00EC52FF" w:rsidRPr="009317E4" w:rsidRDefault="00EC52FF" w:rsidP="00EC52FF">
            <w:pPr>
              <w:spacing w:after="0" w:line="240" w:lineRule="auto"/>
              <w:jc w:val="right"/>
              <w:rPr>
                <w:rFonts w:eastAsia="Times New Roman"/>
                <w:color w:val="000000"/>
                <w:sz w:val="18"/>
                <w:szCs w:val="16"/>
                <w:lang w:eastAsia="lv-LV"/>
              </w:rPr>
            </w:pPr>
            <w:r w:rsidRPr="009317E4">
              <w:rPr>
                <w:rFonts w:eastAsia="Times New Roman"/>
                <w:bCs/>
                <w:color w:val="000000"/>
                <w:sz w:val="18"/>
                <w:szCs w:val="16"/>
                <w:lang w:eastAsia="lv-LV"/>
              </w:rPr>
              <w:t>62 603,41</w:t>
            </w:r>
          </w:p>
        </w:tc>
        <w:tc>
          <w:tcPr>
            <w:tcW w:w="1275" w:type="dxa"/>
            <w:tcBorders>
              <w:top w:val="nil"/>
              <w:left w:val="nil"/>
              <w:bottom w:val="single" w:sz="4" w:space="0" w:color="000000"/>
              <w:right w:val="single" w:sz="4" w:space="0" w:color="000000"/>
            </w:tcBorders>
            <w:shd w:val="clear" w:color="000000" w:fill="FFFFFF"/>
            <w:noWrap/>
            <w:vAlign w:val="bottom"/>
            <w:hideMark/>
          </w:tcPr>
          <w:p w14:paraId="1BA6ADC6" w14:textId="77777777" w:rsidR="00EC52FF" w:rsidRPr="009317E4" w:rsidRDefault="00EC52FF" w:rsidP="00EC52FF">
            <w:pPr>
              <w:spacing w:after="0" w:line="240" w:lineRule="auto"/>
              <w:jc w:val="right"/>
              <w:rPr>
                <w:rFonts w:eastAsia="Times New Roman"/>
                <w:color w:val="000000"/>
                <w:sz w:val="18"/>
                <w:szCs w:val="16"/>
                <w:lang w:eastAsia="lv-LV"/>
              </w:rPr>
            </w:pPr>
            <w:r w:rsidRPr="009317E4">
              <w:rPr>
                <w:rFonts w:eastAsia="Times New Roman"/>
                <w:bCs/>
                <w:color w:val="000000"/>
                <w:sz w:val="18"/>
                <w:szCs w:val="16"/>
                <w:lang w:eastAsia="lv-LV"/>
              </w:rPr>
              <w:t>324 412,36</w:t>
            </w:r>
          </w:p>
        </w:tc>
        <w:tc>
          <w:tcPr>
            <w:tcW w:w="1418" w:type="dxa"/>
            <w:tcBorders>
              <w:top w:val="nil"/>
              <w:left w:val="nil"/>
              <w:bottom w:val="single" w:sz="4" w:space="0" w:color="000000"/>
              <w:right w:val="single" w:sz="4" w:space="0" w:color="000000"/>
            </w:tcBorders>
            <w:shd w:val="clear" w:color="000000" w:fill="FFFFFF"/>
            <w:noWrap/>
            <w:vAlign w:val="bottom"/>
            <w:hideMark/>
          </w:tcPr>
          <w:p w14:paraId="646545BE" w14:textId="77777777" w:rsidR="00EC52FF" w:rsidRPr="009317E4" w:rsidRDefault="00EC52FF" w:rsidP="00EC52FF">
            <w:pPr>
              <w:spacing w:after="0" w:line="240" w:lineRule="auto"/>
              <w:jc w:val="right"/>
              <w:rPr>
                <w:rFonts w:eastAsia="Times New Roman"/>
                <w:color w:val="000000"/>
                <w:sz w:val="18"/>
                <w:szCs w:val="16"/>
                <w:lang w:eastAsia="lv-LV"/>
              </w:rPr>
            </w:pPr>
            <w:r w:rsidRPr="009317E4">
              <w:rPr>
                <w:rFonts w:eastAsia="Times New Roman"/>
                <w:bCs/>
                <w:color w:val="000000"/>
                <w:sz w:val="18"/>
                <w:szCs w:val="16"/>
                <w:lang w:eastAsia="lv-LV"/>
              </w:rPr>
              <w:t>477 791</w:t>
            </w:r>
          </w:p>
        </w:tc>
        <w:tc>
          <w:tcPr>
            <w:tcW w:w="844" w:type="dxa"/>
            <w:tcBorders>
              <w:top w:val="nil"/>
              <w:left w:val="nil"/>
              <w:bottom w:val="single" w:sz="4" w:space="0" w:color="000000"/>
              <w:right w:val="single" w:sz="4" w:space="0" w:color="000000"/>
            </w:tcBorders>
            <w:shd w:val="clear" w:color="000000" w:fill="FFFFFF"/>
            <w:noWrap/>
            <w:vAlign w:val="bottom"/>
            <w:hideMark/>
          </w:tcPr>
          <w:p w14:paraId="1C316870" w14:textId="77777777" w:rsidR="00EC52FF" w:rsidRPr="009317E4" w:rsidRDefault="00EC52FF" w:rsidP="00EC52FF">
            <w:pPr>
              <w:spacing w:after="0" w:line="240" w:lineRule="auto"/>
              <w:jc w:val="right"/>
              <w:rPr>
                <w:rFonts w:eastAsia="Times New Roman"/>
                <w:color w:val="000000"/>
                <w:sz w:val="18"/>
                <w:szCs w:val="16"/>
                <w:lang w:eastAsia="lv-LV"/>
              </w:rPr>
            </w:pPr>
            <w:r w:rsidRPr="009317E4">
              <w:rPr>
                <w:rFonts w:eastAsia="Times New Roman"/>
                <w:bCs/>
                <w:iCs/>
                <w:color w:val="000000"/>
                <w:sz w:val="18"/>
                <w:szCs w:val="16"/>
                <w:lang w:eastAsia="lv-LV"/>
              </w:rPr>
              <w:t>3 980</w:t>
            </w:r>
          </w:p>
        </w:tc>
      </w:tr>
      <w:tr w:rsidR="009317E4" w:rsidRPr="002B7E8A" w14:paraId="72BCDD42" w14:textId="77777777" w:rsidTr="009317E4">
        <w:trPr>
          <w:trHeight w:val="53"/>
        </w:trPr>
        <w:tc>
          <w:tcPr>
            <w:tcW w:w="671" w:type="dxa"/>
            <w:tcBorders>
              <w:top w:val="nil"/>
              <w:left w:val="single" w:sz="4" w:space="0" w:color="000000"/>
              <w:bottom w:val="single" w:sz="4" w:space="0" w:color="000000"/>
              <w:right w:val="single" w:sz="4" w:space="0" w:color="000000"/>
            </w:tcBorders>
            <w:shd w:val="clear" w:color="000000" w:fill="FFFFFF"/>
            <w:noWrap/>
            <w:vAlign w:val="bottom"/>
            <w:hideMark/>
          </w:tcPr>
          <w:p w14:paraId="090059BA" w14:textId="77777777" w:rsidR="00EC52FF" w:rsidRPr="009317E4" w:rsidRDefault="00EC52FF" w:rsidP="00EC52FF">
            <w:pPr>
              <w:spacing w:after="0" w:line="240" w:lineRule="auto"/>
              <w:rPr>
                <w:rFonts w:eastAsia="Times New Roman"/>
                <w:bCs/>
                <w:color w:val="000000"/>
                <w:sz w:val="18"/>
                <w:szCs w:val="16"/>
                <w:lang w:eastAsia="lv-LV"/>
              </w:rPr>
            </w:pPr>
            <w:r w:rsidRPr="009317E4">
              <w:rPr>
                <w:rFonts w:eastAsia="Times New Roman"/>
                <w:bCs/>
                <w:color w:val="000000"/>
                <w:sz w:val="18"/>
                <w:szCs w:val="16"/>
                <w:lang w:eastAsia="lv-LV"/>
              </w:rPr>
              <w:t>2019. gads</w:t>
            </w:r>
          </w:p>
        </w:tc>
        <w:tc>
          <w:tcPr>
            <w:tcW w:w="1314" w:type="dxa"/>
            <w:tcBorders>
              <w:top w:val="nil"/>
              <w:left w:val="nil"/>
              <w:bottom w:val="single" w:sz="4" w:space="0" w:color="000000"/>
              <w:right w:val="single" w:sz="4" w:space="0" w:color="000000"/>
            </w:tcBorders>
            <w:shd w:val="clear" w:color="000000" w:fill="FFFFFF"/>
            <w:noWrap/>
            <w:vAlign w:val="bottom"/>
            <w:hideMark/>
          </w:tcPr>
          <w:p w14:paraId="6D7EF348" w14:textId="77777777" w:rsidR="00EC52FF" w:rsidRPr="009317E4" w:rsidRDefault="00EC52FF" w:rsidP="00EC52FF">
            <w:pPr>
              <w:spacing w:after="0" w:line="240" w:lineRule="auto"/>
              <w:jc w:val="right"/>
              <w:rPr>
                <w:rFonts w:eastAsia="Times New Roman"/>
                <w:bCs/>
                <w:color w:val="000000"/>
                <w:sz w:val="18"/>
                <w:szCs w:val="16"/>
                <w:lang w:eastAsia="lv-LV"/>
              </w:rPr>
            </w:pPr>
            <w:r w:rsidRPr="009317E4">
              <w:rPr>
                <w:rFonts w:eastAsia="Times New Roman"/>
                <w:bCs/>
                <w:color w:val="000000"/>
                <w:sz w:val="18"/>
                <w:szCs w:val="16"/>
                <w:lang w:eastAsia="lv-LV"/>
              </w:rPr>
              <w:t>17 630 479,00</w:t>
            </w:r>
          </w:p>
        </w:tc>
        <w:tc>
          <w:tcPr>
            <w:tcW w:w="1276" w:type="dxa"/>
            <w:tcBorders>
              <w:top w:val="nil"/>
              <w:left w:val="nil"/>
              <w:bottom w:val="single" w:sz="4" w:space="0" w:color="000000"/>
              <w:right w:val="single" w:sz="4" w:space="0" w:color="000000"/>
            </w:tcBorders>
            <w:shd w:val="clear" w:color="000000" w:fill="FFFFFF"/>
            <w:noWrap/>
            <w:vAlign w:val="bottom"/>
            <w:hideMark/>
          </w:tcPr>
          <w:p w14:paraId="3A4812A2" w14:textId="77777777" w:rsidR="00EC52FF" w:rsidRPr="009317E4" w:rsidRDefault="00EC52FF" w:rsidP="00EC52FF">
            <w:pPr>
              <w:spacing w:after="0" w:line="240" w:lineRule="auto"/>
              <w:jc w:val="right"/>
              <w:rPr>
                <w:rFonts w:eastAsia="Times New Roman"/>
                <w:bCs/>
                <w:color w:val="000000"/>
                <w:sz w:val="18"/>
                <w:szCs w:val="16"/>
                <w:lang w:eastAsia="lv-LV"/>
              </w:rPr>
            </w:pPr>
            <w:r w:rsidRPr="009317E4">
              <w:rPr>
                <w:rFonts w:eastAsia="Times New Roman"/>
                <w:bCs/>
                <w:color w:val="000000"/>
                <w:sz w:val="18"/>
                <w:szCs w:val="16"/>
                <w:lang w:eastAsia="lv-LV"/>
              </w:rPr>
              <w:t>16 485 528,62</w:t>
            </w:r>
          </w:p>
        </w:tc>
        <w:tc>
          <w:tcPr>
            <w:tcW w:w="1275" w:type="dxa"/>
            <w:tcBorders>
              <w:top w:val="nil"/>
              <w:left w:val="nil"/>
              <w:bottom w:val="single" w:sz="4" w:space="0" w:color="000000"/>
              <w:right w:val="single" w:sz="4" w:space="0" w:color="000000"/>
            </w:tcBorders>
            <w:shd w:val="clear" w:color="000000" w:fill="FFFFFF"/>
            <w:noWrap/>
            <w:vAlign w:val="bottom"/>
            <w:hideMark/>
          </w:tcPr>
          <w:p w14:paraId="79FFA5E4" w14:textId="77777777" w:rsidR="00EC52FF" w:rsidRPr="009317E4" w:rsidRDefault="00EC52FF" w:rsidP="00EC52FF">
            <w:pPr>
              <w:spacing w:after="0" w:line="240" w:lineRule="auto"/>
              <w:jc w:val="right"/>
              <w:rPr>
                <w:rFonts w:eastAsia="Times New Roman"/>
                <w:bCs/>
                <w:color w:val="000000"/>
                <w:sz w:val="18"/>
                <w:szCs w:val="16"/>
                <w:lang w:eastAsia="lv-LV"/>
              </w:rPr>
            </w:pPr>
            <w:r w:rsidRPr="009317E4">
              <w:rPr>
                <w:rFonts w:eastAsia="Times New Roman"/>
                <w:bCs/>
                <w:color w:val="000000"/>
                <w:sz w:val="18"/>
                <w:szCs w:val="16"/>
                <w:lang w:eastAsia="lv-LV"/>
              </w:rPr>
              <w:t>16 481 910,15</w:t>
            </w:r>
          </w:p>
        </w:tc>
        <w:tc>
          <w:tcPr>
            <w:tcW w:w="993" w:type="dxa"/>
            <w:tcBorders>
              <w:top w:val="nil"/>
              <w:left w:val="nil"/>
              <w:bottom w:val="single" w:sz="4" w:space="0" w:color="000000"/>
              <w:right w:val="single" w:sz="4" w:space="0" w:color="000000"/>
            </w:tcBorders>
            <w:shd w:val="clear" w:color="000000" w:fill="FFFFFF"/>
            <w:noWrap/>
            <w:vAlign w:val="bottom"/>
            <w:hideMark/>
          </w:tcPr>
          <w:p w14:paraId="5F8C223F" w14:textId="77777777" w:rsidR="00EC52FF" w:rsidRPr="009317E4" w:rsidRDefault="00EC52FF" w:rsidP="00EC52FF">
            <w:pPr>
              <w:spacing w:after="0" w:line="240" w:lineRule="auto"/>
              <w:jc w:val="right"/>
              <w:rPr>
                <w:rFonts w:eastAsia="Times New Roman"/>
                <w:bCs/>
                <w:color w:val="000000"/>
                <w:sz w:val="18"/>
                <w:szCs w:val="16"/>
                <w:lang w:eastAsia="lv-LV"/>
              </w:rPr>
            </w:pPr>
            <w:r w:rsidRPr="009317E4">
              <w:rPr>
                <w:rFonts w:eastAsia="Times New Roman"/>
                <w:bCs/>
                <w:color w:val="000000"/>
                <w:sz w:val="18"/>
                <w:szCs w:val="16"/>
                <w:lang w:eastAsia="lv-LV"/>
              </w:rPr>
              <w:t>3 618,47</w:t>
            </w:r>
          </w:p>
        </w:tc>
        <w:tc>
          <w:tcPr>
            <w:tcW w:w="1275" w:type="dxa"/>
            <w:tcBorders>
              <w:top w:val="nil"/>
              <w:left w:val="nil"/>
              <w:bottom w:val="single" w:sz="4" w:space="0" w:color="000000"/>
              <w:right w:val="single" w:sz="4" w:space="0" w:color="000000"/>
            </w:tcBorders>
            <w:shd w:val="clear" w:color="000000" w:fill="FFFFFF"/>
            <w:noWrap/>
            <w:vAlign w:val="bottom"/>
            <w:hideMark/>
          </w:tcPr>
          <w:p w14:paraId="1E0AC5FF" w14:textId="77777777" w:rsidR="00EC52FF" w:rsidRPr="009317E4" w:rsidRDefault="00EC52FF" w:rsidP="00EC52FF">
            <w:pPr>
              <w:spacing w:after="0" w:line="240" w:lineRule="auto"/>
              <w:jc w:val="right"/>
              <w:rPr>
                <w:rFonts w:eastAsia="Times New Roman"/>
                <w:bCs/>
                <w:color w:val="000000"/>
                <w:sz w:val="18"/>
                <w:szCs w:val="16"/>
                <w:lang w:eastAsia="lv-LV"/>
              </w:rPr>
            </w:pPr>
            <w:r w:rsidRPr="009317E4">
              <w:rPr>
                <w:rFonts w:eastAsia="Times New Roman"/>
                <w:bCs/>
                <w:color w:val="000000"/>
                <w:sz w:val="18"/>
                <w:szCs w:val="16"/>
                <w:lang w:eastAsia="lv-LV"/>
              </w:rPr>
              <w:t>-1 148 568,85</w:t>
            </w:r>
          </w:p>
        </w:tc>
        <w:tc>
          <w:tcPr>
            <w:tcW w:w="1418" w:type="dxa"/>
            <w:tcBorders>
              <w:top w:val="nil"/>
              <w:left w:val="nil"/>
              <w:bottom w:val="single" w:sz="4" w:space="0" w:color="000000"/>
              <w:right w:val="single" w:sz="4" w:space="0" w:color="000000"/>
            </w:tcBorders>
            <w:shd w:val="clear" w:color="000000" w:fill="FFFFFF"/>
            <w:noWrap/>
            <w:vAlign w:val="bottom"/>
            <w:hideMark/>
          </w:tcPr>
          <w:p w14:paraId="1E5A8BD3" w14:textId="77777777" w:rsidR="00EC52FF" w:rsidRPr="009317E4" w:rsidRDefault="00EC52FF" w:rsidP="00EC52FF">
            <w:pPr>
              <w:spacing w:after="0" w:line="240" w:lineRule="auto"/>
              <w:jc w:val="right"/>
              <w:rPr>
                <w:rFonts w:eastAsia="Times New Roman"/>
                <w:bCs/>
                <w:color w:val="000000"/>
                <w:sz w:val="18"/>
                <w:szCs w:val="16"/>
                <w:lang w:eastAsia="lv-LV"/>
              </w:rPr>
            </w:pPr>
            <w:r w:rsidRPr="009317E4">
              <w:rPr>
                <w:rFonts w:eastAsia="Times New Roman"/>
                <w:bCs/>
                <w:color w:val="000000"/>
                <w:sz w:val="18"/>
                <w:szCs w:val="16"/>
                <w:lang w:eastAsia="lv-LV"/>
              </w:rPr>
              <w:t>506 265</w:t>
            </w:r>
          </w:p>
        </w:tc>
        <w:tc>
          <w:tcPr>
            <w:tcW w:w="844" w:type="dxa"/>
            <w:tcBorders>
              <w:top w:val="nil"/>
              <w:left w:val="nil"/>
              <w:bottom w:val="single" w:sz="4" w:space="0" w:color="000000"/>
              <w:right w:val="single" w:sz="4" w:space="0" w:color="000000"/>
            </w:tcBorders>
            <w:shd w:val="clear" w:color="000000" w:fill="FFFFFF"/>
            <w:noWrap/>
            <w:vAlign w:val="bottom"/>
            <w:hideMark/>
          </w:tcPr>
          <w:p w14:paraId="12B2DC5F" w14:textId="77777777" w:rsidR="00EC52FF" w:rsidRPr="009317E4" w:rsidRDefault="00EC52FF" w:rsidP="00EC52FF">
            <w:pPr>
              <w:spacing w:after="0" w:line="240" w:lineRule="auto"/>
              <w:jc w:val="right"/>
              <w:rPr>
                <w:rFonts w:eastAsia="Times New Roman"/>
                <w:bCs/>
                <w:iCs/>
                <w:color w:val="000000"/>
                <w:sz w:val="18"/>
                <w:szCs w:val="16"/>
                <w:lang w:eastAsia="lv-LV"/>
              </w:rPr>
            </w:pPr>
            <w:r w:rsidRPr="009317E4">
              <w:rPr>
                <w:rFonts w:eastAsia="Times New Roman"/>
                <w:bCs/>
                <w:iCs/>
                <w:color w:val="000000"/>
                <w:sz w:val="18"/>
                <w:szCs w:val="16"/>
                <w:lang w:eastAsia="lv-LV"/>
              </w:rPr>
              <w:t>5 567</w:t>
            </w:r>
          </w:p>
        </w:tc>
      </w:tr>
    </w:tbl>
    <w:p w14:paraId="52812862" w14:textId="77777777" w:rsidR="00EC52FF" w:rsidRPr="008B5F3A" w:rsidRDefault="00EC52FF" w:rsidP="005505D0">
      <w:pPr>
        <w:spacing w:before="120" w:after="120" w:line="254" w:lineRule="auto"/>
        <w:ind w:firstLine="720"/>
        <w:jc w:val="both"/>
        <w:rPr>
          <w:b/>
          <w:i/>
        </w:rPr>
      </w:pPr>
      <w:r>
        <w:rPr>
          <w:b/>
          <w:i/>
        </w:rPr>
        <w:t xml:space="preserve">Jaundzimušo skrīninga nodrošināšana </w:t>
      </w:r>
    </w:p>
    <w:p w14:paraId="3FF717BC" w14:textId="77777777" w:rsidR="00EC52FF" w:rsidRDefault="00EC52FF" w:rsidP="005505D0">
      <w:pPr>
        <w:spacing w:before="120" w:after="120" w:line="254" w:lineRule="auto"/>
        <w:ind w:firstLine="720"/>
        <w:jc w:val="both"/>
        <w:rPr>
          <w:rFonts w:eastAsia="Times New Roman"/>
          <w:color w:val="000000"/>
          <w:lang w:eastAsia="lv-LV"/>
        </w:rPr>
      </w:pPr>
      <w:r>
        <w:t xml:space="preserve">No 2019. gada 1.jūlija tika piešķirti 418 091 </w:t>
      </w:r>
      <w:r w:rsidRPr="001A30DC">
        <w:rPr>
          <w:i/>
        </w:rPr>
        <w:t>euro</w:t>
      </w:r>
      <w:r>
        <w:t xml:space="preserve"> </w:t>
      </w:r>
      <w:r w:rsidRPr="001A30DC">
        <w:t>jaundzimušo ģenē</w:t>
      </w:r>
      <w:r>
        <w:t>tiski iedzimto slimību skrīninga</w:t>
      </w:r>
      <w:r w:rsidRPr="001A30DC">
        <w:t xml:space="preserve"> ar jauniem izmeklējumiem agrīnai ārstē</w:t>
      </w:r>
      <w:r>
        <w:t>jamu patoloģiju diagnosticēšanas</w:t>
      </w:r>
      <w:r w:rsidRPr="001A30DC">
        <w:t xml:space="preserve"> </w:t>
      </w:r>
      <w:r>
        <w:t xml:space="preserve">paplašināšanai, faktiski apgūstot 316 800 </w:t>
      </w:r>
      <w:r w:rsidRPr="001A30DC">
        <w:rPr>
          <w:i/>
        </w:rPr>
        <w:t>euro</w:t>
      </w:r>
      <w:r>
        <w:t xml:space="preserve"> no kopējā finansējuma, tādējādi veidojot finansējuma neapguvi </w:t>
      </w:r>
      <w:r w:rsidRPr="00985AA0">
        <w:rPr>
          <w:b/>
        </w:rPr>
        <w:t xml:space="preserve">101 291 </w:t>
      </w:r>
      <w:r w:rsidRPr="00985AA0">
        <w:rPr>
          <w:b/>
          <w:i/>
        </w:rPr>
        <w:t>euro</w:t>
      </w:r>
      <w:r>
        <w:t xml:space="preserve"> apmērā. </w:t>
      </w:r>
      <w:r w:rsidRPr="002D2BE5">
        <w:rPr>
          <w:shd w:val="clear" w:color="auto" w:fill="FFFFFF"/>
        </w:rPr>
        <w:t>2020. gadā</w:t>
      </w:r>
      <w:r w:rsidRPr="002D2BE5">
        <w:t xml:space="preserve"> turpināta reformas iniciatīvas īstenošana ar papildus</w:t>
      </w:r>
      <w:r>
        <w:t xml:space="preserve"> plānoto</w:t>
      </w:r>
      <w:r w:rsidRPr="002D2BE5">
        <w:t xml:space="preserve"> finansējumu</w:t>
      </w:r>
      <w:r w:rsidRPr="002D2BE5">
        <w:rPr>
          <w:shd w:val="clear" w:color="auto" w:fill="FFFFFF"/>
        </w:rPr>
        <w:t xml:space="preserve"> </w:t>
      </w:r>
      <w:r>
        <w:rPr>
          <w:rFonts w:eastAsia="Times New Roman"/>
          <w:color w:val="000000"/>
          <w:lang w:eastAsia="lv-LV"/>
        </w:rPr>
        <w:t xml:space="preserve">470 360 </w:t>
      </w:r>
      <w:r w:rsidRPr="002D2BE5">
        <w:rPr>
          <w:rFonts w:eastAsia="Times New Roman"/>
          <w:i/>
          <w:color w:val="000000"/>
          <w:lang w:eastAsia="lv-LV"/>
        </w:rPr>
        <w:t>euro</w:t>
      </w:r>
      <w:r w:rsidRPr="002D2BE5">
        <w:rPr>
          <w:rFonts w:eastAsia="Times New Roman"/>
          <w:color w:val="000000"/>
          <w:lang w:eastAsia="lv-LV"/>
        </w:rPr>
        <w:t xml:space="preserve"> apmērā</w:t>
      </w:r>
      <w:r>
        <w:rPr>
          <w:rFonts w:eastAsia="Times New Roman"/>
          <w:color w:val="000000"/>
          <w:lang w:eastAsia="lv-LV"/>
        </w:rPr>
        <w:t>.</w:t>
      </w:r>
    </w:p>
    <w:p w14:paraId="055662DD" w14:textId="77777777" w:rsidR="00EC52FF" w:rsidRPr="001B497F" w:rsidRDefault="00EC52FF" w:rsidP="005505D0">
      <w:pPr>
        <w:spacing w:before="120" w:after="120" w:line="254" w:lineRule="auto"/>
        <w:ind w:firstLine="720"/>
        <w:jc w:val="both"/>
        <w:rPr>
          <w:rFonts w:eastAsia="Times New Roman"/>
          <w:b/>
          <w:i/>
          <w:color w:val="000000"/>
          <w:lang w:eastAsia="lv-LV"/>
        </w:rPr>
      </w:pPr>
      <w:r w:rsidRPr="001B497F">
        <w:rPr>
          <w:rFonts w:eastAsia="Times New Roman"/>
          <w:b/>
          <w:i/>
          <w:color w:val="000000"/>
          <w:lang w:eastAsia="lv-LV"/>
        </w:rPr>
        <w:t>Kardiovaskulārās saslimstības mazināšana un slimību ārstēšanas efektivitātes uzlabošana</w:t>
      </w:r>
    </w:p>
    <w:p w14:paraId="5E1B6A69" w14:textId="25E12281" w:rsidR="00EC52FF" w:rsidRPr="00B30CED" w:rsidRDefault="00EC52FF" w:rsidP="005505D0">
      <w:pPr>
        <w:spacing w:before="120" w:after="120" w:line="254" w:lineRule="auto"/>
        <w:ind w:firstLine="720"/>
        <w:jc w:val="both"/>
      </w:pPr>
      <w:r w:rsidRPr="006A4101">
        <w:rPr>
          <w:rFonts w:eastAsia="Times New Roman"/>
          <w:color w:val="000000"/>
          <w:lang w:eastAsia="lv-LV"/>
        </w:rPr>
        <w:t>Kardiovaskulārās saslimstības mazināšanas un slimību ārstēšanas efektivitātes uzlabošanas</w:t>
      </w:r>
      <w:r>
        <w:rPr>
          <w:rFonts w:eastAsia="Times New Roman"/>
          <w:b/>
          <w:i/>
          <w:color w:val="000000"/>
          <w:lang w:eastAsia="lv-LV"/>
        </w:rPr>
        <w:t xml:space="preserve"> </w:t>
      </w:r>
      <w:r>
        <w:t>pasākumu</w:t>
      </w:r>
      <w:r w:rsidRPr="00C33B26">
        <w:t xml:space="preserve"> īstenošanai 2019.</w:t>
      </w:r>
      <w:r w:rsidR="00CC268C">
        <w:t xml:space="preserve"> </w:t>
      </w:r>
      <w:r w:rsidRPr="00C33B26">
        <w:t xml:space="preserve">gadā nepieciešamais finansējums </w:t>
      </w:r>
      <w:r>
        <w:t xml:space="preserve">bija </w:t>
      </w:r>
      <w:r w:rsidRPr="00C33B26">
        <w:t xml:space="preserve">733 365 </w:t>
      </w:r>
      <w:r w:rsidRPr="00595AE9">
        <w:rPr>
          <w:i/>
          <w:iCs/>
        </w:rPr>
        <w:t>euro</w:t>
      </w:r>
      <w:r>
        <w:t xml:space="preserve">, no tiem faktiski apgūti </w:t>
      </w:r>
      <w:r w:rsidRPr="006A4101">
        <w:t>481</w:t>
      </w:r>
      <w:r>
        <w:t> </w:t>
      </w:r>
      <w:r w:rsidRPr="006A4101">
        <w:t>990</w:t>
      </w:r>
      <w:r>
        <w:t xml:space="preserve"> </w:t>
      </w:r>
      <w:r w:rsidRPr="006A4101">
        <w:rPr>
          <w:i/>
        </w:rPr>
        <w:t>euro</w:t>
      </w:r>
      <w:r>
        <w:t xml:space="preserve">, veidojot neapgūto finansējumu </w:t>
      </w:r>
      <w:r w:rsidRPr="006A4101">
        <w:rPr>
          <w:b/>
        </w:rPr>
        <w:t xml:space="preserve">251 375 </w:t>
      </w:r>
      <w:r w:rsidRPr="006A4101">
        <w:rPr>
          <w:b/>
          <w:i/>
        </w:rPr>
        <w:t>euro</w:t>
      </w:r>
      <w:r>
        <w:t xml:space="preserve"> apmērā.  Tāpat tika paredzēta angiogrāfa iegāde par 1,9 milj</w:t>
      </w:r>
      <w:r w:rsidR="009317E4">
        <w:t>.</w:t>
      </w:r>
      <w:r>
        <w:t xml:space="preserve"> </w:t>
      </w:r>
      <w:r w:rsidRPr="00FD5438">
        <w:rPr>
          <w:i/>
        </w:rPr>
        <w:t>euro</w:t>
      </w:r>
      <w:r>
        <w:t xml:space="preserve">, ierīces iegādes izmaksas bijušas par </w:t>
      </w:r>
      <w:r w:rsidRPr="00FD5438">
        <w:rPr>
          <w:b/>
        </w:rPr>
        <w:t xml:space="preserve">150 </w:t>
      </w:r>
      <w:r w:rsidRPr="00FD5438">
        <w:rPr>
          <w:b/>
          <w:i/>
        </w:rPr>
        <w:t>euro</w:t>
      </w:r>
      <w:r w:rsidRPr="00FD5438">
        <w:rPr>
          <w:i/>
        </w:rPr>
        <w:t xml:space="preserve"> </w:t>
      </w:r>
      <w:r>
        <w:t xml:space="preserve">mazākas. 2020. gadā sirds un asinsvadu slimību  </w:t>
      </w:r>
      <w:r w:rsidRPr="006A4101">
        <w:t xml:space="preserve">profilakses pasākumu turpināšanai </w:t>
      </w:r>
      <w:r>
        <w:t>paredzēti 1,6 milj. </w:t>
      </w:r>
      <w:r w:rsidRPr="00B30CED">
        <w:rPr>
          <w:i/>
        </w:rPr>
        <w:t>euro</w:t>
      </w:r>
      <w:r>
        <w:t xml:space="preserve">.  </w:t>
      </w:r>
    </w:p>
    <w:p w14:paraId="5CCE2BD7" w14:textId="77777777" w:rsidR="00EC52FF" w:rsidRPr="00AA114C" w:rsidRDefault="00EC52FF" w:rsidP="005505D0">
      <w:pPr>
        <w:spacing w:before="120" w:after="120" w:line="254" w:lineRule="auto"/>
        <w:ind w:firstLine="720"/>
        <w:jc w:val="both"/>
        <w:rPr>
          <w:rFonts w:eastAsia="Times New Roman"/>
          <w:b/>
          <w:i/>
          <w:color w:val="000000"/>
          <w:lang w:eastAsia="lv-LV"/>
        </w:rPr>
      </w:pPr>
      <w:r w:rsidRPr="00AA114C">
        <w:rPr>
          <w:rFonts w:eastAsia="Times New Roman"/>
          <w:b/>
          <w:i/>
          <w:color w:val="000000"/>
          <w:lang w:eastAsia="lv-LV"/>
        </w:rPr>
        <w:t>Uzņemšanas nodaļu nodrošināšana I līmeņa ārstniecības iestādēm un II līmeņa ārstniecības iestādei</w:t>
      </w:r>
    </w:p>
    <w:p w14:paraId="6C74ADF2" w14:textId="4EB1366B" w:rsidR="00EC52FF" w:rsidRPr="00845104" w:rsidRDefault="00EC52FF" w:rsidP="009C57E3">
      <w:pPr>
        <w:spacing w:line="254" w:lineRule="auto"/>
        <w:ind w:firstLine="720"/>
        <w:jc w:val="both"/>
      </w:pPr>
      <w:r w:rsidRPr="00436A12">
        <w:rPr>
          <w:rFonts w:eastAsia="Times New Roman"/>
          <w:color w:val="000000"/>
          <w:lang w:eastAsia="lv-LV"/>
        </w:rPr>
        <w:t xml:space="preserve">VM informatīvajā ziņojumā ir norādījusi, ka nepieciešamais finansējums uzņemšanas nodaļu nodrošināšanai no 2019. gada 1. aprīļa ir bijis 1 709 799 </w:t>
      </w:r>
      <w:r w:rsidRPr="00436A12">
        <w:rPr>
          <w:rFonts w:eastAsia="Times New Roman"/>
          <w:i/>
          <w:color w:val="000000"/>
          <w:lang w:eastAsia="lv-LV"/>
        </w:rPr>
        <w:t>euro</w:t>
      </w:r>
      <w:r w:rsidRPr="00436A12">
        <w:rPr>
          <w:rFonts w:eastAsia="Times New Roman"/>
          <w:color w:val="000000"/>
          <w:lang w:eastAsia="lv-LV"/>
        </w:rPr>
        <w:t xml:space="preserve">. Tomēr FM norāda, ka nav ņemta vērā </w:t>
      </w:r>
      <w:r w:rsidRPr="00436A12">
        <w:t>Ķirurģiskā profila stacionāro pakalpojumu SIA “Siguldas slimnīca” nodrošināšana (6.pielikuma 1.7.9.apakšpunkts)</w:t>
      </w:r>
      <w:r w:rsidRPr="00436A12">
        <w:rPr>
          <w:rStyle w:val="FootnoteReference"/>
        </w:rPr>
        <w:footnoteReference w:id="15"/>
      </w:r>
      <w:r w:rsidRPr="00436A12">
        <w:t xml:space="preserve"> nepieciešamais finansējums 714 363</w:t>
      </w:r>
      <w:r w:rsidRPr="00436A12">
        <w:rPr>
          <w:i/>
        </w:rPr>
        <w:t xml:space="preserve"> euro</w:t>
      </w:r>
      <w:r w:rsidRPr="00436A12">
        <w:t xml:space="preserve"> </w:t>
      </w:r>
      <w:r w:rsidRPr="005505D0">
        <w:t>apmērā</w:t>
      </w:r>
      <w:r w:rsidR="009C57E3">
        <w:t xml:space="preserve">. </w:t>
      </w:r>
      <w:r w:rsidRPr="005505D0">
        <w:t>Līdz</w:t>
      </w:r>
      <w:r w:rsidRPr="00436A12">
        <w:t xml:space="preserve"> ar to nepieciešamais finansējums no 2019. gada 1. aprīļa </w:t>
      </w:r>
      <w:r w:rsidRPr="00436A12">
        <w:rPr>
          <w:rFonts w:eastAsia="Times New Roman"/>
          <w:color w:val="000000"/>
          <w:lang w:eastAsia="lv-LV"/>
        </w:rPr>
        <w:t xml:space="preserve"> </w:t>
      </w:r>
      <w:r>
        <w:rPr>
          <w:rFonts w:eastAsia="Times New Roman"/>
          <w:color w:val="000000"/>
          <w:lang w:eastAsia="lv-LV"/>
        </w:rPr>
        <w:t>2 </w:t>
      </w:r>
      <w:r w:rsidRPr="00436A12">
        <w:rPr>
          <w:rFonts w:eastAsia="Times New Roman"/>
          <w:color w:val="000000"/>
          <w:lang w:eastAsia="lv-LV"/>
        </w:rPr>
        <w:t>424</w:t>
      </w:r>
      <w:r>
        <w:rPr>
          <w:rFonts w:eastAsia="Times New Roman"/>
          <w:color w:val="000000"/>
          <w:lang w:eastAsia="lv-LV"/>
        </w:rPr>
        <w:t> </w:t>
      </w:r>
      <w:r w:rsidRPr="00436A12">
        <w:rPr>
          <w:rFonts w:eastAsia="Times New Roman"/>
          <w:color w:val="000000"/>
          <w:lang w:eastAsia="lv-LV"/>
        </w:rPr>
        <w:t>162</w:t>
      </w:r>
      <w:r>
        <w:rPr>
          <w:rFonts w:eastAsia="Times New Roman"/>
          <w:color w:val="000000"/>
          <w:lang w:eastAsia="lv-LV"/>
        </w:rPr>
        <w:t> </w:t>
      </w:r>
      <w:r w:rsidRPr="00436A12">
        <w:rPr>
          <w:rFonts w:eastAsia="Times New Roman"/>
          <w:i/>
          <w:color w:val="000000"/>
          <w:lang w:eastAsia="lv-LV"/>
        </w:rPr>
        <w:t>euro</w:t>
      </w:r>
      <w:r w:rsidRPr="00436A12">
        <w:rPr>
          <w:rFonts w:eastAsia="Times New Roman"/>
          <w:color w:val="000000"/>
          <w:lang w:eastAsia="lv-LV"/>
        </w:rPr>
        <w:t xml:space="preserve">. Apgūtā finansējuma summa 2019. gada 1 709 799 </w:t>
      </w:r>
      <w:r w:rsidRPr="00436A12">
        <w:rPr>
          <w:rFonts w:eastAsia="Times New Roman"/>
          <w:i/>
          <w:color w:val="000000"/>
          <w:lang w:eastAsia="lv-LV"/>
        </w:rPr>
        <w:t>euro</w:t>
      </w:r>
      <w:r w:rsidRPr="00436A12">
        <w:rPr>
          <w:rFonts w:eastAsia="Times New Roman"/>
          <w:color w:val="000000"/>
          <w:lang w:eastAsia="lv-LV"/>
        </w:rPr>
        <w:t xml:space="preserve">, veidojot neapgūto finansējumu </w:t>
      </w:r>
      <w:r w:rsidRPr="00436A12">
        <w:rPr>
          <w:rFonts w:eastAsia="Times New Roman"/>
          <w:b/>
          <w:color w:val="000000"/>
          <w:lang w:eastAsia="lv-LV"/>
        </w:rPr>
        <w:t xml:space="preserve">714 363 </w:t>
      </w:r>
      <w:r w:rsidRPr="00436A12">
        <w:rPr>
          <w:rFonts w:eastAsia="Times New Roman"/>
          <w:b/>
          <w:i/>
          <w:color w:val="000000"/>
          <w:lang w:eastAsia="lv-LV"/>
        </w:rPr>
        <w:t>euro</w:t>
      </w:r>
      <w:r w:rsidRPr="00436A12">
        <w:rPr>
          <w:rFonts w:eastAsia="Times New Roman"/>
          <w:i/>
          <w:color w:val="000000"/>
          <w:lang w:eastAsia="lv-LV"/>
        </w:rPr>
        <w:t xml:space="preserve"> </w:t>
      </w:r>
      <w:r w:rsidRPr="00436A12">
        <w:rPr>
          <w:rFonts w:eastAsia="Times New Roman"/>
          <w:color w:val="000000"/>
          <w:lang w:eastAsia="lv-LV"/>
        </w:rPr>
        <w:t xml:space="preserve">apmērā. </w:t>
      </w:r>
      <w:r>
        <w:rPr>
          <w:rFonts w:eastAsia="Times New Roman"/>
          <w:color w:val="000000"/>
          <w:lang w:eastAsia="lv-LV"/>
        </w:rPr>
        <w:t xml:space="preserve">Reformas iniciatīva paredzēta arī 2020. gadā ar kopējo finansējumu 2 397 619 </w:t>
      </w:r>
      <w:r w:rsidRPr="00436A12">
        <w:rPr>
          <w:rFonts w:eastAsia="Times New Roman"/>
          <w:i/>
          <w:color w:val="000000"/>
          <w:lang w:eastAsia="lv-LV"/>
        </w:rPr>
        <w:t xml:space="preserve">euro </w:t>
      </w:r>
      <w:r>
        <w:rPr>
          <w:rFonts w:eastAsia="Times New Roman"/>
          <w:color w:val="000000"/>
          <w:lang w:eastAsia="lv-LV"/>
        </w:rPr>
        <w:t xml:space="preserve">apmērā. </w:t>
      </w:r>
    </w:p>
    <w:p w14:paraId="53420AC2" w14:textId="77777777" w:rsidR="00FE3A2C" w:rsidRDefault="00FE3A2C" w:rsidP="006A15ED">
      <w:pPr>
        <w:pStyle w:val="Caption"/>
        <w:jc w:val="left"/>
      </w:pPr>
      <w:bookmarkStart w:id="91" w:name="_Ref46307202"/>
    </w:p>
    <w:p w14:paraId="27A39968" w14:textId="77777777" w:rsidR="006A15ED" w:rsidRPr="006A15ED" w:rsidRDefault="006A15ED" w:rsidP="006A15ED"/>
    <w:p w14:paraId="4A40F7F5" w14:textId="42C5887B" w:rsidR="005505D0" w:rsidRDefault="005505D0" w:rsidP="005505D0">
      <w:pPr>
        <w:pStyle w:val="Caption"/>
      </w:pPr>
      <w:r>
        <w:lastRenderedPageBreak/>
        <w:t xml:space="preserve">Tabula Nr. </w:t>
      </w:r>
      <w:fldSimple w:instr=" SEQ Tabula_Nr. \* ARABIC ">
        <w:r w:rsidR="00D96F20">
          <w:rPr>
            <w:noProof/>
          </w:rPr>
          <w:t>8</w:t>
        </w:r>
      </w:fldSimple>
      <w:bookmarkEnd w:id="91"/>
    </w:p>
    <w:p w14:paraId="39754F4A" w14:textId="77777777" w:rsidR="00EC52FF" w:rsidRPr="00436A12" w:rsidRDefault="00EC52FF" w:rsidP="005505D0">
      <w:pPr>
        <w:spacing w:before="120" w:after="120" w:line="254" w:lineRule="auto"/>
        <w:ind w:firstLine="720"/>
        <w:jc w:val="center"/>
        <w:rPr>
          <w:b/>
          <w:bCs/>
        </w:rPr>
      </w:pPr>
      <w:r w:rsidRPr="00C33B26">
        <w:rPr>
          <w:b/>
        </w:rPr>
        <w:t xml:space="preserve">Uzņemšanas nodaļu nodrošināšana I līmeņa ārstniecības iestādēm un II līmeņa ārstniecības iestādei no </w:t>
      </w:r>
      <w:r w:rsidRPr="00C33B26">
        <w:rPr>
          <w:b/>
          <w:bCs/>
        </w:rPr>
        <w:t>2019.gada 1.aprīļa līdz 31.decembrim izpilde</w:t>
      </w:r>
    </w:p>
    <w:tbl>
      <w:tblPr>
        <w:tblW w:w="9209" w:type="dxa"/>
        <w:jc w:val="center"/>
        <w:tblLayout w:type="fixed"/>
        <w:tblLook w:val="04A0" w:firstRow="1" w:lastRow="0" w:firstColumn="1" w:lastColumn="0" w:noHBand="0" w:noVBand="1"/>
      </w:tblPr>
      <w:tblGrid>
        <w:gridCol w:w="3816"/>
        <w:gridCol w:w="1717"/>
        <w:gridCol w:w="1833"/>
        <w:gridCol w:w="1843"/>
      </w:tblGrid>
      <w:tr w:rsidR="00EC52FF" w:rsidRPr="00C33B26" w14:paraId="19D5D1AC" w14:textId="77777777" w:rsidTr="00585442">
        <w:trPr>
          <w:trHeight w:val="796"/>
          <w:tblHeader/>
          <w:jc w:val="center"/>
        </w:trPr>
        <w:tc>
          <w:tcPr>
            <w:tcW w:w="38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6FA931" w14:textId="77777777" w:rsidR="00EC52FF" w:rsidRPr="002B7E8A" w:rsidRDefault="00EC52FF" w:rsidP="00EC52FF">
            <w:pPr>
              <w:jc w:val="center"/>
              <w:rPr>
                <w:b/>
                <w:bCs/>
                <w:sz w:val="20"/>
                <w:szCs w:val="16"/>
              </w:rPr>
            </w:pPr>
            <w:r w:rsidRPr="002B7E8A">
              <w:rPr>
                <w:b/>
                <w:bCs/>
                <w:sz w:val="20"/>
                <w:szCs w:val="16"/>
              </w:rPr>
              <w:t>Pasākuma nosaukums</w:t>
            </w:r>
          </w:p>
        </w:tc>
        <w:tc>
          <w:tcPr>
            <w:tcW w:w="17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BA9871" w14:textId="77777777" w:rsidR="00EC52FF" w:rsidRPr="00585442" w:rsidRDefault="00EC52FF" w:rsidP="00EC52FF">
            <w:pPr>
              <w:jc w:val="center"/>
              <w:rPr>
                <w:b/>
                <w:bCs/>
                <w:sz w:val="20"/>
                <w:szCs w:val="20"/>
              </w:rPr>
            </w:pPr>
            <w:r w:rsidRPr="00585442">
              <w:rPr>
                <w:b/>
                <w:bCs/>
                <w:sz w:val="20"/>
                <w:szCs w:val="20"/>
              </w:rPr>
              <w:t xml:space="preserve">2019.gadam nepieciešamais finansējums </w:t>
            </w:r>
            <w:r w:rsidRPr="00585442">
              <w:rPr>
                <w:b/>
                <w:bCs/>
                <w:i/>
                <w:sz w:val="20"/>
                <w:szCs w:val="20"/>
              </w:rPr>
              <w:t>euro</w:t>
            </w:r>
          </w:p>
        </w:tc>
        <w:tc>
          <w:tcPr>
            <w:tcW w:w="183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76E025" w14:textId="77777777" w:rsidR="00EC52FF" w:rsidRPr="00585442" w:rsidRDefault="00EC52FF" w:rsidP="00EC52FF">
            <w:pPr>
              <w:jc w:val="center"/>
              <w:rPr>
                <w:b/>
                <w:bCs/>
                <w:sz w:val="20"/>
                <w:szCs w:val="20"/>
              </w:rPr>
            </w:pPr>
            <w:r w:rsidRPr="00585442">
              <w:rPr>
                <w:b/>
                <w:sz w:val="20"/>
                <w:szCs w:val="20"/>
              </w:rPr>
              <w:t xml:space="preserve">2019.gadam no 1.aprīļa nepieciešamais finansējums </w:t>
            </w:r>
            <w:r w:rsidRPr="00585442">
              <w:rPr>
                <w:b/>
                <w:i/>
                <w:iCs/>
                <w:sz w:val="20"/>
                <w:szCs w:val="20"/>
              </w:rPr>
              <w:t>euro</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281D505" w14:textId="77777777" w:rsidR="00EC52FF" w:rsidRPr="00585442" w:rsidRDefault="00EC52FF" w:rsidP="00EC52FF">
            <w:pPr>
              <w:jc w:val="center"/>
              <w:rPr>
                <w:b/>
                <w:i/>
                <w:sz w:val="20"/>
                <w:szCs w:val="20"/>
              </w:rPr>
            </w:pPr>
            <w:r w:rsidRPr="00585442">
              <w:rPr>
                <w:b/>
                <w:sz w:val="20"/>
                <w:szCs w:val="20"/>
              </w:rPr>
              <w:t xml:space="preserve">Finansējuma izlietojums no 2019.gada 1.aprīļa, </w:t>
            </w:r>
            <w:r w:rsidRPr="00585442">
              <w:rPr>
                <w:b/>
                <w:i/>
                <w:sz w:val="20"/>
                <w:szCs w:val="20"/>
              </w:rPr>
              <w:t>euro</w:t>
            </w:r>
          </w:p>
        </w:tc>
      </w:tr>
      <w:tr w:rsidR="00EC52FF" w:rsidRPr="00C33B26" w14:paraId="40376CB7" w14:textId="77777777" w:rsidTr="00585442">
        <w:trPr>
          <w:trHeight w:val="326"/>
          <w:jc w:val="center"/>
        </w:trPr>
        <w:tc>
          <w:tcPr>
            <w:tcW w:w="3816" w:type="dxa"/>
            <w:tcBorders>
              <w:top w:val="single" w:sz="4" w:space="0" w:color="auto"/>
              <w:left w:val="single" w:sz="4" w:space="0" w:color="auto"/>
              <w:bottom w:val="single" w:sz="4" w:space="0" w:color="auto"/>
              <w:right w:val="single" w:sz="4" w:space="0" w:color="000000" w:themeColor="text1"/>
            </w:tcBorders>
            <w:shd w:val="clear" w:color="auto" w:fill="FFFFFF" w:themeFill="background1"/>
            <w:hideMark/>
          </w:tcPr>
          <w:p w14:paraId="3AD97772" w14:textId="77777777" w:rsidR="00EC52FF" w:rsidRPr="00585442" w:rsidRDefault="00EC52FF" w:rsidP="00EC52FF">
            <w:pPr>
              <w:rPr>
                <w:bCs/>
                <w:sz w:val="20"/>
                <w:szCs w:val="20"/>
              </w:rPr>
            </w:pPr>
            <w:r w:rsidRPr="00585442">
              <w:rPr>
                <w:bCs/>
                <w:sz w:val="20"/>
                <w:szCs w:val="20"/>
              </w:rPr>
              <w:t>Neatliekamās palīdzības un plānveida stacionārās veselības aprūpes pakalpojumu pieejamības nodrošināšanai:</w:t>
            </w:r>
          </w:p>
        </w:tc>
        <w:tc>
          <w:tcPr>
            <w:tcW w:w="1717" w:type="dxa"/>
            <w:tcBorders>
              <w:top w:val="nil"/>
              <w:left w:val="nil"/>
              <w:bottom w:val="single" w:sz="4" w:space="0" w:color="auto"/>
              <w:right w:val="single" w:sz="4" w:space="0" w:color="auto"/>
            </w:tcBorders>
            <w:shd w:val="clear" w:color="auto" w:fill="FFFFFF" w:themeFill="background1"/>
            <w:vAlign w:val="center"/>
            <w:hideMark/>
          </w:tcPr>
          <w:p w14:paraId="43C82096" w14:textId="77777777" w:rsidR="00EC52FF" w:rsidRPr="00585442" w:rsidRDefault="00EC52FF" w:rsidP="00EC52FF">
            <w:pPr>
              <w:jc w:val="center"/>
              <w:rPr>
                <w:b/>
                <w:bCs/>
                <w:sz w:val="20"/>
                <w:szCs w:val="20"/>
              </w:rPr>
            </w:pPr>
            <w:r w:rsidRPr="00585442">
              <w:rPr>
                <w:b/>
                <w:bCs/>
                <w:sz w:val="20"/>
                <w:szCs w:val="20"/>
              </w:rPr>
              <w:t>2 832 576 (kopsumma ietver Siguldas slimnīcas maksājumu)</w:t>
            </w:r>
          </w:p>
        </w:tc>
        <w:tc>
          <w:tcPr>
            <w:tcW w:w="1833" w:type="dxa"/>
            <w:tcBorders>
              <w:top w:val="nil"/>
              <w:left w:val="nil"/>
              <w:bottom w:val="single" w:sz="4" w:space="0" w:color="auto"/>
              <w:right w:val="single" w:sz="4" w:space="0" w:color="auto"/>
            </w:tcBorders>
            <w:shd w:val="clear" w:color="auto" w:fill="FFFFFF" w:themeFill="background1"/>
            <w:vAlign w:val="center"/>
          </w:tcPr>
          <w:p w14:paraId="6F9701F7" w14:textId="77777777" w:rsidR="00EC52FF" w:rsidRPr="00585442" w:rsidRDefault="00EC52FF" w:rsidP="00EC52FF">
            <w:pPr>
              <w:jc w:val="center"/>
              <w:rPr>
                <w:b/>
                <w:bCs/>
                <w:sz w:val="20"/>
                <w:szCs w:val="20"/>
              </w:rPr>
            </w:pPr>
            <w:r w:rsidRPr="00585442">
              <w:rPr>
                <w:b/>
                <w:sz w:val="20"/>
                <w:szCs w:val="20"/>
              </w:rPr>
              <w:t>1 709 799 (kopsumma neietver Siguldas slimnīcas maksājumu)</w:t>
            </w:r>
          </w:p>
        </w:tc>
        <w:tc>
          <w:tcPr>
            <w:tcW w:w="1843" w:type="dxa"/>
            <w:tcBorders>
              <w:top w:val="nil"/>
              <w:left w:val="nil"/>
              <w:bottom w:val="single" w:sz="4" w:space="0" w:color="auto"/>
              <w:right w:val="single" w:sz="4" w:space="0" w:color="auto"/>
            </w:tcBorders>
            <w:shd w:val="clear" w:color="auto" w:fill="FFFFFF" w:themeFill="background1"/>
            <w:vAlign w:val="center"/>
          </w:tcPr>
          <w:p w14:paraId="0F335B04" w14:textId="77777777" w:rsidR="00EC52FF" w:rsidRPr="00585442" w:rsidRDefault="00EC52FF" w:rsidP="00EC52FF">
            <w:pPr>
              <w:jc w:val="center"/>
              <w:rPr>
                <w:b/>
                <w:sz w:val="20"/>
                <w:szCs w:val="20"/>
              </w:rPr>
            </w:pPr>
            <w:r w:rsidRPr="00585442">
              <w:rPr>
                <w:b/>
                <w:sz w:val="20"/>
                <w:szCs w:val="20"/>
              </w:rPr>
              <w:t>1 709 799</w:t>
            </w:r>
          </w:p>
        </w:tc>
      </w:tr>
      <w:tr w:rsidR="00EC52FF" w:rsidRPr="00C33B26" w14:paraId="3B5D6362" w14:textId="77777777" w:rsidTr="00585442">
        <w:trPr>
          <w:trHeight w:val="353"/>
          <w:jc w:val="center"/>
        </w:trPr>
        <w:tc>
          <w:tcPr>
            <w:tcW w:w="38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526E2A" w14:textId="2EB427E0" w:rsidR="00EC52FF" w:rsidRPr="00585442" w:rsidRDefault="00EC52FF" w:rsidP="00CC268C">
            <w:pPr>
              <w:jc w:val="both"/>
              <w:rPr>
                <w:sz w:val="20"/>
                <w:szCs w:val="20"/>
              </w:rPr>
            </w:pPr>
            <w:r w:rsidRPr="00585442">
              <w:rPr>
                <w:bCs/>
                <w:sz w:val="20"/>
                <w:szCs w:val="20"/>
              </w:rPr>
              <w:t>Neatliekamās palīdzības, uzņemšanas nodaļas darbības nodrošināšana specializētajās ārstniecības iestādēs N</w:t>
            </w:r>
            <w:r w:rsidRPr="00585442">
              <w:rPr>
                <w:sz w:val="20"/>
                <w:szCs w:val="20"/>
              </w:rPr>
              <w:t xml:space="preserve">oteikumu Nr.555 </w:t>
            </w:r>
            <w:r w:rsidRPr="00585442">
              <w:rPr>
                <w:bCs/>
                <w:sz w:val="20"/>
                <w:szCs w:val="20"/>
              </w:rPr>
              <w:t>6.pielikuma 1.7.5., 1.7.6., 1.7.7.apakšpunkts</w:t>
            </w:r>
            <w:r w:rsidRPr="00585442">
              <w:rPr>
                <w:sz w:val="20"/>
                <w:szCs w:val="20"/>
              </w:rPr>
              <w:t xml:space="preserve">), kā arī valsts sabiedrība ar ierobežotu atbildību </w:t>
            </w:r>
            <w:r w:rsidR="00CC268C">
              <w:rPr>
                <w:sz w:val="20"/>
                <w:szCs w:val="20"/>
              </w:rPr>
              <w:t>“</w:t>
            </w:r>
            <w:r w:rsidRPr="00585442">
              <w:rPr>
                <w:sz w:val="20"/>
                <w:szCs w:val="20"/>
              </w:rPr>
              <w:t>Daugavpils psihoneiroloģiskā slimnīca</w:t>
            </w:r>
            <w:r w:rsidR="00CC268C">
              <w:rPr>
                <w:sz w:val="20"/>
                <w:szCs w:val="20"/>
              </w:rPr>
              <w:t>””</w:t>
            </w:r>
            <w:r w:rsidRPr="00585442">
              <w:rPr>
                <w:sz w:val="20"/>
                <w:szCs w:val="20"/>
              </w:rPr>
              <w:t xml:space="preserve">, valsts sabiedrība ar ierobežotu atbildību </w:t>
            </w:r>
            <w:r w:rsidR="00CC268C">
              <w:rPr>
                <w:sz w:val="20"/>
                <w:szCs w:val="20"/>
              </w:rPr>
              <w:t>“</w:t>
            </w:r>
            <w:r w:rsidRPr="00585442">
              <w:rPr>
                <w:sz w:val="20"/>
                <w:szCs w:val="20"/>
              </w:rPr>
              <w:t xml:space="preserve">Slimnīca </w:t>
            </w:r>
            <w:r w:rsidR="00CC268C">
              <w:rPr>
                <w:sz w:val="20"/>
                <w:szCs w:val="20"/>
              </w:rPr>
              <w:t>“</w:t>
            </w:r>
            <w:r w:rsidRPr="00585442">
              <w:rPr>
                <w:sz w:val="20"/>
                <w:szCs w:val="20"/>
              </w:rPr>
              <w:t>Ģintermuiža</w:t>
            </w:r>
            <w:r w:rsidR="00CC268C">
              <w:rPr>
                <w:sz w:val="20"/>
                <w:szCs w:val="20"/>
              </w:rPr>
              <w:t>””</w:t>
            </w:r>
            <w:r w:rsidRPr="00585442">
              <w:rPr>
                <w:sz w:val="20"/>
                <w:szCs w:val="20"/>
              </w:rPr>
              <w:t>, valsts sabiedrība ar ierobežotu atbildību "Piejūras slimnīca</w:t>
            </w:r>
          </w:p>
        </w:tc>
        <w:tc>
          <w:tcPr>
            <w:tcW w:w="1717" w:type="dxa"/>
            <w:tcBorders>
              <w:top w:val="nil"/>
              <w:left w:val="nil"/>
              <w:bottom w:val="single" w:sz="4" w:space="0" w:color="auto"/>
              <w:right w:val="single" w:sz="4" w:space="0" w:color="auto"/>
            </w:tcBorders>
            <w:shd w:val="clear" w:color="auto" w:fill="FFFFFF" w:themeFill="background1"/>
            <w:vAlign w:val="center"/>
            <w:hideMark/>
          </w:tcPr>
          <w:p w14:paraId="5A591840" w14:textId="77777777" w:rsidR="00EC52FF" w:rsidRPr="00585442" w:rsidRDefault="00EC52FF" w:rsidP="00EC52FF">
            <w:pPr>
              <w:jc w:val="center"/>
              <w:rPr>
                <w:bCs/>
                <w:sz w:val="20"/>
                <w:szCs w:val="20"/>
              </w:rPr>
            </w:pPr>
            <w:r w:rsidRPr="00585442">
              <w:rPr>
                <w:bCs/>
                <w:sz w:val="20"/>
                <w:szCs w:val="20"/>
              </w:rPr>
              <w:t>516 852</w:t>
            </w:r>
          </w:p>
        </w:tc>
        <w:tc>
          <w:tcPr>
            <w:tcW w:w="1833" w:type="dxa"/>
            <w:tcBorders>
              <w:top w:val="nil"/>
              <w:left w:val="nil"/>
              <w:bottom w:val="single" w:sz="4" w:space="0" w:color="auto"/>
              <w:right w:val="single" w:sz="4" w:space="0" w:color="auto"/>
            </w:tcBorders>
            <w:shd w:val="clear" w:color="auto" w:fill="FFFFFF" w:themeFill="background1"/>
            <w:vAlign w:val="center"/>
          </w:tcPr>
          <w:p w14:paraId="270424AC" w14:textId="77777777" w:rsidR="00EC52FF" w:rsidRPr="00585442" w:rsidRDefault="00EC52FF" w:rsidP="00EC52FF">
            <w:pPr>
              <w:jc w:val="center"/>
              <w:rPr>
                <w:bCs/>
                <w:sz w:val="20"/>
                <w:szCs w:val="20"/>
              </w:rPr>
            </w:pPr>
            <w:r w:rsidRPr="00585442">
              <w:rPr>
                <w:sz w:val="20"/>
                <w:szCs w:val="20"/>
              </w:rPr>
              <w:t>387 639</w:t>
            </w:r>
          </w:p>
        </w:tc>
        <w:tc>
          <w:tcPr>
            <w:tcW w:w="1843" w:type="dxa"/>
            <w:tcBorders>
              <w:top w:val="nil"/>
              <w:left w:val="nil"/>
              <w:bottom w:val="single" w:sz="4" w:space="0" w:color="auto"/>
              <w:right w:val="single" w:sz="4" w:space="0" w:color="auto"/>
            </w:tcBorders>
            <w:shd w:val="clear" w:color="auto" w:fill="FFFFFF" w:themeFill="background1"/>
            <w:vAlign w:val="center"/>
          </w:tcPr>
          <w:p w14:paraId="64FF90A8" w14:textId="77777777" w:rsidR="00EC52FF" w:rsidRPr="00585442" w:rsidRDefault="00EC52FF" w:rsidP="00EC52FF">
            <w:pPr>
              <w:jc w:val="center"/>
              <w:rPr>
                <w:b/>
                <w:bCs/>
                <w:sz w:val="20"/>
                <w:szCs w:val="20"/>
              </w:rPr>
            </w:pPr>
            <w:r w:rsidRPr="00585442">
              <w:rPr>
                <w:sz w:val="20"/>
                <w:szCs w:val="20"/>
              </w:rPr>
              <w:t>387 639</w:t>
            </w:r>
          </w:p>
        </w:tc>
      </w:tr>
      <w:tr w:rsidR="00EC52FF" w:rsidRPr="00C33B26" w14:paraId="43DBAAB3" w14:textId="77777777" w:rsidTr="00585442">
        <w:trPr>
          <w:trHeight w:val="427"/>
          <w:jc w:val="center"/>
        </w:trPr>
        <w:tc>
          <w:tcPr>
            <w:tcW w:w="3816" w:type="dxa"/>
            <w:tcBorders>
              <w:top w:val="single" w:sz="4" w:space="0" w:color="auto"/>
              <w:left w:val="single" w:sz="4" w:space="0" w:color="auto"/>
              <w:bottom w:val="single" w:sz="4" w:space="0" w:color="auto"/>
              <w:right w:val="single" w:sz="4" w:space="0" w:color="000000" w:themeColor="text1"/>
            </w:tcBorders>
            <w:shd w:val="clear" w:color="auto" w:fill="FFFFFF" w:themeFill="background1"/>
            <w:hideMark/>
          </w:tcPr>
          <w:p w14:paraId="08BA8517" w14:textId="58CFE05D" w:rsidR="00EC52FF" w:rsidRPr="00585442" w:rsidRDefault="00EC52FF" w:rsidP="00885755">
            <w:pPr>
              <w:jc w:val="both"/>
              <w:rPr>
                <w:sz w:val="20"/>
                <w:szCs w:val="20"/>
              </w:rPr>
            </w:pPr>
            <w:r w:rsidRPr="00585442">
              <w:rPr>
                <w:sz w:val="20"/>
                <w:szCs w:val="20"/>
              </w:rPr>
              <w:t xml:space="preserve">Neatliekamās palīdzības, uzņemšanas nodaļas darbības nodrošināšana </w:t>
            </w:r>
            <w:r w:rsidRPr="00585442">
              <w:rPr>
                <w:sz w:val="20"/>
                <w:szCs w:val="20"/>
                <w:u w:val="single"/>
              </w:rPr>
              <w:t>atsevišķās</w:t>
            </w:r>
            <w:r w:rsidRPr="00585442">
              <w:rPr>
                <w:sz w:val="20"/>
                <w:szCs w:val="20"/>
              </w:rPr>
              <w:t xml:space="preserve"> I līmeņa ārstniecības iestādēs un II līmeņa ārstniecības iestādēs, </w:t>
            </w:r>
            <w:r w:rsidRPr="00585442">
              <w:rPr>
                <w:bCs/>
                <w:sz w:val="20"/>
                <w:szCs w:val="20"/>
              </w:rPr>
              <w:t xml:space="preserve">noteikuma projekta </w:t>
            </w:r>
            <w:r w:rsidRPr="00585442">
              <w:rPr>
                <w:sz w:val="20"/>
                <w:szCs w:val="20"/>
              </w:rPr>
              <w:t>6.pielikuma 1.5.apakšpunkts un 1.7.9.apakšpunkts</w:t>
            </w:r>
            <w:r w:rsidRPr="00585442">
              <w:rPr>
                <w:bCs/>
                <w:sz w:val="20"/>
                <w:szCs w:val="20"/>
              </w:rPr>
              <w:t>) (</w:t>
            </w:r>
            <w:r w:rsidRPr="00585442">
              <w:rPr>
                <w:sz w:val="20"/>
                <w:szCs w:val="20"/>
                <w:shd w:val="clear" w:color="auto" w:fill="FFFFFF"/>
              </w:rPr>
              <w:t xml:space="preserve">Sabiedrība ar ierobežotu atbildību </w:t>
            </w:r>
            <w:r w:rsidR="00885755">
              <w:rPr>
                <w:sz w:val="20"/>
                <w:szCs w:val="20"/>
                <w:shd w:val="clear" w:color="auto" w:fill="FFFFFF"/>
              </w:rPr>
              <w:t>“</w:t>
            </w:r>
            <w:r w:rsidRPr="00585442">
              <w:rPr>
                <w:sz w:val="20"/>
                <w:szCs w:val="20"/>
                <w:shd w:val="clear" w:color="auto" w:fill="FFFFFF"/>
              </w:rPr>
              <w:t>Siguldas slimnīca</w:t>
            </w:r>
            <w:r w:rsidR="00885755">
              <w:rPr>
                <w:sz w:val="20"/>
                <w:szCs w:val="20"/>
                <w:shd w:val="clear" w:color="auto" w:fill="FFFFFF"/>
              </w:rPr>
              <w:t>”</w:t>
            </w:r>
            <w:r w:rsidRPr="00585442">
              <w:rPr>
                <w:sz w:val="20"/>
                <w:szCs w:val="20"/>
                <w:shd w:val="clear" w:color="auto" w:fill="FFFFFF"/>
              </w:rPr>
              <w:t xml:space="preserve">, Sabiedrība ar ierobežotu atbildību </w:t>
            </w:r>
            <w:r w:rsidR="00885755">
              <w:rPr>
                <w:sz w:val="20"/>
                <w:szCs w:val="20"/>
                <w:shd w:val="clear" w:color="auto" w:fill="FFFFFF"/>
              </w:rPr>
              <w:t>“</w:t>
            </w:r>
            <w:r w:rsidRPr="00585442">
              <w:rPr>
                <w:sz w:val="20"/>
                <w:szCs w:val="20"/>
                <w:shd w:val="clear" w:color="auto" w:fill="FFFFFF"/>
              </w:rPr>
              <w:t>Līvānu slimnīca</w:t>
            </w:r>
            <w:r w:rsidR="00885755">
              <w:rPr>
                <w:sz w:val="20"/>
                <w:szCs w:val="20"/>
                <w:shd w:val="clear" w:color="auto" w:fill="FFFFFF"/>
              </w:rPr>
              <w:t>”</w:t>
            </w:r>
            <w:r w:rsidRPr="00585442">
              <w:rPr>
                <w:sz w:val="20"/>
                <w:szCs w:val="20"/>
                <w:shd w:val="clear" w:color="auto" w:fill="FFFFFF"/>
              </w:rPr>
              <w:t xml:space="preserve">, Sabiedrība ar ierobežotu atbildību </w:t>
            </w:r>
            <w:r w:rsidR="00885755">
              <w:rPr>
                <w:sz w:val="20"/>
                <w:szCs w:val="20"/>
                <w:shd w:val="clear" w:color="auto" w:fill="FFFFFF"/>
              </w:rPr>
              <w:t>“</w:t>
            </w:r>
            <w:r w:rsidRPr="00585442">
              <w:rPr>
                <w:sz w:val="20"/>
                <w:szCs w:val="20"/>
                <w:shd w:val="clear" w:color="auto" w:fill="FFFFFF"/>
              </w:rPr>
              <w:t>Aizkraukles slimnīca</w:t>
            </w:r>
            <w:r w:rsidR="00885755">
              <w:rPr>
                <w:sz w:val="20"/>
                <w:szCs w:val="20"/>
                <w:shd w:val="clear" w:color="auto" w:fill="FFFFFF"/>
              </w:rPr>
              <w:t>”</w:t>
            </w:r>
            <w:r w:rsidRPr="00585442">
              <w:rPr>
                <w:sz w:val="20"/>
                <w:szCs w:val="20"/>
                <w:shd w:val="clear" w:color="auto" w:fill="FFFFFF"/>
              </w:rPr>
              <w:t xml:space="preserve">, Sabiedrība ar ierobežotu atbildību </w:t>
            </w:r>
            <w:r w:rsidR="00885755">
              <w:rPr>
                <w:sz w:val="20"/>
                <w:szCs w:val="20"/>
                <w:shd w:val="clear" w:color="auto" w:fill="FFFFFF"/>
              </w:rPr>
              <w:t>“</w:t>
            </w:r>
            <w:r w:rsidRPr="00585442">
              <w:rPr>
                <w:sz w:val="20"/>
                <w:szCs w:val="20"/>
                <w:shd w:val="clear" w:color="auto" w:fill="FFFFFF"/>
              </w:rPr>
              <w:t>Bauskas slimnīca</w:t>
            </w:r>
            <w:r w:rsidR="00885755">
              <w:rPr>
                <w:sz w:val="20"/>
                <w:szCs w:val="20"/>
                <w:shd w:val="clear" w:color="auto" w:fill="FFFFFF"/>
              </w:rPr>
              <w:t>”</w:t>
            </w:r>
            <w:r w:rsidRPr="00585442">
              <w:rPr>
                <w:sz w:val="20"/>
                <w:szCs w:val="20"/>
                <w:shd w:val="clear" w:color="auto" w:fill="FFFFFF"/>
              </w:rPr>
              <w:t xml:space="preserve">, Sabiedrība ar ierobežotu atbildību </w:t>
            </w:r>
            <w:r w:rsidR="00885755">
              <w:rPr>
                <w:sz w:val="20"/>
                <w:szCs w:val="20"/>
                <w:shd w:val="clear" w:color="auto" w:fill="FFFFFF"/>
              </w:rPr>
              <w:t>“</w:t>
            </w:r>
            <w:r w:rsidRPr="00585442">
              <w:rPr>
                <w:sz w:val="20"/>
                <w:szCs w:val="20"/>
                <w:shd w:val="clear" w:color="auto" w:fill="FFFFFF"/>
              </w:rPr>
              <w:t>Limbažu slimnīca</w:t>
            </w:r>
            <w:r w:rsidR="00885755">
              <w:rPr>
                <w:sz w:val="20"/>
                <w:szCs w:val="20"/>
                <w:shd w:val="clear" w:color="auto" w:fill="FFFFFF"/>
              </w:rPr>
              <w:t>”</w:t>
            </w:r>
            <w:r w:rsidRPr="00585442">
              <w:rPr>
                <w:sz w:val="20"/>
                <w:szCs w:val="20"/>
                <w:shd w:val="clear" w:color="auto" w:fill="FFFFFF"/>
              </w:rPr>
              <w:t xml:space="preserve">, Sabiedrība ar ierobežotu atbildību </w:t>
            </w:r>
            <w:r w:rsidR="00885755">
              <w:rPr>
                <w:sz w:val="20"/>
                <w:szCs w:val="20"/>
                <w:shd w:val="clear" w:color="auto" w:fill="FFFFFF"/>
              </w:rPr>
              <w:t>“</w:t>
            </w:r>
            <w:r w:rsidRPr="00585442">
              <w:rPr>
                <w:sz w:val="20"/>
                <w:szCs w:val="20"/>
                <w:shd w:val="clear" w:color="auto" w:fill="FFFFFF"/>
              </w:rPr>
              <w:t>Ludzas medicīnas centrs</w:t>
            </w:r>
            <w:r w:rsidR="00885755">
              <w:rPr>
                <w:sz w:val="20"/>
                <w:szCs w:val="20"/>
                <w:shd w:val="clear" w:color="auto" w:fill="FFFFFF"/>
              </w:rPr>
              <w:t>”</w:t>
            </w:r>
            <w:r w:rsidRPr="00585442">
              <w:rPr>
                <w:sz w:val="20"/>
                <w:szCs w:val="20"/>
                <w:shd w:val="clear" w:color="auto" w:fill="FFFFFF"/>
              </w:rPr>
              <w:t xml:space="preserve">, Sabiedrība ar ierobežotu atbildību </w:t>
            </w:r>
            <w:r w:rsidR="00885755">
              <w:rPr>
                <w:sz w:val="20"/>
                <w:szCs w:val="20"/>
                <w:shd w:val="clear" w:color="auto" w:fill="FFFFFF"/>
              </w:rPr>
              <w:t>“</w:t>
            </w:r>
            <w:r w:rsidRPr="00585442">
              <w:rPr>
                <w:sz w:val="20"/>
                <w:szCs w:val="20"/>
                <w:shd w:val="clear" w:color="auto" w:fill="FFFFFF"/>
              </w:rPr>
              <w:t>Saldus medicīnas centrs</w:t>
            </w:r>
            <w:r w:rsidR="00885755">
              <w:rPr>
                <w:sz w:val="20"/>
                <w:szCs w:val="20"/>
                <w:shd w:val="clear" w:color="auto" w:fill="FFFFFF"/>
              </w:rPr>
              <w:t>”</w:t>
            </w:r>
            <w:r w:rsidRPr="00585442">
              <w:rPr>
                <w:bCs/>
                <w:sz w:val="20"/>
                <w:szCs w:val="20"/>
              </w:rPr>
              <w:t>)</w:t>
            </w:r>
          </w:p>
        </w:tc>
        <w:tc>
          <w:tcPr>
            <w:tcW w:w="1717" w:type="dxa"/>
            <w:tcBorders>
              <w:top w:val="nil"/>
              <w:left w:val="nil"/>
              <w:bottom w:val="single" w:sz="4" w:space="0" w:color="auto"/>
              <w:right w:val="single" w:sz="4" w:space="0" w:color="auto"/>
            </w:tcBorders>
            <w:shd w:val="clear" w:color="auto" w:fill="FFFFFF" w:themeFill="background1"/>
            <w:noWrap/>
            <w:vAlign w:val="center"/>
            <w:hideMark/>
          </w:tcPr>
          <w:p w14:paraId="769078B4" w14:textId="77777777" w:rsidR="00EC52FF" w:rsidRPr="00585442" w:rsidRDefault="00EC52FF" w:rsidP="00EC52FF">
            <w:pPr>
              <w:jc w:val="center"/>
              <w:rPr>
                <w:bCs/>
                <w:sz w:val="20"/>
                <w:szCs w:val="20"/>
              </w:rPr>
            </w:pPr>
            <w:r w:rsidRPr="00585442">
              <w:rPr>
                <w:bCs/>
                <w:sz w:val="20"/>
                <w:szCs w:val="20"/>
              </w:rPr>
              <w:t>1 363 240</w:t>
            </w:r>
          </w:p>
        </w:tc>
        <w:tc>
          <w:tcPr>
            <w:tcW w:w="1833" w:type="dxa"/>
            <w:tcBorders>
              <w:top w:val="nil"/>
              <w:left w:val="nil"/>
              <w:bottom w:val="single" w:sz="4" w:space="0" w:color="auto"/>
              <w:right w:val="single" w:sz="4" w:space="0" w:color="auto"/>
            </w:tcBorders>
            <w:shd w:val="clear" w:color="auto" w:fill="FFFFFF" w:themeFill="background1"/>
            <w:vAlign w:val="center"/>
          </w:tcPr>
          <w:p w14:paraId="1F7377D2" w14:textId="77777777" w:rsidR="00EC52FF" w:rsidRPr="00585442" w:rsidRDefault="00EC52FF" w:rsidP="00EC52FF">
            <w:pPr>
              <w:jc w:val="center"/>
              <w:rPr>
                <w:sz w:val="20"/>
                <w:szCs w:val="20"/>
              </w:rPr>
            </w:pPr>
            <w:r w:rsidRPr="00585442">
              <w:rPr>
                <w:sz w:val="20"/>
                <w:szCs w:val="20"/>
              </w:rPr>
              <w:t>1 322 160</w:t>
            </w:r>
          </w:p>
        </w:tc>
        <w:tc>
          <w:tcPr>
            <w:tcW w:w="1843" w:type="dxa"/>
            <w:tcBorders>
              <w:top w:val="nil"/>
              <w:left w:val="nil"/>
              <w:bottom w:val="single" w:sz="4" w:space="0" w:color="auto"/>
              <w:right w:val="single" w:sz="4" w:space="0" w:color="auto"/>
            </w:tcBorders>
            <w:shd w:val="clear" w:color="auto" w:fill="FFFFFF" w:themeFill="background1"/>
            <w:vAlign w:val="center"/>
          </w:tcPr>
          <w:p w14:paraId="2BC87275" w14:textId="77777777" w:rsidR="00EC52FF" w:rsidRPr="00585442" w:rsidRDefault="00EC52FF" w:rsidP="00EC52FF">
            <w:pPr>
              <w:jc w:val="center"/>
              <w:rPr>
                <w:bCs/>
                <w:sz w:val="20"/>
                <w:szCs w:val="20"/>
              </w:rPr>
            </w:pPr>
            <w:r w:rsidRPr="00585442">
              <w:rPr>
                <w:bCs/>
                <w:sz w:val="20"/>
                <w:szCs w:val="20"/>
              </w:rPr>
              <w:t>1 322 160</w:t>
            </w:r>
          </w:p>
        </w:tc>
      </w:tr>
      <w:tr w:rsidR="00EC52FF" w:rsidRPr="00C33B26" w14:paraId="5A5D697B" w14:textId="77777777" w:rsidTr="00585442">
        <w:trPr>
          <w:trHeight w:val="340"/>
          <w:jc w:val="center"/>
        </w:trPr>
        <w:tc>
          <w:tcPr>
            <w:tcW w:w="38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3077B5" w14:textId="7618D741" w:rsidR="00EC52FF" w:rsidRPr="00585442" w:rsidRDefault="00EC52FF" w:rsidP="00EC52FF">
            <w:pPr>
              <w:jc w:val="both"/>
              <w:rPr>
                <w:sz w:val="20"/>
                <w:szCs w:val="20"/>
              </w:rPr>
            </w:pPr>
            <w:r w:rsidRPr="00585442">
              <w:rPr>
                <w:sz w:val="20"/>
                <w:szCs w:val="20"/>
              </w:rPr>
              <w:t>Ķirurģiskā profila stacionāro pakalpojumu SIA “Siguldas slimnīca” n</w:t>
            </w:r>
            <w:r w:rsidR="00904F26">
              <w:rPr>
                <w:sz w:val="20"/>
                <w:szCs w:val="20"/>
              </w:rPr>
              <w:t>odrošināšana (6.pielikuma 1.7.9</w:t>
            </w:r>
            <w:r w:rsidRPr="00585442">
              <w:rPr>
                <w:sz w:val="20"/>
                <w:szCs w:val="20"/>
              </w:rPr>
              <w:t>.apakšpunkts)</w:t>
            </w:r>
          </w:p>
        </w:tc>
        <w:tc>
          <w:tcPr>
            <w:tcW w:w="1717" w:type="dxa"/>
            <w:tcBorders>
              <w:top w:val="nil"/>
              <w:left w:val="nil"/>
              <w:bottom w:val="single" w:sz="4" w:space="0" w:color="auto"/>
              <w:right w:val="single" w:sz="4" w:space="0" w:color="auto"/>
            </w:tcBorders>
            <w:shd w:val="clear" w:color="auto" w:fill="FFFFFF" w:themeFill="background1"/>
            <w:vAlign w:val="center"/>
            <w:hideMark/>
          </w:tcPr>
          <w:p w14:paraId="276D3D10" w14:textId="77777777" w:rsidR="00EC52FF" w:rsidRPr="00585442" w:rsidRDefault="00EC52FF" w:rsidP="00EC52FF">
            <w:pPr>
              <w:jc w:val="center"/>
              <w:rPr>
                <w:bCs/>
                <w:sz w:val="20"/>
                <w:szCs w:val="20"/>
              </w:rPr>
            </w:pPr>
            <w:r w:rsidRPr="00585442">
              <w:rPr>
                <w:bCs/>
                <w:sz w:val="20"/>
                <w:szCs w:val="20"/>
              </w:rPr>
              <w:t>952 484</w:t>
            </w:r>
          </w:p>
        </w:tc>
        <w:tc>
          <w:tcPr>
            <w:tcW w:w="1833" w:type="dxa"/>
            <w:tcBorders>
              <w:top w:val="nil"/>
              <w:left w:val="nil"/>
              <w:bottom w:val="single" w:sz="4" w:space="0" w:color="auto"/>
              <w:right w:val="single" w:sz="4" w:space="0" w:color="auto"/>
            </w:tcBorders>
            <w:shd w:val="clear" w:color="auto" w:fill="FFFFFF" w:themeFill="background1"/>
            <w:vAlign w:val="center"/>
          </w:tcPr>
          <w:p w14:paraId="24CC4E47" w14:textId="77777777" w:rsidR="00EC52FF" w:rsidRPr="00585442" w:rsidRDefault="00EC52FF" w:rsidP="00EC52FF">
            <w:pPr>
              <w:jc w:val="center"/>
              <w:rPr>
                <w:bCs/>
                <w:sz w:val="20"/>
                <w:szCs w:val="20"/>
              </w:rPr>
            </w:pPr>
            <w:r w:rsidRPr="00585442">
              <w:rPr>
                <w:sz w:val="20"/>
                <w:szCs w:val="20"/>
              </w:rPr>
              <w:t>714 363</w:t>
            </w:r>
          </w:p>
        </w:tc>
        <w:tc>
          <w:tcPr>
            <w:tcW w:w="1843" w:type="dxa"/>
            <w:tcBorders>
              <w:top w:val="nil"/>
              <w:left w:val="nil"/>
              <w:bottom w:val="single" w:sz="4" w:space="0" w:color="auto"/>
              <w:right w:val="single" w:sz="4" w:space="0" w:color="auto"/>
            </w:tcBorders>
            <w:shd w:val="clear" w:color="auto" w:fill="FFFFFF" w:themeFill="background1"/>
            <w:vAlign w:val="center"/>
          </w:tcPr>
          <w:p w14:paraId="4CE3CDDD" w14:textId="77777777" w:rsidR="00EC52FF" w:rsidRPr="00585442" w:rsidRDefault="00EC52FF" w:rsidP="00EC52FF">
            <w:pPr>
              <w:jc w:val="center"/>
              <w:rPr>
                <w:bCs/>
                <w:sz w:val="20"/>
                <w:szCs w:val="20"/>
              </w:rPr>
            </w:pPr>
            <w:r w:rsidRPr="00585442">
              <w:rPr>
                <w:bCs/>
                <w:sz w:val="20"/>
                <w:szCs w:val="20"/>
              </w:rPr>
              <w:t>0</w:t>
            </w:r>
          </w:p>
        </w:tc>
      </w:tr>
    </w:tbl>
    <w:p w14:paraId="4CA4777D" w14:textId="77777777" w:rsidR="00EC52FF" w:rsidRPr="00BF1419" w:rsidRDefault="00EC52FF" w:rsidP="005505D0">
      <w:pPr>
        <w:spacing w:before="120" w:after="120" w:line="254" w:lineRule="auto"/>
        <w:ind w:firstLine="720"/>
        <w:jc w:val="both"/>
        <w:rPr>
          <w:rFonts w:eastAsia="Times New Roman"/>
          <w:b/>
          <w:i/>
          <w:color w:val="000000"/>
          <w:lang w:eastAsia="lv-LV"/>
        </w:rPr>
      </w:pPr>
      <w:r w:rsidRPr="00BF1419">
        <w:rPr>
          <w:rFonts w:eastAsia="Times New Roman"/>
          <w:b/>
          <w:i/>
          <w:color w:val="000000"/>
          <w:lang w:eastAsia="lv-LV"/>
        </w:rPr>
        <w:t xml:space="preserve">Paliatīvās aprūpes pakalpojumu nodrošināšana PSKUS </w:t>
      </w:r>
    </w:p>
    <w:p w14:paraId="5C88CE26" w14:textId="39DF37F0" w:rsidR="00EC52FF" w:rsidRDefault="00EC52FF" w:rsidP="005505D0">
      <w:pPr>
        <w:spacing w:before="120" w:after="120" w:line="254" w:lineRule="auto"/>
        <w:ind w:firstLine="720"/>
        <w:jc w:val="both"/>
        <w:rPr>
          <w:rFonts w:eastAsia="Times New Roman"/>
          <w:color w:val="000000"/>
          <w:lang w:eastAsia="lv-LV"/>
        </w:rPr>
      </w:pPr>
      <w:r w:rsidRPr="00C33B26">
        <w:t>Lai sekmētu un uzlabotu pacientu paliatīvās aprūpes pakalpojumu pieejamības nodrošināšanu VSIA “Paula Stradiņa klīniskā universitātes slimnīca</w:t>
      </w:r>
      <w:r w:rsidR="001B7640">
        <w:t>i</w:t>
      </w:r>
      <w:r w:rsidRPr="00C33B26">
        <w:t>” no 2019.</w:t>
      </w:r>
      <w:r>
        <w:t xml:space="preserve"> </w:t>
      </w:r>
      <w:r w:rsidRPr="00C33B26">
        <w:t>gada 1.</w:t>
      </w:r>
      <w:r>
        <w:t xml:space="preserve"> </w:t>
      </w:r>
      <w:r w:rsidRPr="00C33B26">
        <w:t xml:space="preserve">aprīļa tika piešķirti </w:t>
      </w:r>
      <w:r w:rsidRPr="0039750C">
        <w:t xml:space="preserve">289 918 </w:t>
      </w:r>
      <w:r w:rsidRPr="0039750C">
        <w:rPr>
          <w:i/>
        </w:rPr>
        <w:t>euro</w:t>
      </w:r>
      <w:r w:rsidRPr="0039750C">
        <w:t xml:space="preserve">, faktiski izlietotais finansējums 283 762 </w:t>
      </w:r>
      <w:r w:rsidRPr="0039750C">
        <w:rPr>
          <w:i/>
        </w:rPr>
        <w:t xml:space="preserve">euro </w:t>
      </w:r>
      <w:r w:rsidRPr="0039750C">
        <w:t>apmērā, veidojot finansējuma neapguvi</w:t>
      </w:r>
      <w:r>
        <w:rPr>
          <w:b/>
          <w:i/>
        </w:rPr>
        <w:t xml:space="preserve"> </w:t>
      </w:r>
      <w:r w:rsidRPr="0039750C">
        <w:rPr>
          <w:b/>
        </w:rPr>
        <w:t xml:space="preserve">6 156 </w:t>
      </w:r>
      <w:r>
        <w:rPr>
          <w:b/>
          <w:i/>
        </w:rPr>
        <w:t xml:space="preserve">euro </w:t>
      </w:r>
      <w:r w:rsidRPr="0039750C">
        <w:t>apmērā</w:t>
      </w:r>
      <w:r w:rsidRPr="002B7E8A">
        <w:t>.</w:t>
      </w:r>
      <w:r>
        <w:rPr>
          <w:b/>
          <w:i/>
        </w:rPr>
        <w:t xml:space="preserve"> </w:t>
      </w:r>
      <w:r w:rsidRPr="002D2BE5">
        <w:rPr>
          <w:shd w:val="clear" w:color="auto" w:fill="FFFFFF"/>
        </w:rPr>
        <w:t>2020. gadā</w:t>
      </w:r>
      <w:r w:rsidRPr="002D2BE5">
        <w:t xml:space="preserve"> turpināta reformas iniciatīvas īstenošana ar papildus</w:t>
      </w:r>
      <w:r>
        <w:t xml:space="preserve"> plānoto</w:t>
      </w:r>
      <w:r w:rsidRPr="002D2BE5">
        <w:t xml:space="preserve"> finansējumu</w:t>
      </w:r>
      <w:r w:rsidRPr="002D2BE5">
        <w:rPr>
          <w:shd w:val="clear" w:color="auto" w:fill="FFFFFF"/>
        </w:rPr>
        <w:t xml:space="preserve"> </w:t>
      </w:r>
      <w:r>
        <w:rPr>
          <w:rFonts w:eastAsia="Times New Roman"/>
          <w:color w:val="000000"/>
          <w:lang w:eastAsia="lv-LV"/>
        </w:rPr>
        <w:t xml:space="preserve">509 973 </w:t>
      </w:r>
      <w:r w:rsidRPr="002D2BE5">
        <w:rPr>
          <w:rFonts w:eastAsia="Times New Roman"/>
          <w:i/>
          <w:color w:val="000000"/>
          <w:lang w:eastAsia="lv-LV"/>
        </w:rPr>
        <w:t>euro</w:t>
      </w:r>
      <w:r w:rsidRPr="002D2BE5">
        <w:rPr>
          <w:rFonts w:eastAsia="Times New Roman"/>
          <w:color w:val="000000"/>
          <w:lang w:eastAsia="lv-LV"/>
        </w:rPr>
        <w:t xml:space="preserve"> apmērā</w:t>
      </w:r>
      <w:r>
        <w:rPr>
          <w:rFonts w:eastAsia="Times New Roman"/>
          <w:color w:val="000000"/>
          <w:lang w:eastAsia="lv-LV"/>
        </w:rPr>
        <w:t>.</w:t>
      </w:r>
    </w:p>
    <w:p w14:paraId="07597C8C" w14:textId="77777777" w:rsidR="00AB14B2" w:rsidRDefault="00AB14B2" w:rsidP="005505D0">
      <w:pPr>
        <w:spacing w:before="120" w:after="120" w:line="254" w:lineRule="auto"/>
        <w:ind w:firstLine="720"/>
        <w:jc w:val="both"/>
        <w:rPr>
          <w:rFonts w:eastAsia="Times New Roman"/>
          <w:b/>
          <w:i/>
          <w:color w:val="000000"/>
          <w:lang w:eastAsia="lv-LV"/>
        </w:rPr>
      </w:pPr>
    </w:p>
    <w:p w14:paraId="0F0BBA30" w14:textId="77777777" w:rsidR="00EC52FF" w:rsidRPr="00391415" w:rsidRDefault="00EC52FF" w:rsidP="005505D0">
      <w:pPr>
        <w:spacing w:before="120" w:after="120" w:line="254" w:lineRule="auto"/>
        <w:ind w:firstLine="720"/>
        <w:jc w:val="both"/>
        <w:rPr>
          <w:rFonts w:eastAsia="Times New Roman"/>
          <w:b/>
          <w:i/>
          <w:lang w:eastAsia="lv-LV"/>
        </w:rPr>
      </w:pPr>
      <w:r w:rsidRPr="00391415">
        <w:rPr>
          <w:rFonts w:eastAsia="Times New Roman"/>
          <w:b/>
          <w:i/>
          <w:color w:val="000000"/>
          <w:lang w:eastAsia="lv-LV"/>
        </w:rPr>
        <w:lastRenderedPageBreak/>
        <w:t xml:space="preserve">Akūtās un </w:t>
      </w:r>
      <w:r w:rsidRPr="00391415">
        <w:rPr>
          <w:rFonts w:eastAsia="Times New Roman"/>
          <w:b/>
          <w:i/>
          <w:lang w:eastAsia="lv-LV"/>
        </w:rPr>
        <w:t xml:space="preserve">subakūtās </w:t>
      </w:r>
      <w:r w:rsidRPr="00391415">
        <w:rPr>
          <w:rFonts w:eastAsia="Times New Roman"/>
          <w:b/>
          <w:i/>
          <w:color w:val="000000"/>
          <w:lang w:eastAsia="lv-LV"/>
        </w:rPr>
        <w:t>rehabilitācijas pakalpojumu nodrošināšana</w:t>
      </w:r>
    </w:p>
    <w:p w14:paraId="4FF2872C" w14:textId="77777777" w:rsidR="00B86ECC" w:rsidRPr="00D1111B" w:rsidRDefault="00EC52FF" w:rsidP="00D1111B">
      <w:pPr>
        <w:spacing w:before="120" w:after="120" w:line="254" w:lineRule="auto"/>
        <w:ind w:firstLine="720"/>
        <w:jc w:val="both"/>
      </w:pPr>
      <w:r w:rsidRPr="00C33B26">
        <w:t xml:space="preserve">Lai nodrošinātu akūtās rehabilitācijas pakalpojumus jaukta profila gultās vismaz 11% </w:t>
      </w:r>
      <w:r w:rsidRPr="00CA265F">
        <w:t xml:space="preserve">gadījumu no kopējā hospitalizāciju skaita V-III līmeņa ārstniecības iestādēs bija nepieciešami 1,9 milj. </w:t>
      </w:r>
      <w:r w:rsidRPr="00CA265F">
        <w:rPr>
          <w:i/>
        </w:rPr>
        <w:t>euro</w:t>
      </w:r>
      <w:r w:rsidRPr="00CA265F">
        <w:t xml:space="preserve">, 2019. gada faktiski apgūtais finansējums reformai 950 372 </w:t>
      </w:r>
      <w:r w:rsidRPr="00CA265F">
        <w:rPr>
          <w:i/>
        </w:rPr>
        <w:t>euro</w:t>
      </w:r>
      <w:r w:rsidRPr="00CA265F">
        <w:t xml:space="preserve">, tādējādi veidojot neizpildi </w:t>
      </w:r>
      <w:r w:rsidRPr="00CA265F">
        <w:rPr>
          <w:b/>
        </w:rPr>
        <w:t xml:space="preserve">938 163 </w:t>
      </w:r>
      <w:r w:rsidRPr="00CA265F">
        <w:rPr>
          <w:b/>
          <w:i/>
        </w:rPr>
        <w:t>euro</w:t>
      </w:r>
      <w:r w:rsidRPr="00CA265F">
        <w:t xml:space="preserve"> apmērā, 2020. gadā turpinot reformu par lielāku finansējumu 2,5 milj. </w:t>
      </w:r>
      <w:r w:rsidRPr="00CA265F">
        <w:rPr>
          <w:i/>
        </w:rPr>
        <w:t>euro</w:t>
      </w:r>
      <w:r w:rsidRPr="00CA265F">
        <w:t xml:space="preserve"> apmērā. Savukārt</w:t>
      </w:r>
      <w:r>
        <w:rPr>
          <w:b/>
        </w:rPr>
        <w:t xml:space="preserve"> </w:t>
      </w:r>
      <w:r>
        <w:t>s</w:t>
      </w:r>
      <w:r w:rsidRPr="00C33B26">
        <w:t>ubakūtās, ilgtermiņa un perinatālā periodā radušos stāvokļu medicīniskās rehabilitācijas pakalpojumu nodrošināšanai no 2019.</w:t>
      </w:r>
      <w:r>
        <w:t xml:space="preserve"> </w:t>
      </w:r>
      <w:r w:rsidRPr="00C33B26">
        <w:t>gada 1.</w:t>
      </w:r>
      <w:r>
        <w:t xml:space="preserve"> </w:t>
      </w:r>
      <w:r w:rsidRPr="00C33B26">
        <w:t>aprīļa</w:t>
      </w:r>
      <w:r>
        <w:t xml:space="preserve"> </w:t>
      </w:r>
      <w:r w:rsidRPr="00C33B26">
        <w:t xml:space="preserve">nepieciešami </w:t>
      </w:r>
      <w:r>
        <w:t xml:space="preserve">bija 1,9 milj. </w:t>
      </w:r>
      <w:r w:rsidRPr="00CA265F">
        <w:rPr>
          <w:i/>
        </w:rPr>
        <w:t>euro</w:t>
      </w:r>
      <w:r>
        <w:t>, no tiem faktiski apgūstot 1,8 milj.</w:t>
      </w:r>
      <w:r w:rsidRPr="00CA265F">
        <w:rPr>
          <w:i/>
        </w:rPr>
        <w:t xml:space="preserve"> euro</w:t>
      </w:r>
      <w:r>
        <w:t xml:space="preserve">, veidojot neizpildi </w:t>
      </w:r>
      <w:r w:rsidRPr="00CA265F">
        <w:rPr>
          <w:b/>
        </w:rPr>
        <w:t xml:space="preserve">185 870 </w:t>
      </w:r>
      <w:r w:rsidRPr="00CA265F">
        <w:rPr>
          <w:b/>
          <w:i/>
        </w:rPr>
        <w:t xml:space="preserve">euro </w:t>
      </w:r>
      <w:r>
        <w:t xml:space="preserve">apmērā. 2020. gadā reformas turpināšanai paredzēti 2,6 milj. </w:t>
      </w:r>
      <w:r w:rsidRPr="00CA265F">
        <w:rPr>
          <w:i/>
        </w:rPr>
        <w:t>euro</w:t>
      </w:r>
      <w:r>
        <w:t>. VM būtu jāpārskata piešķirtā finansējuma apmēru, lai nerastos tu</w:t>
      </w:r>
      <w:r w:rsidR="00D1111B">
        <w:t xml:space="preserve">rpmāka finansējuma neapgūšana. </w:t>
      </w:r>
    </w:p>
    <w:p w14:paraId="2638849E" w14:textId="77777777" w:rsidR="00EC52FF" w:rsidRPr="00172AAF" w:rsidRDefault="00EC52FF" w:rsidP="005505D0">
      <w:pPr>
        <w:spacing w:before="120" w:after="120" w:line="254" w:lineRule="auto"/>
        <w:ind w:firstLine="720"/>
        <w:jc w:val="both"/>
        <w:rPr>
          <w:b/>
          <w:i/>
        </w:rPr>
      </w:pPr>
      <w:r w:rsidRPr="00172AAF">
        <w:rPr>
          <w:rFonts w:eastAsia="Times New Roman"/>
          <w:b/>
          <w:i/>
          <w:lang w:eastAsia="lv-LV"/>
        </w:rPr>
        <w:t>Pieejamības uzlabošana</w:t>
      </w:r>
      <w:r w:rsidRPr="007C61FF">
        <w:rPr>
          <w:rFonts w:eastAsia="Times New Roman"/>
          <w:b/>
          <w:i/>
          <w:lang w:eastAsia="lv-LV"/>
        </w:rPr>
        <w:t xml:space="preserve"> dienas stacionāra pakalpojumi</w:t>
      </w:r>
      <w:r w:rsidRPr="00172AAF">
        <w:rPr>
          <w:rFonts w:eastAsia="Times New Roman"/>
          <w:b/>
          <w:i/>
          <w:lang w:eastAsia="lv-LV"/>
        </w:rPr>
        <w:t>em psihiskajā veselības aprūpē</w:t>
      </w:r>
    </w:p>
    <w:p w14:paraId="61446EDF" w14:textId="77777777" w:rsidR="00EC52FF" w:rsidRPr="00172AAF" w:rsidRDefault="00EC52FF" w:rsidP="005505D0">
      <w:pPr>
        <w:spacing w:before="120" w:after="120" w:line="254" w:lineRule="auto"/>
        <w:ind w:firstLine="720"/>
        <w:jc w:val="both"/>
      </w:pPr>
      <w:r>
        <w:t>Reformas iniciatīvas ieviešanai no 2019.gada 1. aprīļa</w:t>
      </w:r>
      <w:r w:rsidRPr="00C33B26">
        <w:t xml:space="preserve"> tika piešķirts finansējums 445 907 </w:t>
      </w:r>
      <w:r w:rsidRPr="00595AE9">
        <w:rPr>
          <w:i/>
        </w:rPr>
        <w:t>euro</w:t>
      </w:r>
      <w:r w:rsidRPr="00C33B26">
        <w:t xml:space="preserve"> </w:t>
      </w:r>
      <w:r>
        <w:t xml:space="preserve">apmērā, līdz 2019. gada beigām apgūstot </w:t>
      </w:r>
      <w:r w:rsidRPr="00172AAF">
        <w:rPr>
          <w:rFonts w:eastAsia="Times New Roman"/>
          <w:color w:val="000000"/>
          <w:lang w:eastAsia="lv-LV"/>
        </w:rPr>
        <w:t>387</w:t>
      </w:r>
      <w:r>
        <w:rPr>
          <w:rFonts w:eastAsia="Times New Roman"/>
          <w:color w:val="000000"/>
          <w:lang w:eastAsia="lv-LV"/>
        </w:rPr>
        <w:t xml:space="preserve"> </w:t>
      </w:r>
      <w:r w:rsidRPr="00172AAF">
        <w:rPr>
          <w:rFonts w:eastAsia="Times New Roman"/>
          <w:color w:val="000000"/>
          <w:lang w:eastAsia="lv-LV"/>
        </w:rPr>
        <w:t>114 </w:t>
      </w:r>
      <w:r w:rsidRPr="00172AAF">
        <w:rPr>
          <w:rFonts w:eastAsia="Times New Roman"/>
          <w:i/>
          <w:color w:val="000000"/>
          <w:lang w:eastAsia="lv-LV"/>
        </w:rPr>
        <w:t>euro</w:t>
      </w:r>
      <w:r>
        <w:rPr>
          <w:rFonts w:eastAsia="Times New Roman"/>
          <w:color w:val="000000"/>
          <w:lang w:eastAsia="lv-LV"/>
        </w:rPr>
        <w:t xml:space="preserve">, tādējādi veidojot neapgūto finansējumu </w:t>
      </w:r>
      <w:r w:rsidRPr="00172AAF">
        <w:rPr>
          <w:rFonts w:eastAsia="Times New Roman"/>
          <w:b/>
          <w:color w:val="000000"/>
          <w:lang w:eastAsia="lv-LV"/>
        </w:rPr>
        <w:t xml:space="preserve">58 793 </w:t>
      </w:r>
      <w:r w:rsidRPr="00172AAF">
        <w:rPr>
          <w:rFonts w:eastAsia="Times New Roman"/>
          <w:b/>
          <w:i/>
          <w:color w:val="000000"/>
          <w:lang w:eastAsia="lv-LV"/>
        </w:rPr>
        <w:t>euro</w:t>
      </w:r>
      <w:r>
        <w:rPr>
          <w:rFonts w:eastAsia="Times New Roman"/>
          <w:color w:val="000000"/>
          <w:lang w:eastAsia="lv-LV"/>
        </w:rPr>
        <w:t xml:space="preserve"> apmērā. </w:t>
      </w:r>
      <w:r>
        <w:t>2020. gadā d</w:t>
      </w:r>
      <w:r w:rsidRPr="00172AAF">
        <w:t xml:space="preserve">ienas stacionāra pakalpojumu psihiskajā veselības </w:t>
      </w:r>
      <w:r>
        <w:t xml:space="preserve">aprūpē pieejamības uzlabošanai paredzētais finansējums 594 537 </w:t>
      </w:r>
      <w:r w:rsidRPr="00172AAF">
        <w:rPr>
          <w:i/>
        </w:rPr>
        <w:t>euro</w:t>
      </w:r>
      <w:r>
        <w:t xml:space="preserve">. </w:t>
      </w:r>
    </w:p>
    <w:p w14:paraId="195E5A2C" w14:textId="77777777" w:rsidR="00EC52FF" w:rsidRPr="00172AAF" w:rsidRDefault="00EC52FF" w:rsidP="005505D0">
      <w:pPr>
        <w:spacing w:before="120" w:after="120" w:line="254" w:lineRule="auto"/>
        <w:ind w:firstLine="720"/>
        <w:jc w:val="both"/>
        <w:rPr>
          <w:rFonts w:eastAsia="Times New Roman"/>
          <w:b/>
          <w:i/>
          <w:color w:val="000000"/>
          <w:lang w:eastAsia="lv-LV"/>
        </w:rPr>
      </w:pPr>
      <w:r w:rsidRPr="00172AAF">
        <w:rPr>
          <w:rFonts w:eastAsia="Times New Roman"/>
          <w:b/>
          <w:i/>
          <w:color w:val="000000"/>
          <w:lang w:eastAsia="lv-LV"/>
        </w:rPr>
        <w:t xml:space="preserve">Nemedikamentozās ārstēšanas iespēju paplašināšana stacionārā </w:t>
      </w:r>
    </w:p>
    <w:p w14:paraId="53B618CF" w14:textId="77777777" w:rsidR="00EC52FF" w:rsidRPr="00C34CC2" w:rsidRDefault="00EC52FF" w:rsidP="005505D0">
      <w:pPr>
        <w:spacing w:before="120" w:after="120" w:line="254" w:lineRule="auto"/>
        <w:ind w:firstLine="720"/>
        <w:jc w:val="both"/>
        <w:rPr>
          <w:rFonts w:eastAsia="Times New Roman"/>
          <w:color w:val="000000"/>
          <w:lang w:eastAsia="lv-LV"/>
        </w:rPr>
      </w:pPr>
      <w:r>
        <w:rPr>
          <w:rFonts w:eastAsia="Times New Roman"/>
          <w:color w:val="000000"/>
          <w:lang w:eastAsia="lv-LV"/>
        </w:rPr>
        <w:t>2019. gadā m</w:t>
      </w:r>
      <w:r w:rsidRPr="00C34CC2">
        <w:rPr>
          <w:rFonts w:eastAsia="Times New Roman"/>
          <w:color w:val="000000"/>
          <w:lang w:eastAsia="lv-LV"/>
        </w:rPr>
        <w:t>ultiprofesionālas rehabilitācijas komandas darba nodrošināšana</w:t>
      </w:r>
      <w:r>
        <w:rPr>
          <w:rFonts w:eastAsia="Times New Roman"/>
          <w:color w:val="000000"/>
          <w:lang w:eastAsia="lv-LV"/>
        </w:rPr>
        <w:t>i</w:t>
      </w:r>
      <w:r w:rsidRPr="00C34CC2">
        <w:rPr>
          <w:rFonts w:eastAsia="Times New Roman"/>
          <w:color w:val="000000"/>
          <w:lang w:eastAsia="lv-LV"/>
        </w:rPr>
        <w:t xml:space="preserve"> stacionārā</w:t>
      </w:r>
      <w:r>
        <w:rPr>
          <w:rFonts w:eastAsia="Times New Roman"/>
          <w:color w:val="000000"/>
          <w:lang w:eastAsia="lv-LV"/>
        </w:rPr>
        <w:t xml:space="preserve"> tika paredzēti 628 831 </w:t>
      </w:r>
      <w:r w:rsidRPr="00C34CC2">
        <w:rPr>
          <w:rFonts w:eastAsia="Times New Roman"/>
          <w:i/>
          <w:color w:val="000000"/>
          <w:lang w:eastAsia="lv-LV"/>
        </w:rPr>
        <w:t>euro</w:t>
      </w:r>
      <w:r>
        <w:rPr>
          <w:rFonts w:eastAsia="Times New Roman"/>
          <w:color w:val="000000"/>
          <w:lang w:eastAsia="lv-LV"/>
        </w:rPr>
        <w:t xml:space="preserve">, faktiski apgūstot 465 544 </w:t>
      </w:r>
      <w:r w:rsidRPr="00C34CC2">
        <w:rPr>
          <w:rFonts w:eastAsia="Times New Roman"/>
          <w:i/>
          <w:color w:val="000000"/>
          <w:lang w:eastAsia="lv-LV"/>
        </w:rPr>
        <w:t>euro</w:t>
      </w:r>
      <w:r>
        <w:rPr>
          <w:rFonts w:eastAsia="Times New Roman"/>
          <w:color w:val="000000"/>
          <w:lang w:eastAsia="lv-LV"/>
        </w:rPr>
        <w:t xml:space="preserve">, veidojot neapgūto finansējumu </w:t>
      </w:r>
      <w:r w:rsidRPr="00C34CC2">
        <w:rPr>
          <w:rFonts w:eastAsia="Times New Roman"/>
          <w:b/>
          <w:color w:val="000000"/>
          <w:lang w:eastAsia="lv-LV"/>
        </w:rPr>
        <w:t>163</w:t>
      </w:r>
      <w:r>
        <w:rPr>
          <w:rFonts w:eastAsia="Times New Roman"/>
          <w:b/>
          <w:color w:val="000000"/>
          <w:lang w:eastAsia="lv-LV"/>
        </w:rPr>
        <w:t> 287 </w:t>
      </w:r>
      <w:r w:rsidRPr="00C34CC2">
        <w:rPr>
          <w:rFonts w:eastAsia="Times New Roman"/>
          <w:b/>
          <w:i/>
          <w:color w:val="000000"/>
          <w:lang w:eastAsia="lv-LV"/>
        </w:rPr>
        <w:t>euro</w:t>
      </w:r>
      <w:r w:rsidRPr="00C34CC2">
        <w:rPr>
          <w:rFonts w:eastAsia="Times New Roman"/>
          <w:b/>
          <w:color w:val="000000"/>
          <w:lang w:eastAsia="lv-LV"/>
        </w:rPr>
        <w:t xml:space="preserve"> </w:t>
      </w:r>
      <w:r>
        <w:rPr>
          <w:rFonts w:eastAsia="Times New Roman"/>
          <w:color w:val="000000"/>
          <w:lang w:eastAsia="lv-LV"/>
        </w:rPr>
        <w:t>apmērā, savukārt g</w:t>
      </w:r>
      <w:r w:rsidRPr="00C34CC2">
        <w:rPr>
          <w:rFonts w:eastAsia="Times New Roman"/>
          <w:color w:val="000000"/>
          <w:lang w:eastAsia="lv-LV"/>
        </w:rPr>
        <w:t>u</w:t>
      </w:r>
      <w:r>
        <w:rPr>
          <w:rFonts w:eastAsia="Times New Roman"/>
          <w:color w:val="000000"/>
          <w:lang w:eastAsia="lv-LV"/>
        </w:rPr>
        <w:t xml:space="preserve">ltasdienas izmaksu palielinājumam – tarifa pieaugumam paredzēti tika 2 529 491 </w:t>
      </w:r>
      <w:r w:rsidRPr="00C34CC2">
        <w:rPr>
          <w:rFonts w:eastAsia="Times New Roman"/>
          <w:i/>
          <w:color w:val="000000"/>
          <w:lang w:eastAsia="lv-LV"/>
        </w:rPr>
        <w:t>euro</w:t>
      </w:r>
      <w:r>
        <w:rPr>
          <w:rFonts w:eastAsia="Times New Roman"/>
          <w:color w:val="000000"/>
          <w:lang w:eastAsia="lv-LV"/>
        </w:rPr>
        <w:t xml:space="preserve">, ar faktisko finansējuma izlietojumu 2 500 702 </w:t>
      </w:r>
      <w:r w:rsidRPr="00C34CC2">
        <w:rPr>
          <w:rFonts w:eastAsia="Times New Roman"/>
          <w:i/>
          <w:color w:val="000000"/>
          <w:lang w:eastAsia="lv-LV"/>
        </w:rPr>
        <w:t>euro</w:t>
      </w:r>
      <w:r>
        <w:rPr>
          <w:rFonts w:eastAsia="Times New Roman"/>
          <w:color w:val="000000"/>
          <w:lang w:eastAsia="lv-LV"/>
        </w:rPr>
        <w:t xml:space="preserve">, tādējādi neapgūtais finansējums </w:t>
      </w:r>
      <w:r w:rsidRPr="00C34CC2">
        <w:rPr>
          <w:rFonts w:eastAsia="Times New Roman"/>
          <w:b/>
          <w:color w:val="000000"/>
          <w:lang w:eastAsia="lv-LV"/>
        </w:rPr>
        <w:t xml:space="preserve">28 789 </w:t>
      </w:r>
      <w:r w:rsidRPr="00C34CC2">
        <w:rPr>
          <w:rFonts w:eastAsia="Times New Roman"/>
          <w:b/>
          <w:i/>
          <w:color w:val="000000"/>
          <w:lang w:eastAsia="lv-LV"/>
        </w:rPr>
        <w:t>euro</w:t>
      </w:r>
      <w:r>
        <w:rPr>
          <w:rFonts w:eastAsia="Times New Roman"/>
          <w:color w:val="000000"/>
          <w:lang w:eastAsia="lv-LV"/>
        </w:rPr>
        <w:t xml:space="preserve"> apmērā. 2020. gadā m</w:t>
      </w:r>
      <w:r w:rsidRPr="00C34CC2">
        <w:rPr>
          <w:rFonts w:eastAsia="Times New Roman"/>
          <w:color w:val="000000"/>
          <w:lang w:eastAsia="lv-LV"/>
        </w:rPr>
        <w:t xml:space="preserve">ultiprofesionālas rehabilitācijas komandas darba nodrošināšana stacionārā </w:t>
      </w:r>
      <w:r>
        <w:rPr>
          <w:rFonts w:eastAsia="Times New Roman"/>
          <w:color w:val="000000"/>
          <w:lang w:eastAsia="lv-LV"/>
        </w:rPr>
        <w:t xml:space="preserve">paredzētais finansējums </w:t>
      </w:r>
      <w:r w:rsidRPr="00C34CC2">
        <w:rPr>
          <w:rFonts w:eastAsia="Times New Roman"/>
          <w:color w:val="000000"/>
          <w:lang w:eastAsia="lv-LV"/>
        </w:rPr>
        <w:t xml:space="preserve">416 421 </w:t>
      </w:r>
      <w:r w:rsidRPr="00C34CC2">
        <w:rPr>
          <w:rFonts w:eastAsia="Times New Roman"/>
          <w:i/>
          <w:color w:val="000000"/>
          <w:lang w:eastAsia="lv-LV"/>
        </w:rPr>
        <w:t>euro</w:t>
      </w:r>
      <w:r>
        <w:rPr>
          <w:rFonts w:eastAsia="Times New Roman"/>
          <w:color w:val="000000"/>
          <w:lang w:eastAsia="lv-LV"/>
        </w:rPr>
        <w:t>, papildus m</w:t>
      </w:r>
      <w:r w:rsidRPr="00C34CC2">
        <w:rPr>
          <w:rFonts w:eastAsia="Times New Roman"/>
          <w:color w:val="000000"/>
          <w:lang w:eastAsia="lv-LV"/>
        </w:rPr>
        <w:t>ultiprofesionālas rehabilitācijas komandas darba nodrošināšana stacionārā, nodrošināts stacionārās iestādēs, kurā</w:t>
      </w:r>
      <w:r>
        <w:rPr>
          <w:rFonts w:eastAsia="Times New Roman"/>
          <w:color w:val="000000"/>
          <w:lang w:eastAsia="lv-LV"/>
        </w:rPr>
        <w:t xml:space="preserve">s nodrošināts tāmes finansējums, ar papildus </w:t>
      </w:r>
      <w:r w:rsidRPr="00C34CC2">
        <w:rPr>
          <w:rFonts w:eastAsia="Times New Roman"/>
          <w:color w:val="000000"/>
          <w:lang w:eastAsia="lv-LV"/>
        </w:rPr>
        <w:t xml:space="preserve">40 205 </w:t>
      </w:r>
      <w:r w:rsidRPr="00C34CC2">
        <w:rPr>
          <w:rFonts w:eastAsia="Times New Roman"/>
          <w:i/>
          <w:color w:val="000000"/>
          <w:lang w:eastAsia="lv-LV"/>
        </w:rPr>
        <w:t>euro</w:t>
      </w:r>
      <w:r>
        <w:rPr>
          <w:rFonts w:eastAsia="Times New Roman"/>
          <w:color w:val="000000"/>
          <w:lang w:eastAsia="lv-LV"/>
        </w:rPr>
        <w:t xml:space="preserve"> finansējumu. </w:t>
      </w:r>
      <w:r w:rsidRPr="00C34CC2">
        <w:rPr>
          <w:rFonts w:eastAsia="Times New Roman"/>
          <w:color w:val="000000"/>
          <w:lang w:eastAsia="lv-LV"/>
        </w:rPr>
        <w:t xml:space="preserve">Gultasdienas izmaksu palielinājums </w:t>
      </w:r>
      <w:r>
        <w:rPr>
          <w:rFonts w:eastAsia="Times New Roman"/>
          <w:color w:val="000000"/>
          <w:lang w:eastAsia="lv-LV"/>
        </w:rPr>
        <w:t xml:space="preserve">2020. gadā paredzēts 4 milj. </w:t>
      </w:r>
      <w:r w:rsidRPr="00C34CC2">
        <w:rPr>
          <w:rFonts w:eastAsia="Times New Roman"/>
          <w:i/>
          <w:color w:val="000000"/>
          <w:lang w:eastAsia="lv-LV"/>
        </w:rPr>
        <w:t>euro</w:t>
      </w:r>
      <w:r>
        <w:rPr>
          <w:rFonts w:eastAsia="Times New Roman"/>
          <w:color w:val="000000"/>
          <w:lang w:eastAsia="lv-LV"/>
        </w:rPr>
        <w:t xml:space="preserve"> apmērā, papildus g</w:t>
      </w:r>
      <w:r w:rsidRPr="00C34CC2">
        <w:rPr>
          <w:rFonts w:eastAsia="Times New Roman"/>
          <w:color w:val="000000"/>
          <w:lang w:eastAsia="lv-LV"/>
        </w:rPr>
        <w:t xml:space="preserve">ultasdienas izmaksu palielinājums tāmes finansētās iestādēs </w:t>
      </w:r>
      <w:r>
        <w:rPr>
          <w:rFonts w:eastAsia="Times New Roman"/>
          <w:color w:val="000000"/>
          <w:lang w:eastAsia="lv-LV"/>
        </w:rPr>
        <w:t xml:space="preserve">paredzēts </w:t>
      </w:r>
      <w:r w:rsidRPr="00C34CC2">
        <w:rPr>
          <w:rFonts w:eastAsia="Times New Roman"/>
          <w:color w:val="000000"/>
          <w:lang w:eastAsia="lv-LV"/>
        </w:rPr>
        <w:t>823</w:t>
      </w:r>
      <w:r>
        <w:rPr>
          <w:rFonts w:eastAsia="Times New Roman"/>
          <w:color w:val="000000"/>
          <w:lang w:eastAsia="lv-LV"/>
        </w:rPr>
        <w:t> </w:t>
      </w:r>
      <w:r w:rsidRPr="00C34CC2">
        <w:rPr>
          <w:rFonts w:eastAsia="Times New Roman"/>
          <w:color w:val="000000"/>
          <w:lang w:eastAsia="lv-LV"/>
        </w:rPr>
        <w:t>201</w:t>
      </w:r>
      <w:r>
        <w:rPr>
          <w:rFonts w:eastAsia="Times New Roman"/>
          <w:color w:val="000000"/>
          <w:lang w:eastAsia="lv-LV"/>
        </w:rPr>
        <w:t xml:space="preserve"> </w:t>
      </w:r>
      <w:r w:rsidRPr="00C34CC2">
        <w:rPr>
          <w:rFonts w:eastAsia="Times New Roman"/>
          <w:i/>
          <w:color w:val="000000"/>
          <w:lang w:eastAsia="lv-LV"/>
        </w:rPr>
        <w:t xml:space="preserve">euro </w:t>
      </w:r>
      <w:r>
        <w:rPr>
          <w:rFonts w:eastAsia="Times New Roman"/>
          <w:color w:val="000000"/>
          <w:lang w:eastAsia="lv-LV"/>
        </w:rPr>
        <w:t xml:space="preserve">apmērā.  </w:t>
      </w:r>
    </w:p>
    <w:p w14:paraId="0BE29A57" w14:textId="77777777" w:rsidR="00EC52FF" w:rsidRPr="00E44C8B" w:rsidRDefault="00EC52FF" w:rsidP="005505D0">
      <w:pPr>
        <w:spacing w:before="120" w:after="120" w:line="254" w:lineRule="auto"/>
        <w:ind w:firstLine="720"/>
        <w:jc w:val="both"/>
        <w:rPr>
          <w:rFonts w:eastAsia="Times New Roman"/>
          <w:b/>
          <w:i/>
          <w:color w:val="000000"/>
          <w:lang w:eastAsia="lv-LV"/>
        </w:rPr>
      </w:pPr>
      <w:r w:rsidRPr="00E44C8B">
        <w:rPr>
          <w:rFonts w:eastAsia="Times New Roman"/>
          <w:b/>
          <w:i/>
          <w:color w:val="000000"/>
          <w:lang w:eastAsia="lv-LV"/>
        </w:rPr>
        <w:t xml:space="preserve">Pacientu observācijas līdz 24 stundām gultas izveidošana slimnīcām, kuras nodrošina akūto psihiatrisko ārstēšanu </w:t>
      </w:r>
    </w:p>
    <w:p w14:paraId="0F47A69E" w14:textId="026F0615" w:rsidR="00EC52FF" w:rsidRPr="00172AAF" w:rsidRDefault="00EC52FF" w:rsidP="005505D0">
      <w:pPr>
        <w:spacing w:before="120" w:after="120" w:line="254" w:lineRule="auto"/>
        <w:ind w:firstLine="720"/>
        <w:jc w:val="both"/>
      </w:pPr>
      <w:r w:rsidRPr="00C33B26">
        <w:t xml:space="preserve">Šim mērķim </w:t>
      </w:r>
      <w:r>
        <w:t>no 2019.</w:t>
      </w:r>
      <w:r w:rsidR="001B7640">
        <w:t xml:space="preserve"> </w:t>
      </w:r>
      <w:r>
        <w:t>gada 1. aprīļa</w:t>
      </w:r>
      <w:r w:rsidRPr="00C33B26">
        <w:t xml:space="preserve"> tika piešķirts finansējums</w:t>
      </w:r>
      <w:r w:rsidRPr="00C33B26" w:rsidDel="00D663E8">
        <w:t xml:space="preserve"> </w:t>
      </w:r>
      <w:r w:rsidRPr="00C33B26">
        <w:t xml:space="preserve">67 502 </w:t>
      </w:r>
      <w:r w:rsidRPr="00595AE9">
        <w:rPr>
          <w:i/>
        </w:rPr>
        <w:t>euro</w:t>
      </w:r>
      <w:r w:rsidRPr="00C33B26">
        <w:rPr>
          <w:b/>
        </w:rPr>
        <w:t xml:space="preserve"> </w:t>
      </w:r>
      <w:r>
        <w:t xml:space="preserve">apmērā – apgūts finansējums 66 378 </w:t>
      </w:r>
      <w:r w:rsidRPr="00E44C8B">
        <w:rPr>
          <w:i/>
        </w:rPr>
        <w:t>euro</w:t>
      </w:r>
      <w:r>
        <w:rPr>
          <w:i/>
        </w:rPr>
        <w:t xml:space="preserve"> </w:t>
      </w:r>
      <w:r>
        <w:t xml:space="preserve">apmērā, neapgūts finansējums </w:t>
      </w:r>
      <w:r w:rsidRPr="00440DF5">
        <w:rPr>
          <w:b/>
        </w:rPr>
        <w:t xml:space="preserve">1 124 </w:t>
      </w:r>
      <w:r w:rsidRPr="00440DF5">
        <w:rPr>
          <w:b/>
          <w:i/>
        </w:rPr>
        <w:t>euro</w:t>
      </w:r>
      <w:r>
        <w:t xml:space="preserve"> apmērā. 2020. gadā reformas iniciatīvas turpināšanai paredzēti 90 003 </w:t>
      </w:r>
      <w:r w:rsidRPr="00172AAF">
        <w:rPr>
          <w:i/>
        </w:rPr>
        <w:t>euro</w:t>
      </w:r>
      <w:r>
        <w:t xml:space="preserve"> apmērā. </w:t>
      </w:r>
    </w:p>
    <w:p w14:paraId="4ACFB8EA" w14:textId="77777777" w:rsidR="00EC52FF" w:rsidRPr="00464FFF" w:rsidRDefault="00EC52FF" w:rsidP="005505D0">
      <w:pPr>
        <w:spacing w:before="120" w:after="120" w:line="254" w:lineRule="auto"/>
        <w:ind w:firstLine="720"/>
        <w:jc w:val="both"/>
        <w:rPr>
          <w:rFonts w:eastAsia="Times New Roman"/>
          <w:b/>
          <w:i/>
          <w:color w:val="000000"/>
          <w:lang w:eastAsia="lv-LV"/>
        </w:rPr>
      </w:pPr>
      <w:r w:rsidRPr="00513A4A">
        <w:rPr>
          <w:rFonts w:eastAsia="Times New Roman"/>
          <w:b/>
          <w:i/>
          <w:color w:val="000000"/>
          <w:lang w:eastAsia="lv-LV"/>
        </w:rPr>
        <w:t>Iespēja stacionārā vecākiem atrasties kopā ar bērnu</w:t>
      </w:r>
      <w:r w:rsidRPr="00464FFF">
        <w:rPr>
          <w:rFonts w:eastAsia="Times New Roman"/>
          <w:b/>
          <w:i/>
          <w:color w:val="000000"/>
          <w:lang w:eastAsia="lv-LV"/>
        </w:rPr>
        <w:t xml:space="preserve"> (</w:t>
      </w:r>
      <w:r w:rsidRPr="00464FFF">
        <w:rPr>
          <w:b/>
          <w:i/>
        </w:rPr>
        <w:t xml:space="preserve">psihiskās veselības aprūpes uzlabošanas reformas ietvaros) </w:t>
      </w:r>
    </w:p>
    <w:p w14:paraId="1DF5C7B8" w14:textId="77777777" w:rsidR="00EC52FF" w:rsidRDefault="00EC52FF" w:rsidP="005505D0">
      <w:pPr>
        <w:spacing w:before="120" w:after="120" w:line="254" w:lineRule="auto"/>
        <w:ind w:firstLine="720"/>
        <w:jc w:val="both"/>
      </w:pPr>
      <w:r w:rsidRPr="00C33B26">
        <w:t xml:space="preserve">Šim mērķim </w:t>
      </w:r>
      <w:r>
        <w:t>no 2019. gada 1. aprīļa</w:t>
      </w:r>
      <w:r w:rsidRPr="00C33B26">
        <w:t xml:space="preserve"> tika piešķirts finansējums</w:t>
      </w:r>
      <w:r w:rsidRPr="00C33B26" w:rsidDel="00D663E8">
        <w:t xml:space="preserve"> </w:t>
      </w:r>
      <w:r w:rsidRPr="00C33B26">
        <w:t xml:space="preserve">10 515 </w:t>
      </w:r>
      <w:r w:rsidRPr="00595AE9">
        <w:rPr>
          <w:i/>
        </w:rPr>
        <w:t>euro</w:t>
      </w:r>
      <w:r w:rsidRPr="00C33B26">
        <w:rPr>
          <w:b/>
        </w:rPr>
        <w:t xml:space="preserve"> </w:t>
      </w:r>
      <w:r w:rsidRPr="00464FFF">
        <w:t>apmērā,</w:t>
      </w:r>
      <w:r>
        <w:rPr>
          <w:b/>
        </w:rPr>
        <w:t xml:space="preserve"> </w:t>
      </w:r>
      <w:r>
        <w:t xml:space="preserve">apgūtais finansējums 2019. gadā 1 740 </w:t>
      </w:r>
      <w:r w:rsidRPr="00464FFF">
        <w:rPr>
          <w:i/>
        </w:rPr>
        <w:t>euro</w:t>
      </w:r>
      <w:r>
        <w:t xml:space="preserve">, veidojot neapgūto finansējumu </w:t>
      </w:r>
      <w:r w:rsidRPr="00464FFF">
        <w:rPr>
          <w:b/>
        </w:rPr>
        <w:t xml:space="preserve">8 775 </w:t>
      </w:r>
      <w:r w:rsidRPr="00464FFF">
        <w:rPr>
          <w:b/>
          <w:i/>
        </w:rPr>
        <w:t>euro</w:t>
      </w:r>
      <w:r w:rsidRPr="00464FFF">
        <w:rPr>
          <w:b/>
        </w:rPr>
        <w:t xml:space="preserve"> </w:t>
      </w:r>
      <w:r>
        <w:t xml:space="preserve">apmērā. 2020. gadā reformas iniciatīvas turpināšanai paredzēti </w:t>
      </w:r>
      <w:r w:rsidRPr="00256100">
        <w:rPr>
          <w:rFonts w:eastAsia="Times New Roman"/>
          <w:bCs/>
          <w:color w:val="000000"/>
          <w:szCs w:val="20"/>
          <w:lang w:eastAsia="lv-LV"/>
        </w:rPr>
        <w:t xml:space="preserve">14 021 </w:t>
      </w:r>
      <w:r w:rsidRPr="00CF0E2F">
        <w:rPr>
          <w:rFonts w:eastAsia="Times New Roman"/>
          <w:i/>
          <w:color w:val="000000"/>
          <w:lang w:eastAsia="lv-LV"/>
        </w:rPr>
        <w:t>euro</w:t>
      </w:r>
      <w:r>
        <w:rPr>
          <w:rFonts w:eastAsia="Times New Roman"/>
          <w:color w:val="000000"/>
          <w:lang w:eastAsia="lv-LV"/>
        </w:rPr>
        <w:t>.</w:t>
      </w:r>
    </w:p>
    <w:p w14:paraId="78FBA818" w14:textId="77777777" w:rsidR="00EC52FF" w:rsidRDefault="00EC52FF" w:rsidP="005505D0">
      <w:pPr>
        <w:spacing w:before="120" w:after="120" w:line="254" w:lineRule="auto"/>
        <w:ind w:firstLine="720"/>
        <w:jc w:val="both"/>
        <w:rPr>
          <w:rFonts w:eastAsia="Times New Roman"/>
          <w:b/>
          <w:i/>
          <w:color w:val="000000"/>
          <w:lang w:eastAsia="lv-LV"/>
        </w:rPr>
      </w:pPr>
      <w:r w:rsidRPr="00513A4A">
        <w:rPr>
          <w:rFonts w:eastAsia="Times New Roman"/>
          <w:b/>
          <w:i/>
          <w:color w:val="000000"/>
          <w:lang w:eastAsia="lv-LV"/>
        </w:rPr>
        <w:t xml:space="preserve">Pilotprojekts “Pierādījumos balstīta jauniešu garīgās veselības sekundārās profilakses programma garastāvokļa un uzvedības traucējumu novēršanai un seku mazināšanai” </w:t>
      </w:r>
    </w:p>
    <w:p w14:paraId="696CA125" w14:textId="77777777" w:rsidR="00EC52FF" w:rsidRDefault="00EC52FF" w:rsidP="005505D0">
      <w:pPr>
        <w:spacing w:before="120" w:after="120" w:line="254" w:lineRule="auto"/>
        <w:ind w:firstLine="720"/>
        <w:jc w:val="both"/>
        <w:rPr>
          <w:rFonts w:eastAsia="Times New Roman"/>
          <w:color w:val="000000"/>
          <w:lang w:eastAsia="lv-LV"/>
        </w:rPr>
      </w:pPr>
      <w:r w:rsidRPr="00CF0E2F">
        <w:rPr>
          <w:rFonts w:eastAsia="Times New Roman"/>
          <w:color w:val="000000"/>
          <w:lang w:eastAsia="lv-LV"/>
        </w:rPr>
        <w:t>VM norāda, ka</w:t>
      </w:r>
      <w:r w:rsidRPr="00CF0E2F">
        <w:rPr>
          <w:rFonts w:eastAsia="Times New Roman"/>
          <w:b/>
          <w:i/>
          <w:color w:val="000000"/>
          <w:lang w:eastAsia="lv-LV"/>
        </w:rPr>
        <w:t xml:space="preserve"> </w:t>
      </w:r>
      <w:r w:rsidRPr="00CF0E2F">
        <w:t>pilotprojekta īstenošana 2019.</w:t>
      </w:r>
      <w:r>
        <w:t xml:space="preserve"> </w:t>
      </w:r>
      <w:r w:rsidRPr="00CF0E2F">
        <w:t xml:space="preserve">gada pirmajā pusgadā vēl netika uzsākta, jo skolēnu vasaras brīvlaikā bija apgrūtināta pusaudžu koordinēšana un nebija iespējams nokomplektēt pusaudžu grupas. No 2019. gada 1. aprīļa tika paredzēts finansējums 83 594 </w:t>
      </w:r>
      <w:r w:rsidRPr="00CF0E2F">
        <w:rPr>
          <w:i/>
        </w:rPr>
        <w:t>euro</w:t>
      </w:r>
      <w:r w:rsidRPr="00CF0E2F">
        <w:rPr>
          <w:b/>
          <w:i/>
        </w:rPr>
        <w:t xml:space="preserve"> </w:t>
      </w:r>
      <w:r w:rsidRPr="00CF0E2F">
        <w:lastRenderedPageBreak/>
        <w:t>apmērā, tomēr</w:t>
      </w:r>
      <w:r w:rsidRPr="00CF0E2F">
        <w:rPr>
          <w:b/>
        </w:rPr>
        <w:t xml:space="preserve"> </w:t>
      </w:r>
      <w:r w:rsidRPr="00CF0E2F">
        <w:t>faktiski līdz 2019.</w:t>
      </w:r>
      <w:r>
        <w:t xml:space="preserve"> </w:t>
      </w:r>
      <w:r w:rsidRPr="00CF0E2F">
        <w:t xml:space="preserve">gada beigām tika izlietoti 26 928 </w:t>
      </w:r>
      <w:r w:rsidRPr="00CF0E2F">
        <w:rPr>
          <w:i/>
          <w:iCs/>
        </w:rPr>
        <w:t>euro</w:t>
      </w:r>
      <w:r w:rsidRPr="00CF0E2F">
        <w:t xml:space="preserve">. Ietaupījums </w:t>
      </w:r>
      <w:r>
        <w:rPr>
          <w:b/>
        </w:rPr>
        <w:t>56 666 </w:t>
      </w:r>
      <w:r w:rsidRPr="00CF0E2F">
        <w:rPr>
          <w:b/>
          <w:i/>
        </w:rPr>
        <w:t>euro</w:t>
      </w:r>
      <w:r w:rsidRPr="00CF0E2F">
        <w:t xml:space="preserve"> apmērā radies tādēļ, ka Pusaudžu resursu centrs darbību ir uzsācis septembra vidū, kā rezultātā ir izveidojies ietaupījums uz telpu nomas un uzturēšanas izdevumu rēķina, kā arī administrēšanas izmaksām. Savukārt pakalpojumu organizēšanas pozīcijās tika maksāts pēc fakta - pēc sniegto konsultāciju un nodarbību kopējā skaita konkrētajā kalendārajā mēnesī, un konkrēto nepieciešamo konsultāciju un nodarbību skaitu varēja noteikt tikai jau strādājot ar klientu, atkarībā no tā individuālām vajadzībām.</w:t>
      </w:r>
      <w:r>
        <w:t xml:space="preserve"> 2020. gadā reformas iniciatīvas turpināšanai paredzēti </w:t>
      </w:r>
      <w:r w:rsidRPr="00CF0E2F">
        <w:rPr>
          <w:rFonts w:eastAsia="Times New Roman"/>
          <w:color w:val="000000"/>
          <w:lang w:eastAsia="lv-LV"/>
        </w:rPr>
        <w:t xml:space="preserve">89 116 </w:t>
      </w:r>
      <w:r w:rsidRPr="00CF0E2F">
        <w:rPr>
          <w:rFonts w:eastAsia="Times New Roman"/>
          <w:i/>
          <w:color w:val="000000"/>
          <w:lang w:eastAsia="lv-LV"/>
        </w:rPr>
        <w:t>euro</w:t>
      </w:r>
      <w:r>
        <w:rPr>
          <w:rFonts w:eastAsia="Times New Roman"/>
          <w:color w:val="000000"/>
          <w:lang w:eastAsia="lv-LV"/>
        </w:rPr>
        <w:t xml:space="preserve">. </w:t>
      </w:r>
    </w:p>
    <w:p w14:paraId="076EEF2C" w14:textId="77777777" w:rsidR="00EC52FF" w:rsidRDefault="00EC52FF" w:rsidP="005505D0">
      <w:pPr>
        <w:spacing w:before="120" w:after="120" w:line="254" w:lineRule="auto"/>
        <w:ind w:firstLine="720"/>
        <w:jc w:val="both"/>
        <w:rPr>
          <w:rFonts w:eastAsia="Times New Roman"/>
          <w:b/>
          <w:i/>
          <w:color w:val="000000"/>
          <w:lang w:eastAsia="lv-LV"/>
        </w:rPr>
      </w:pPr>
      <w:r w:rsidRPr="00513A4A">
        <w:rPr>
          <w:rFonts w:eastAsia="Times New Roman"/>
          <w:b/>
          <w:i/>
          <w:color w:val="000000"/>
          <w:lang w:eastAsia="lv-LV"/>
        </w:rPr>
        <w:t xml:space="preserve">Zāļu kompensācija pacientiem diagnožu grupā “Psihiski un uzvedības traucējumi” </w:t>
      </w:r>
    </w:p>
    <w:p w14:paraId="45DA1F96" w14:textId="77777777" w:rsidR="00EC52FF" w:rsidRPr="00722B1E" w:rsidRDefault="00EC52FF" w:rsidP="005505D0">
      <w:pPr>
        <w:spacing w:before="120" w:after="120" w:line="254" w:lineRule="auto"/>
        <w:ind w:firstLine="720"/>
        <w:jc w:val="both"/>
        <w:rPr>
          <w:rFonts w:eastAsia="Times New Roman"/>
          <w:sz w:val="22"/>
          <w:szCs w:val="22"/>
          <w:lang w:eastAsia="lv-LV"/>
        </w:rPr>
      </w:pPr>
      <w:r w:rsidRPr="00722B1E">
        <w:rPr>
          <w:bCs/>
        </w:rPr>
        <w:t xml:space="preserve">Zāļu kompensācijai pacientiem diagnožu grupā “Psihiski un uzvedības traucējumi” no 2019. gada 1. aprīļa paredzētais finansējums 1,2 milj. </w:t>
      </w:r>
      <w:r w:rsidRPr="00722B1E">
        <w:rPr>
          <w:bCs/>
          <w:i/>
        </w:rPr>
        <w:t>euro</w:t>
      </w:r>
      <w:r w:rsidRPr="00722B1E">
        <w:rPr>
          <w:bCs/>
        </w:rPr>
        <w:t xml:space="preserve"> apmērā, no tiem faktiski apgūstot 603 523</w:t>
      </w:r>
      <w:r w:rsidRPr="00722B1E">
        <w:rPr>
          <w:bCs/>
          <w:i/>
        </w:rPr>
        <w:t xml:space="preserve"> euro</w:t>
      </w:r>
      <w:r w:rsidRPr="00722B1E">
        <w:rPr>
          <w:bCs/>
        </w:rPr>
        <w:t xml:space="preserve">, veidojot neapgūto finansējumu </w:t>
      </w:r>
      <w:r w:rsidRPr="00722B1E">
        <w:rPr>
          <w:b/>
          <w:bCs/>
        </w:rPr>
        <w:t xml:space="preserve">639 044 </w:t>
      </w:r>
      <w:r w:rsidRPr="00722B1E">
        <w:rPr>
          <w:b/>
          <w:bCs/>
          <w:i/>
        </w:rPr>
        <w:t>euro</w:t>
      </w:r>
      <w:r w:rsidRPr="00722B1E">
        <w:rPr>
          <w:bCs/>
        </w:rPr>
        <w:t xml:space="preserve"> apmērā. 2020. </w:t>
      </w:r>
      <w:r w:rsidRPr="00722B1E">
        <w:t xml:space="preserve">gadā reformas iniciatīvas turpināšanai paredzēti 1,7 milj. </w:t>
      </w:r>
      <w:r w:rsidRPr="00722B1E">
        <w:rPr>
          <w:i/>
        </w:rPr>
        <w:t>euro</w:t>
      </w:r>
      <w:r w:rsidRPr="00722B1E">
        <w:t xml:space="preserve">. </w:t>
      </w:r>
    </w:p>
    <w:p w14:paraId="5BFA8499" w14:textId="77777777" w:rsidR="00EC52FF" w:rsidRDefault="00EC52FF" w:rsidP="005505D0">
      <w:pPr>
        <w:spacing w:before="120" w:after="120" w:line="254" w:lineRule="auto"/>
        <w:ind w:firstLine="720"/>
        <w:jc w:val="both"/>
        <w:rPr>
          <w:rFonts w:eastAsia="Times New Roman"/>
          <w:b/>
          <w:i/>
          <w:color w:val="000000"/>
          <w:lang w:eastAsia="lv-LV"/>
        </w:rPr>
      </w:pPr>
      <w:r w:rsidRPr="002621A3">
        <w:rPr>
          <w:rFonts w:eastAsia="Times New Roman"/>
          <w:b/>
          <w:i/>
          <w:color w:val="000000"/>
          <w:lang w:eastAsia="lv-LV"/>
        </w:rPr>
        <w:t>Pirmreizējo un sekundāro diagnostikas izmeklējumiem nepieciešamo iekārtu 2019.</w:t>
      </w:r>
      <w:r>
        <w:rPr>
          <w:rFonts w:eastAsia="Times New Roman"/>
          <w:b/>
          <w:i/>
          <w:color w:val="000000"/>
          <w:lang w:eastAsia="lv-LV"/>
        </w:rPr>
        <w:t xml:space="preserve"> </w:t>
      </w:r>
      <w:r w:rsidRPr="002621A3">
        <w:rPr>
          <w:rFonts w:eastAsia="Times New Roman"/>
          <w:b/>
          <w:i/>
          <w:color w:val="000000"/>
          <w:lang w:eastAsia="lv-LV"/>
        </w:rPr>
        <w:t xml:space="preserve">gada </w:t>
      </w:r>
    </w:p>
    <w:p w14:paraId="34BDC9E2" w14:textId="77777777" w:rsidR="00EC52FF" w:rsidRPr="002621A3" w:rsidRDefault="00EC52FF" w:rsidP="005505D0">
      <w:pPr>
        <w:spacing w:before="120" w:after="120" w:line="254" w:lineRule="auto"/>
        <w:ind w:firstLine="720"/>
        <w:jc w:val="both"/>
      </w:pPr>
      <w:r w:rsidRPr="002621A3">
        <w:t xml:space="preserve">Reformas iniciatīvai 2019. gadā tika paredzēti </w:t>
      </w:r>
      <w:r w:rsidRPr="00593D80">
        <w:t xml:space="preserve">6 187 550 </w:t>
      </w:r>
      <w:r w:rsidRPr="00593D80">
        <w:rPr>
          <w:i/>
        </w:rPr>
        <w:t>euro</w:t>
      </w:r>
      <w:r w:rsidRPr="00EA4DFF">
        <w:t>,</w:t>
      </w:r>
      <w:r w:rsidRPr="002621A3">
        <w:rPr>
          <w:b/>
          <w:i/>
        </w:rPr>
        <w:t xml:space="preserve"> </w:t>
      </w:r>
      <w:r w:rsidRPr="002621A3">
        <w:t>atbilstoši 2019.</w:t>
      </w:r>
      <w:r>
        <w:t xml:space="preserve"> </w:t>
      </w:r>
      <w:r w:rsidRPr="002621A3">
        <w:t xml:space="preserve">gada izpildei pirmreizējo un sekundāro diagnostikas izmeklējumu veikšanai nepieciešamo iekārtu iegādei tika novirzīti 6 185 747 </w:t>
      </w:r>
      <w:r w:rsidRPr="002621A3">
        <w:rPr>
          <w:i/>
          <w:iCs/>
        </w:rPr>
        <w:t>euro</w:t>
      </w:r>
      <w:r w:rsidRPr="002621A3">
        <w:t xml:space="preserve">. </w:t>
      </w:r>
      <w:r w:rsidRPr="002621A3">
        <w:rPr>
          <w:lang w:bidi="lo-LA"/>
        </w:rPr>
        <w:t>VM ir norādījusi, ka kopējā līdzekļu ekonomija</w:t>
      </w:r>
      <w:r w:rsidRPr="002621A3">
        <w:rPr>
          <w:b/>
          <w:lang w:bidi="lo-LA"/>
        </w:rPr>
        <w:t xml:space="preserve"> 1</w:t>
      </w:r>
      <w:r>
        <w:rPr>
          <w:b/>
          <w:lang w:bidi="lo-LA"/>
        </w:rPr>
        <w:t> 803 </w:t>
      </w:r>
      <w:r w:rsidRPr="002621A3">
        <w:rPr>
          <w:b/>
          <w:i/>
          <w:lang w:bidi="lo-LA"/>
        </w:rPr>
        <w:t xml:space="preserve">euro  </w:t>
      </w:r>
      <w:r w:rsidRPr="002621A3">
        <w:rPr>
          <w:lang w:bidi="lo-LA"/>
        </w:rPr>
        <w:t xml:space="preserve">apmērā tika atmaksāta Valsts budžetā. FM norāda, ka šāda redakcija </w:t>
      </w:r>
      <w:r w:rsidRPr="00EA4DFF">
        <w:rPr>
          <w:lang w:bidi="lo-LA"/>
        </w:rPr>
        <w:t>VM ziņojumā būtu precizējama, ņemot vērā, ka nav saprotams kā minētais fakts ir noticis</w:t>
      </w:r>
      <w:r w:rsidRPr="002621A3">
        <w:rPr>
          <w:lang w:bidi="lo-LA"/>
        </w:rPr>
        <w:t xml:space="preserve">, līdz ar to 1 803 </w:t>
      </w:r>
      <w:r w:rsidRPr="002621A3">
        <w:rPr>
          <w:i/>
          <w:lang w:bidi="lo-LA"/>
        </w:rPr>
        <w:t xml:space="preserve">euro </w:t>
      </w:r>
      <w:r w:rsidRPr="002621A3">
        <w:rPr>
          <w:lang w:bidi="lo-LA"/>
        </w:rPr>
        <w:t xml:space="preserve">ir pieejamie VM budžeta līdzekļi.  </w:t>
      </w:r>
      <w:r w:rsidRPr="002621A3">
        <w:t xml:space="preserve"> </w:t>
      </w:r>
    </w:p>
    <w:p w14:paraId="6FF6B6F2" w14:textId="77777777" w:rsidR="00EC52FF" w:rsidRPr="002621A3" w:rsidRDefault="00EC52FF" w:rsidP="005505D0">
      <w:pPr>
        <w:spacing w:before="120" w:after="120" w:line="254" w:lineRule="auto"/>
        <w:ind w:firstLine="720"/>
        <w:jc w:val="both"/>
        <w:rPr>
          <w:rFonts w:eastAsia="Times New Roman"/>
          <w:b/>
          <w:i/>
          <w:color w:val="000000"/>
          <w:lang w:eastAsia="lv-LV"/>
        </w:rPr>
      </w:pPr>
      <w:r w:rsidRPr="002621A3">
        <w:rPr>
          <w:rFonts w:eastAsia="Times New Roman"/>
          <w:b/>
          <w:i/>
          <w:color w:val="000000"/>
          <w:lang w:eastAsia="lv-LV"/>
        </w:rPr>
        <w:t>Kaulu allotransplantātu medicīnisko ierīču iegādes 2019.</w:t>
      </w:r>
      <w:r>
        <w:rPr>
          <w:rFonts w:eastAsia="Times New Roman"/>
          <w:b/>
          <w:i/>
          <w:color w:val="000000"/>
          <w:lang w:eastAsia="lv-LV"/>
        </w:rPr>
        <w:t xml:space="preserve"> </w:t>
      </w:r>
      <w:r w:rsidRPr="002621A3">
        <w:rPr>
          <w:rFonts w:eastAsia="Times New Roman"/>
          <w:b/>
          <w:i/>
          <w:color w:val="000000"/>
          <w:lang w:eastAsia="lv-LV"/>
        </w:rPr>
        <w:t>gada izpilde</w:t>
      </w:r>
    </w:p>
    <w:p w14:paraId="66D54591" w14:textId="534FAB33" w:rsidR="00F130C6" w:rsidRPr="00047287" w:rsidRDefault="00EC52FF" w:rsidP="00047287">
      <w:pPr>
        <w:spacing w:before="120" w:after="120" w:line="254" w:lineRule="auto"/>
        <w:ind w:firstLine="720"/>
        <w:jc w:val="both"/>
        <w:rPr>
          <w:rFonts w:eastAsia="Times New Roman"/>
          <w:color w:val="000000"/>
          <w:lang w:eastAsia="lv-LV"/>
        </w:rPr>
      </w:pPr>
      <w:r>
        <w:t>Reformas iniciatīvai 2019. gadā tika paredzēti 99 </w:t>
      </w:r>
      <w:r w:rsidR="00BB6B9E">
        <w:t>9</w:t>
      </w:r>
      <w:r>
        <w:t xml:space="preserve">00 </w:t>
      </w:r>
      <w:r w:rsidRPr="002621A3">
        <w:rPr>
          <w:i/>
        </w:rPr>
        <w:t>euro</w:t>
      </w:r>
      <w:r>
        <w:t xml:space="preserve">, no tiem apgūti 20 888 </w:t>
      </w:r>
      <w:r w:rsidRPr="002621A3">
        <w:rPr>
          <w:i/>
        </w:rPr>
        <w:t>euro</w:t>
      </w:r>
      <w:r>
        <w:t xml:space="preserve">, veidojot neapgūto finansējumu </w:t>
      </w:r>
      <w:r w:rsidRPr="002621A3">
        <w:rPr>
          <w:b/>
        </w:rPr>
        <w:t xml:space="preserve">79 012 </w:t>
      </w:r>
      <w:r w:rsidRPr="002621A3">
        <w:rPr>
          <w:b/>
          <w:i/>
        </w:rPr>
        <w:t>euro</w:t>
      </w:r>
      <w:r>
        <w:t xml:space="preserve"> apmērā. V</w:t>
      </w:r>
      <w:r>
        <w:rPr>
          <w:rFonts w:eastAsia="Times New Roman"/>
          <w:color w:val="000000"/>
          <w:lang w:eastAsia="lv-LV"/>
        </w:rPr>
        <w:t xml:space="preserve">M ir norādījusi, ka paredzētais finansējums atrodas slimnīcas kontā un tiks izmantos atbilstoši mērķim, līdz ar to VM jāturpina uzraudzīt izlietotā finansējuma apjomu un atbilstību mērķim. </w:t>
      </w:r>
    </w:p>
    <w:p w14:paraId="1EDABBFF" w14:textId="77777777" w:rsidR="00EC52FF" w:rsidRPr="002621A3" w:rsidRDefault="00EC52FF" w:rsidP="005505D0">
      <w:pPr>
        <w:spacing w:before="120" w:after="120" w:line="254" w:lineRule="auto"/>
        <w:ind w:firstLine="720"/>
        <w:jc w:val="both"/>
        <w:rPr>
          <w:rFonts w:eastAsia="Times New Roman"/>
          <w:b/>
          <w:i/>
          <w:color w:val="000000"/>
          <w:lang w:eastAsia="lv-LV"/>
        </w:rPr>
      </w:pPr>
      <w:r w:rsidRPr="002621A3">
        <w:rPr>
          <w:rFonts w:eastAsia="Times New Roman"/>
          <w:b/>
          <w:i/>
          <w:color w:val="000000"/>
          <w:lang w:eastAsia="lv-LV"/>
        </w:rPr>
        <w:t xml:space="preserve">RAKUS tīrtelpa </w:t>
      </w:r>
    </w:p>
    <w:p w14:paraId="486AE3D4" w14:textId="47CA8BFD" w:rsidR="00EC52FF" w:rsidRDefault="00EC52FF" w:rsidP="005505D0">
      <w:pPr>
        <w:spacing w:before="120" w:after="120" w:line="254" w:lineRule="auto"/>
        <w:ind w:firstLine="720"/>
        <w:jc w:val="both"/>
      </w:pPr>
      <w:r>
        <w:t>VM informē, ka a</w:t>
      </w:r>
      <w:r w:rsidRPr="00C33B26">
        <w:t>tbilstoši pārdales ziņojumam, lai izveidotu RAKUS tīrtelpu tika piešķirti 583 704</w:t>
      </w:r>
      <w:r>
        <w:t xml:space="preserve"> </w:t>
      </w:r>
      <w:r w:rsidRPr="00595AE9">
        <w:rPr>
          <w:i/>
        </w:rPr>
        <w:t>euro</w:t>
      </w:r>
      <w:r w:rsidRPr="00C33B26">
        <w:t>. Ņemot vērā, ka nepieciešamais finansējums tika piešķirts tikai 2019.</w:t>
      </w:r>
      <w:r>
        <w:t xml:space="preserve"> </w:t>
      </w:r>
      <w:r w:rsidRPr="00C33B26">
        <w:t>gada beigās, tīrtelpa tiks izveidota līdz 2020.</w:t>
      </w:r>
      <w:r>
        <w:t xml:space="preserve"> </w:t>
      </w:r>
      <w:r w:rsidRPr="00C33B26">
        <w:t>gada beigām</w:t>
      </w:r>
      <w:r>
        <w:t xml:space="preserve">. Līdz ar to </w:t>
      </w:r>
      <w:r w:rsidRPr="009605FF">
        <w:rPr>
          <w:b/>
        </w:rPr>
        <w:t xml:space="preserve">583 704 </w:t>
      </w:r>
      <w:r w:rsidRPr="009605FF">
        <w:rPr>
          <w:b/>
          <w:i/>
        </w:rPr>
        <w:t>euro</w:t>
      </w:r>
      <w:r>
        <w:t xml:space="preserve"> no 2019. gada </w:t>
      </w:r>
      <w:r w:rsidRPr="0029448D">
        <w:t xml:space="preserve">uzskatāmi par </w:t>
      </w:r>
      <w:r>
        <w:t xml:space="preserve">neapgūtajiem līdzekļiem. </w:t>
      </w:r>
    </w:p>
    <w:p w14:paraId="40694CB7" w14:textId="78857D80" w:rsidR="00D30CF0" w:rsidRPr="00083858" w:rsidRDefault="00D30CF0" w:rsidP="00083858">
      <w:pPr>
        <w:spacing w:before="120" w:after="120" w:line="254" w:lineRule="auto"/>
        <w:jc w:val="both"/>
        <w:rPr>
          <w:rFonts w:cs="Times New Roman"/>
          <w:color w:val="000000"/>
          <w:shd w:val="clear" w:color="auto" w:fill="FFFFFF"/>
        </w:rPr>
      </w:pPr>
      <w:r>
        <w:rPr>
          <w:rFonts w:cs="Times New Roman"/>
          <w:color w:val="000000"/>
          <w:shd w:val="clear" w:color="auto" w:fill="FFFFFF"/>
        </w:rPr>
        <w:t xml:space="preserve">Atbilstoši VM sniegtajai informācijai, VM, </w:t>
      </w:r>
      <w:r w:rsidRPr="00D30CF0">
        <w:rPr>
          <w:rFonts w:cs="Times New Roman"/>
          <w:color w:val="000000"/>
          <w:shd w:val="clear" w:color="auto" w:fill="FFFFFF"/>
        </w:rPr>
        <w:t>lai nodrošinātu nepieciešamās reformas veselības aprūpes pakalpojumu pieejamības uzlabošanai 2019.gadā, sagatavoja un  Ministru kabineta 2019.gada</w:t>
      </w:r>
      <w:r>
        <w:rPr>
          <w:rFonts w:cs="Times New Roman"/>
          <w:color w:val="000000"/>
          <w:shd w:val="clear" w:color="auto" w:fill="FFFFFF"/>
        </w:rPr>
        <w:t xml:space="preserve"> 3.decembra sēdē tika izskatīts </w:t>
      </w:r>
      <w:r w:rsidRPr="00D30CF0">
        <w:rPr>
          <w:rFonts w:cs="Times New Roman"/>
          <w:color w:val="000000"/>
          <w:shd w:val="clear" w:color="auto" w:fill="FFFFFF"/>
        </w:rPr>
        <w:t>un atbalstīts informatīvais ziņojums </w:t>
      </w:r>
      <w:r>
        <w:rPr>
          <w:rFonts w:cs="Times New Roman"/>
          <w:color w:val="000000"/>
          <w:shd w:val="clear" w:color="auto" w:fill="FFFFFF"/>
        </w:rPr>
        <w:t>“</w:t>
      </w:r>
      <w:r w:rsidRPr="00D30CF0">
        <w:rPr>
          <w:rFonts w:cs="Times New Roman"/>
          <w:color w:val="000000"/>
          <w:shd w:val="clear" w:color="auto" w:fill="FFFFFF"/>
        </w:rPr>
        <w:t>Par atsevišķu veselības aprūpes pakalpojumu sniegšanas izpildi un plānotajiem pasākumiem veselības nozares reformu turpināšanai</w:t>
      </w:r>
      <w:r>
        <w:rPr>
          <w:rFonts w:cs="Times New Roman"/>
          <w:color w:val="000000"/>
          <w:shd w:val="clear" w:color="auto" w:fill="FFFFFF"/>
        </w:rPr>
        <w:t>”</w:t>
      </w:r>
      <w:r w:rsidRPr="00D30CF0">
        <w:rPr>
          <w:rFonts w:cs="Times New Roman"/>
          <w:color w:val="000000"/>
          <w:shd w:val="clear" w:color="auto" w:fill="FFFFFF"/>
        </w:rPr>
        <w:t xml:space="preserve"> (prot.56 30.§), kurā tika iezīmētas galvenās pakalpojumu izpildes/neizpildes tendences 2019.gadā, kā rezultātā tika mainīta plānotā finansējumu struktūra novirzot to tiem veselības aprūpes reformas pasākumiem, kuriem tika plānota pakalpojuma apguve virs iepriekš plānotā, novirzot nepieciešamo finansējumu no pasākumiem, kuriem dažādu iemeslu dēļ bija radusies neizpilde. Finansējuma pārdales rezultātā starp pasākumiem lielākās pozīcijās, kurās neatliekami bija nepieciešams un tika pārdalīts papildus finansējums veselības reformas pasākumu ietvaros bija: papildus 1</w:t>
      </w:r>
      <w:r>
        <w:rPr>
          <w:rFonts w:cs="Times New Roman"/>
          <w:color w:val="000000"/>
          <w:shd w:val="clear" w:color="auto" w:fill="FFFFFF"/>
        </w:rPr>
        <w:t> </w:t>
      </w:r>
      <w:r w:rsidRPr="00D30CF0">
        <w:rPr>
          <w:rFonts w:cs="Times New Roman"/>
          <w:color w:val="000000"/>
          <w:shd w:val="clear" w:color="auto" w:fill="FFFFFF"/>
        </w:rPr>
        <w:t xml:space="preserve">231 onkoloģijas pacientiem kompensējamie medikamenti par kopējo papildus finansējumu 825 252 </w:t>
      </w:r>
      <w:r w:rsidRPr="00D30CF0">
        <w:rPr>
          <w:rFonts w:cs="Times New Roman"/>
          <w:i/>
          <w:color w:val="000000"/>
          <w:shd w:val="clear" w:color="auto" w:fill="FFFFFF"/>
        </w:rPr>
        <w:t>euro</w:t>
      </w:r>
      <w:r w:rsidRPr="00D30CF0">
        <w:rPr>
          <w:rFonts w:cs="Times New Roman"/>
          <w:color w:val="000000"/>
          <w:shd w:val="clear" w:color="auto" w:fill="FFFFFF"/>
        </w:rPr>
        <w:t xml:space="preserve">, papildus 14 766 pacientiem zāļu kompensācijai diagnožu grupā “Asinsrites </w:t>
      </w:r>
      <w:r w:rsidRPr="00D30CF0">
        <w:rPr>
          <w:rFonts w:cs="Times New Roman"/>
          <w:color w:val="000000"/>
          <w:shd w:val="clear" w:color="auto" w:fill="FFFFFF"/>
        </w:rPr>
        <w:lastRenderedPageBreak/>
        <w:t xml:space="preserve">sistēmas slimības” par kopējo papildus finansējumu 1 596 584 </w:t>
      </w:r>
      <w:r w:rsidRPr="00D30CF0">
        <w:rPr>
          <w:rFonts w:cs="Times New Roman"/>
          <w:i/>
          <w:color w:val="000000"/>
          <w:shd w:val="clear" w:color="auto" w:fill="FFFFFF"/>
        </w:rPr>
        <w:t>euro</w:t>
      </w:r>
      <w:r w:rsidRPr="00D30CF0">
        <w:rPr>
          <w:rFonts w:cs="Times New Roman"/>
          <w:color w:val="000000"/>
          <w:shd w:val="clear" w:color="auto" w:fill="FFFFFF"/>
        </w:rPr>
        <w:t>, papildus 27 120 pacientiem speciālistu konsultācijas atbilstoši noteiktajiem algoritmiem onkoloģisko pacientu ārstēšanai par kopējo papildus finansējumu 507 443 </w:t>
      </w:r>
      <w:r w:rsidRPr="00D30CF0">
        <w:rPr>
          <w:rFonts w:cs="Times New Roman"/>
          <w:i/>
          <w:color w:val="000000"/>
          <w:shd w:val="clear" w:color="auto" w:fill="FFFFFF"/>
        </w:rPr>
        <w:t>euro</w:t>
      </w:r>
      <w:r w:rsidRPr="00D30CF0">
        <w:rPr>
          <w:rFonts w:cs="Times New Roman"/>
          <w:color w:val="000000"/>
          <w:shd w:val="clear" w:color="auto" w:fill="FFFFFF"/>
        </w:rPr>
        <w:t xml:space="preserve">, papildus 19 082 onkoloģiskajiem pacientiem tika nodrošināta sekundārā diagnostika un izmeklēšana par kopējo papildus finansējumu 2 290 047 euro  u.c.  Attiecībā uz infrastruktūras, </w:t>
      </w:r>
      <w:r>
        <w:rPr>
          <w:rFonts w:cs="Times New Roman"/>
          <w:color w:val="000000"/>
          <w:shd w:val="clear" w:color="auto" w:fill="FFFFFF"/>
        </w:rPr>
        <w:t>t.sk.</w:t>
      </w:r>
      <w:r w:rsidRPr="00D30CF0">
        <w:rPr>
          <w:rFonts w:cs="Times New Roman"/>
          <w:color w:val="000000"/>
          <w:shd w:val="clear" w:color="auto" w:fill="FFFFFF"/>
        </w:rPr>
        <w:t xml:space="preserve"> iekārtu iegādes 2019.</w:t>
      </w:r>
      <w:r>
        <w:rPr>
          <w:rFonts w:cs="Times New Roman"/>
          <w:color w:val="000000"/>
          <w:shd w:val="clear" w:color="auto" w:fill="FFFFFF"/>
        </w:rPr>
        <w:t> </w:t>
      </w:r>
      <w:r w:rsidRPr="00D30CF0">
        <w:rPr>
          <w:rFonts w:cs="Times New Roman"/>
          <w:color w:val="000000"/>
          <w:shd w:val="clear" w:color="auto" w:fill="FFFFFF"/>
        </w:rPr>
        <w:t>gadā neizlietoto finansējumu</w:t>
      </w:r>
      <w:r>
        <w:rPr>
          <w:rFonts w:cs="Times New Roman"/>
          <w:color w:val="000000"/>
          <w:shd w:val="clear" w:color="auto" w:fill="FFFFFF"/>
        </w:rPr>
        <w:t xml:space="preserve">, VM informē, </w:t>
      </w:r>
      <w:r w:rsidRPr="00D30CF0">
        <w:rPr>
          <w:rFonts w:cs="Times New Roman"/>
          <w:color w:val="000000"/>
          <w:shd w:val="clear" w:color="auto" w:fill="FFFFFF"/>
        </w:rPr>
        <w:t xml:space="preserve">ka tas atrodas </w:t>
      </w:r>
      <w:r>
        <w:rPr>
          <w:rFonts w:cs="Times New Roman"/>
          <w:color w:val="000000"/>
          <w:shd w:val="clear" w:color="auto" w:fill="FFFFFF"/>
        </w:rPr>
        <w:t>ārstniecības ietāžu</w:t>
      </w:r>
      <w:r w:rsidRPr="00D30CF0">
        <w:rPr>
          <w:rFonts w:cs="Times New Roman"/>
          <w:color w:val="000000"/>
          <w:shd w:val="clear" w:color="auto" w:fill="FFFFFF"/>
        </w:rPr>
        <w:t xml:space="preserve"> kontos un finansējums tiks apgūts, atbilstoši veiktajiem grozījumiem līgumos ar </w:t>
      </w:r>
      <w:r>
        <w:rPr>
          <w:rFonts w:cs="Times New Roman"/>
          <w:color w:val="000000"/>
          <w:shd w:val="clear" w:color="auto" w:fill="FFFFFF"/>
        </w:rPr>
        <w:t xml:space="preserve">NVD. </w:t>
      </w:r>
    </w:p>
    <w:p w14:paraId="47B30CB7" w14:textId="77777777" w:rsidR="00EC52FF" w:rsidRPr="0083148E" w:rsidRDefault="00EC52FF" w:rsidP="005505D0">
      <w:pPr>
        <w:spacing w:before="120" w:after="120" w:line="254" w:lineRule="auto"/>
        <w:jc w:val="both"/>
        <w:rPr>
          <w:rFonts w:eastAsia="Times New Roman"/>
          <w:b/>
          <w:color w:val="000000"/>
          <w:lang w:eastAsia="lv-LV"/>
        </w:rPr>
      </w:pPr>
      <w:r w:rsidRPr="0083148E">
        <w:rPr>
          <w:rFonts w:eastAsia="Times New Roman"/>
          <w:b/>
          <w:color w:val="000000"/>
          <w:lang w:eastAsia="lv-LV"/>
        </w:rPr>
        <w:t>Secinājumi un priekšlikumi</w:t>
      </w:r>
    </w:p>
    <w:p w14:paraId="3AFB9402" w14:textId="251A40DF" w:rsidR="00EC52FF" w:rsidRDefault="00EC52FF" w:rsidP="005505D0">
      <w:pPr>
        <w:spacing w:before="120" w:after="120" w:line="254" w:lineRule="auto"/>
        <w:ind w:firstLine="720"/>
        <w:jc w:val="both"/>
        <w:rPr>
          <w:shd w:val="clear" w:color="auto" w:fill="FFFFFF"/>
        </w:rPr>
      </w:pPr>
      <w:r>
        <w:rPr>
          <w:shd w:val="clear" w:color="auto" w:fill="FFFFFF"/>
        </w:rPr>
        <w:t>FM aicina pievērst uzmanību attiecīgā finansējuma plānojumam, kas pie noteiktām reformām ir palielināts vai plānots tādā pašā apmērā, ņemot vērā 2019. gada neapgūto finansējuma apmēru</w:t>
      </w:r>
      <w:r w:rsidR="00AF3EE5">
        <w:rPr>
          <w:shd w:val="clear" w:color="auto" w:fill="FFFFFF"/>
        </w:rPr>
        <w:t xml:space="preserve"> (kopā identificēti </w:t>
      </w:r>
      <w:r w:rsidR="00AF3EE5" w:rsidRPr="00AF3EE5">
        <w:rPr>
          <w:b/>
          <w:shd w:val="clear" w:color="auto" w:fill="FFFFFF"/>
        </w:rPr>
        <w:t>10 745 </w:t>
      </w:r>
      <w:r w:rsidR="00212D35">
        <w:rPr>
          <w:b/>
          <w:shd w:val="clear" w:color="auto" w:fill="FFFFFF"/>
        </w:rPr>
        <w:t>617</w:t>
      </w:r>
      <w:r w:rsidR="00212D35">
        <w:rPr>
          <w:shd w:val="clear" w:color="auto" w:fill="FFFFFF"/>
        </w:rPr>
        <w:t xml:space="preserve"> </w:t>
      </w:r>
      <w:r w:rsidR="00AF3EE5" w:rsidRPr="00AF3EE5">
        <w:rPr>
          <w:i/>
          <w:shd w:val="clear" w:color="auto" w:fill="FFFFFF"/>
        </w:rPr>
        <w:t>euro</w:t>
      </w:r>
      <w:r w:rsidR="00AF3EE5">
        <w:rPr>
          <w:shd w:val="clear" w:color="auto" w:fill="FFFFFF"/>
        </w:rPr>
        <w:t>)</w:t>
      </w:r>
      <w:r>
        <w:rPr>
          <w:shd w:val="clear" w:color="auto" w:fill="FFFFFF"/>
        </w:rPr>
        <w:t xml:space="preserve">, kas var radīt situāciju, ka finansējums netiek apgūts arī turpmākajos gados. </w:t>
      </w:r>
      <w:r w:rsidRPr="009605FF">
        <w:rPr>
          <w:shd w:val="clear" w:color="auto" w:fill="FFFFFF"/>
        </w:rPr>
        <w:t>Finansējums veselības aprūpes pakalpojumu nodrošināšanai tiek piešķirts, nesasaistot to ar faktiski nepieciešamo pakalpojumu apjomu.</w:t>
      </w:r>
      <w:r>
        <w:rPr>
          <w:shd w:val="clear" w:color="auto" w:fill="FFFFFF"/>
        </w:rPr>
        <w:t xml:space="preserve"> Ņemot vērā speciālistu trūkumu</w:t>
      </w:r>
      <w:r w:rsidR="001B7640">
        <w:rPr>
          <w:shd w:val="clear" w:color="auto" w:fill="FFFFFF"/>
        </w:rPr>
        <w:t xml:space="preserve"> un </w:t>
      </w:r>
      <w:r>
        <w:rPr>
          <w:shd w:val="clear" w:color="auto" w:fill="FFFFFF"/>
        </w:rPr>
        <w:t>neapgūto finansējumu</w:t>
      </w:r>
      <w:r w:rsidR="001B7640">
        <w:rPr>
          <w:shd w:val="clear" w:color="auto" w:fill="FFFFFF"/>
        </w:rPr>
        <w:t>,</w:t>
      </w:r>
      <w:r>
        <w:rPr>
          <w:shd w:val="clear" w:color="auto" w:fill="FFFFFF"/>
        </w:rPr>
        <w:t xml:space="preserve"> būtu jāizvērtē piešķirtais finansējums noteiktām reformām, kā, piemēram, </w:t>
      </w:r>
      <w:r>
        <w:t xml:space="preserve">ģimenes ārstu kvalitātes </w:t>
      </w:r>
      <w:r w:rsidRPr="009B1758">
        <w:rPr>
          <w:bCs/>
        </w:rPr>
        <w:t>maksājumu sistēmas reforma</w:t>
      </w:r>
      <w:r>
        <w:t>, p</w:t>
      </w:r>
      <w:r w:rsidRPr="00C33B26">
        <w:t>sihiskās veselības aprūpes uzlabošana</w:t>
      </w:r>
      <w:r>
        <w:t xml:space="preserve">, nepieciešamības gadījumā finansējumu </w:t>
      </w:r>
      <w:r w:rsidR="001B7640">
        <w:t xml:space="preserve">pārdalot </w:t>
      </w:r>
      <w:r>
        <w:t>citiem pieejamākiem un nepieciešamākiem veselības aprūpes pakalpojumiem u.c.</w:t>
      </w:r>
      <w:r w:rsidR="00593019">
        <w:t>:</w:t>
      </w:r>
    </w:p>
    <w:p w14:paraId="6069EE29" w14:textId="77777777" w:rsidR="00EC52FF" w:rsidRDefault="00EC52FF" w:rsidP="006A15ED">
      <w:pPr>
        <w:pStyle w:val="ListParagraph"/>
        <w:numPr>
          <w:ilvl w:val="0"/>
          <w:numId w:val="16"/>
        </w:numPr>
        <w:spacing w:before="120" w:after="120" w:line="254" w:lineRule="auto"/>
        <w:jc w:val="both"/>
        <w:rPr>
          <w:shd w:val="clear" w:color="auto" w:fill="FFFFFF"/>
        </w:rPr>
      </w:pPr>
      <w:r>
        <w:rPr>
          <w:shd w:val="clear" w:color="auto" w:fill="FFFFFF"/>
        </w:rPr>
        <w:t>VM l</w:t>
      </w:r>
      <w:r w:rsidRPr="009605FF">
        <w:rPr>
          <w:shd w:val="clear" w:color="auto" w:fill="FFFFFF"/>
        </w:rPr>
        <w:t>emjot par valsts budžeta finansējuma apjoma sadalījumu nepieciešams analizēt un ņemt vērā datus par fak</w:t>
      </w:r>
      <w:r>
        <w:rPr>
          <w:shd w:val="clear" w:color="auto" w:fill="FFFFFF"/>
        </w:rPr>
        <w:t>tiski veiktajiem pakalpojumiem;</w:t>
      </w:r>
    </w:p>
    <w:p w14:paraId="5AE28823" w14:textId="77777777" w:rsidR="00EC52FF" w:rsidRDefault="00EC52FF" w:rsidP="006A15ED">
      <w:pPr>
        <w:pStyle w:val="ListParagraph"/>
        <w:numPr>
          <w:ilvl w:val="0"/>
          <w:numId w:val="16"/>
        </w:numPr>
        <w:spacing w:before="120" w:after="120" w:line="254" w:lineRule="auto"/>
        <w:jc w:val="both"/>
        <w:rPr>
          <w:shd w:val="clear" w:color="auto" w:fill="FFFFFF"/>
        </w:rPr>
      </w:pPr>
      <w:r w:rsidRPr="009605FF">
        <w:rPr>
          <w:shd w:val="clear" w:color="auto" w:fill="FFFFFF"/>
        </w:rPr>
        <w:t>VM jāizvērtē un jāpārskata veselības aprūpes pakalpojumu tarifi un to aprēķina metodoloģija, lai tie atspoguļotu sniegt</w:t>
      </w:r>
      <w:r>
        <w:rPr>
          <w:shd w:val="clear" w:color="auto" w:fill="FFFFFF"/>
        </w:rPr>
        <w:t>o pakalpojumu patiesās izmaksas;</w:t>
      </w:r>
    </w:p>
    <w:p w14:paraId="3F8DA079" w14:textId="1F4559E1" w:rsidR="00EC52FF" w:rsidRDefault="00EC52FF" w:rsidP="006A15ED">
      <w:pPr>
        <w:pStyle w:val="ListParagraph"/>
        <w:numPr>
          <w:ilvl w:val="0"/>
          <w:numId w:val="16"/>
        </w:numPr>
        <w:spacing w:before="120" w:after="120" w:line="254" w:lineRule="auto"/>
        <w:jc w:val="both"/>
        <w:rPr>
          <w:shd w:val="clear" w:color="auto" w:fill="FFFFFF"/>
        </w:rPr>
      </w:pPr>
      <w:r>
        <w:rPr>
          <w:shd w:val="clear" w:color="auto" w:fill="FFFFFF"/>
        </w:rPr>
        <w:t xml:space="preserve">VM jāizvērtē piešķirtais finansējums noteiktām reformu iniciatīvām, </w:t>
      </w:r>
      <w:r>
        <w:t xml:space="preserve">nepieciešamības gadījumā finansējumu </w:t>
      </w:r>
      <w:r w:rsidR="00593019">
        <w:t xml:space="preserve">pārdalot </w:t>
      </w:r>
      <w:r>
        <w:t>citiem pieejamākiem un nepieciešamākiem veselības aprūpes pakalpojumiem;</w:t>
      </w:r>
    </w:p>
    <w:p w14:paraId="3752222A" w14:textId="77777777" w:rsidR="00EC52FF" w:rsidRDefault="00EC52FF" w:rsidP="006A15ED">
      <w:pPr>
        <w:pStyle w:val="ListParagraph"/>
        <w:numPr>
          <w:ilvl w:val="0"/>
          <w:numId w:val="16"/>
        </w:numPr>
        <w:spacing w:before="120" w:after="120" w:line="254" w:lineRule="auto"/>
        <w:jc w:val="both"/>
        <w:rPr>
          <w:shd w:val="clear" w:color="auto" w:fill="FFFFFF"/>
        </w:rPr>
      </w:pPr>
      <w:r w:rsidRPr="009605FF">
        <w:rPr>
          <w:shd w:val="clear" w:color="auto" w:fill="FFFFFF"/>
        </w:rPr>
        <w:t>VM sadarbībā ar ārstniecības iestādē</w:t>
      </w:r>
      <w:r>
        <w:rPr>
          <w:shd w:val="clear" w:color="auto" w:fill="FFFFFF"/>
        </w:rPr>
        <w:t>m</w:t>
      </w:r>
      <w:r w:rsidRPr="009605FF">
        <w:rPr>
          <w:shd w:val="clear" w:color="auto" w:fill="FFFFFF"/>
        </w:rPr>
        <w:t xml:space="preserve"> nodrošināt ārstniecības iestāžu un pacientu informētību</w:t>
      </w:r>
      <w:r>
        <w:rPr>
          <w:shd w:val="clear" w:color="auto" w:fill="FFFFFF"/>
        </w:rPr>
        <w:t xml:space="preserve"> par pieejamajiem pakalpojumiem;</w:t>
      </w:r>
    </w:p>
    <w:p w14:paraId="21F9C7D2" w14:textId="5FDE9103" w:rsidR="00FA3119" w:rsidRDefault="00EC52FF" w:rsidP="00083858">
      <w:pPr>
        <w:pStyle w:val="ListParagraph"/>
        <w:numPr>
          <w:ilvl w:val="0"/>
          <w:numId w:val="16"/>
        </w:numPr>
        <w:spacing w:before="120" w:after="120" w:line="254" w:lineRule="auto"/>
        <w:jc w:val="both"/>
        <w:rPr>
          <w:shd w:val="clear" w:color="auto" w:fill="FFFFFF"/>
        </w:rPr>
      </w:pPr>
      <w:r w:rsidRPr="009605FF">
        <w:rPr>
          <w:shd w:val="clear" w:color="auto" w:fill="FFFFFF"/>
        </w:rPr>
        <w:t>VM risinā</w:t>
      </w:r>
      <w:r>
        <w:rPr>
          <w:shd w:val="clear" w:color="auto" w:fill="FFFFFF"/>
        </w:rPr>
        <w:t>t speciālistu trūkuma problēmu, izskatot iespēju palielināt rezidentūras vietas;</w:t>
      </w:r>
    </w:p>
    <w:p w14:paraId="786E0684" w14:textId="77777777" w:rsidR="002C34DA" w:rsidRPr="00083858" w:rsidRDefault="002C34DA" w:rsidP="002C34DA">
      <w:pPr>
        <w:pStyle w:val="ListParagraph"/>
        <w:spacing w:before="120" w:after="120" w:line="254" w:lineRule="auto"/>
        <w:ind w:left="1440"/>
        <w:jc w:val="both"/>
        <w:rPr>
          <w:shd w:val="clear" w:color="auto" w:fill="FFFFFF"/>
        </w:rPr>
      </w:pPr>
    </w:p>
    <w:p w14:paraId="0673969D" w14:textId="77777777" w:rsidR="00163732" w:rsidRDefault="00163732" w:rsidP="00615C60">
      <w:pPr>
        <w:pStyle w:val="Heading3"/>
        <w:numPr>
          <w:ilvl w:val="2"/>
          <w:numId w:val="2"/>
        </w:numPr>
        <w:ind w:left="0" w:firstLine="0"/>
        <w:jc w:val="center"/>
      </w:pPr>
      <w:bookmarkStart w:id="92" w:name="_Toc48200649"/>
      <w:r w:rsidRPr="00163732">
        <w:t>Izdevumu analīze veselības aprūpei drošības struktūrās</w:t>
      </w:r>
      <w:bookmarkEnd w:id="92"/>
    </w:p>
    <w:p w14:paraId="1B65B7EA" w14:textId="77777777" w:rsidR="00FA3119" w:rsidRPr="00FA3119" w:rsidRDefault="00FA3119" w:rsidP="00FA3119">
      <w:pPr>
        <w:spacing w:before="320"/>
        <w:rPr>
          <w:b/>
        </w:rPr>
      </w:pPr>
      <w:bookmarkStart w:id="93" w:name="_Toc41391694"/>
      <w:r w:rsidRPr="00FA3119">
        <w:rPr>
          <w:b/>
        </w:rPr>
        <w:t>IeM veselības aprūpes pamatprincipi</w:t>
      </w:r>
      <w:bookmarkEnd w:id="93"/>
    </w:p>
    <w:p w14:paraId="284D4C4C" w14:textId="1B23DD28" w:rsidR="00FA3119" w:rsidRPr="00FA3119" w:rsidRDefault="00FA3119" w:rsidP="00047287">
      <w:pPr>
        <w:spacing w:after="120"/>
        <w:ind w:firstLine="720"/>
        <w:jc w:val="both"/>
        <w:rPr>
          <w:rFonts w:cs="Times New Roman"/>
        </w:rPr>
      </w:pPr>
      <w:r>
        <w:rPr>
          <w:rFonts w:cs="Times New Roman"/>
        </w:rPr>
        <w:t>IeM</w:t>
      </w:r>
      <w:r w:rsidRPr="00FA3119">
        <w:rPr>
          <w:rFonts w:cs="Times New Roman"/>
        </w:rPr>
        <w:t xml:space="preserve"> nodrošina IeM sistēmas iestāžu un Ie</w:t>
      </w:r>
      <w:r w:rsidR="005462B3">
        <w:rPr>
          <w:rFonts w:cs="Times New Roman"/>
        </w:rPr>
        <w:t xml:space="preserve">VP </w:t>
      </w:r>
      <w:r w:rsidRPr="00FA3119">
        <w:rPr>
          <w:rFonts w:cs="Times New Roman"/>
        </w:rPr>
        <w:t xml:space="preserve">amatpersonām ar speciālo dienesta pakāpi (turpmāk – amatpersonas) iespēju saņemt apmaksātus veselības aprūpes pakalpojumus, kas nepieciešami, atrodoties dienesta pienākumu pildīšanas laikā dažādās valsts teritorijās, kā arī veselības saglabāšanai un sekmīgai dienesta pienākumu izpildei. Apmaksātā veselības aprūpe ietver maksājumus par pakalpojumiem, kuru apmaksu saskaņā ar valstī noteikto veselības aprūpes organizēšanas un finansēšanas kārtību jāveic pakalpojuma saņēmējam vai darba devējam. </w:t>
      </w:r>
    </w:p>
    <w:p w14:paraId="3874D39B" w14:textId="77777777" w:rsidR="00FA3119" w:rsidRPr="00FA3119" w:rsidRDefault="00FA3119" w:rsidP="00047287">
      <w:pPr>
        <w:spacing w:after="120"/>
        <w:ind w:firstLine="720"/>
        <w:jc w:val="both"/>
        <w:rPr>
          <w:rFonts w:cs="Times New Roman"/>
        </w:rPr>
      </w:pPr>
      <w:r w:rsidRPr="00FA3119">
        <w:rPr>
          <w:rFonts w:cs="Times New Roman"/>
        </w:rPr>
        <w:t>Amatpersonām veselības aprūpe tiek nodrošināta no IeM valsts budžeta apakšprogrammas 38.05.00 “Veselības aprūpe un fiziskā sagatavotība” līdzekļiem. Apakšprogrammas mērķis ir veicināt amatpersonu spējas īstenot valsts drošības un iekšlietu politikas pasākumus, nodrošinot amatpersonām normatīvajos aktos noteiktos veselības aprūpes pakalpojumus un sociālās garantijas, kā arī amatpersonu fiziskās sagatavotības un darba vides uzraudzību.</w:t>
      </w:r>
    </w:p>
    <w:p w14:paraId="54BAE1EC" w14:textId="0C3053D5" w:rsidR="00F17C94" w:rsidRPr="00083858" w:rsidRDefault="00FA3119" w:rsidP="00083858">
      <w:pPr>
        <w:spacing w:after="120"/>
        <w:ind w:firstLine="720"/>
        <w:jc w:val="both"/>
        <w:rPr>
          <w:rFonts w:cs="Times New Roman"/>
        </w:rPr>
      </w:pPr>
      <w:r w:rsidRPr="00FA3119">
        <w:rPr>
          <w:rFonts w:cs="Times New Roman"/>
        </w:rPr>
        <w:lastRenderedPageBreak/>
        <w:t xml:space="preserve">Tiesības saņemt veselības aprūpi ir amatpersonām, kuras strādā šādās iestādēs: Iekšējās drošības birojs, </w:t>
      </w:r>
      <w:r w:rsidR="00E55892">
        <w:rPr>
          <w:rFonts w:cs="Times New Roman"/>
        </w:rPr>
        <w:t>VP</w:t>
      </w:r>
      <w:r w:rsidRPr="00FA3119">
        <w:rPr>
          <w:rFonts w:cs="Times New Roman"/>
        </w:rPr>
        <w:t xml:space="preserve">, Valsts robežsardze, </w:t>
      </w:r>
      <w:r>
        <w:rPr>
          <w:rFonts w:cs="Times New Roman"/>
        </w:rPr>
        <w:t>VUGD</w:t>
      </w:r>
      <w:r w:rsidRPr="00FA3119">
        <w:rPr>
          <w:rFonts w:cs="Times New Roman"/>
        </w:rPr>
        <w:t>, kā arī šo iestāžu padotībā esošās koledžas</w:t>
      </w:r>
      <w:r w:rsidRPr="00FA3119">
        <w:rPr>
          <w:rFonts w:cs="Times New Roman"/>
          <w:vertAlign w:val="superscript"/>
        </w:rPr>
        <w:footnoteReference w:id="16"/>
      </w:r>
      <w:r w:rsidRPr="00FA3119">
        <w:rPr>
          <w:rFonts w:cs="Times New Roman"/>
        </w:rPr>
        <w:t>.  Kopā IeM struktūrās ir 12 702 amatpersonas ar speciālo pakāpi</w:t>
      </w:r>
      <w:r w:rsidRPr="00FA3119">
        <w:rPr>
          <w:rFonts w:cs="Times New Roman"/>
          <w:vertAlign w:val="superscript"/>
        </w:rPr>
        <w:footnoteReference w:id="17"/>
      </w:r>
      <w:r w:rsidRPr="00FA3119">
        <w:rPr>
          <w:rFonts w:cs="Times New Roman"/>
        </w:rPr>
        <w:t xml:space="preserve">, kurām ir tiesības saņemt apmaksātus veselības aprūpes pakalpojumus. Tiesības uz šiem </w:t>
      </w:r>
      <w:r w:rsidR="00E55892">
        <w:rPr>
          <w:rFonts w:cs="Times New Roman"/>
        </w:rPr>
        <w:t>pakalpojumiem ir arī atvaļinātām amatpersonām</w:t>
      </w:r>
      <w:r w:rsidRPr="00FA3119">
        <w:rPr>
          <w:rFonts w:cs="Times New Roman"/>
          <w:vertAlign w:val="superscript"/>
        </w:rPr>
        <w:footnoteReference w:id="18"/>
      </w:r>
      <w:r w:rsidRPr="00FA3119">
        <w:rPr>
          <w:rFonts w:cs="Times New Roman"/>
        </w:rPr>
        <w:t>, kura ir atvaļināta no dienesta sakarā ar noteiktajām prasībām neatbilstošu veselības stāvokli, ja tā iemesls ir ievainojums vai sakropļojums, vai citāds veselības kaitējums (izņemot arodslimību), kas gūts ar dienesta pienākumu pildīšanu sais</w:t>
      </w:r>
      <w:bookmarkStart w:id="94" w:name="_Ref45705405"/>
      <w:r w:rsidR="00764A07">
        <w:rPr>
          <w:rFonts w:cs="Times New Roman"/>
        </w:rPr>
        <w:t>tītā nelaimes gadījumā.</w:t>
      </w:r>
      <w:bookmarkStart w:id="95" w:name="_Ref46150481"/>
      <w:bookmarkStart w:id="96" w:name="_Ref47087356"/>
      <w:bookmarkStart w:id="97" w:name="_Ref47352923"/>
    </w:p>
    <w:p w14:paraId="5075EBB2" w14:textId="25D08AAF" w:rsidR="00E55892" w:rsidRDefault="00E55892" w:rsidP="00F23631">
      <w:pPr>
        <w:pStyle w:val="Caption"/>
        <w:spacing w:before="0" w:line="254" w:lineRule="auto"/>
        <w:rPr>
          <w:rFonts w:cs="Times New Roman"/>
          <w:b/>
        </w:rPr>
      </w:pPr>
      <w:bookmarkStart w:id="98" w:name="_Ref47947542"/>
      <w:r>
        <w:t xml:space="preserve">Attēls Nr. </w:t>
      </w:r>
      <w:fldSimple w:instr=" SEQ Attēls_Nr. \* ARABIC ">
        <w:r w:rsidR="00D96F20">
          <w:rPr>
            <w:noProof/>
          </w:rPr>
          <w:t>24</w:t>
        </w:r>
      </w:fldSimple>
      <w:bookmarkEnd w:id="94"/>
      <w:bookmarkEnd w:id="95"/>
      <w:bookmarkEnd w:id="96"/>
      <w:bookmarkEnd w:id="97"/>
      <w:bookmarkEnd w:id="98"/>
    </w:p>
    <w:p w14:paraId="56DFE31B" w14:textId="77777777" w:rsidR="00FA3119" w:rsidRPr="00FA3119" w:rsidRDefault="00FA3119" w:rsidP="00F23631">
      <w:pPr>
        <w:spacing w:after="120" w:line="254" w:lineRule="auto"/>
        <w:jc w:val="center"/>
        <w:rPr>
          <w:rFonts w:cs="Times New Roman"/>
          <w:b/>
        </w:rPr>
      </w:pPr>
      <w:r w:rsidRPr="00FA3119">
        <w:rPr>
          <w:rFonts w:cs="Times New Roman"/>
          <w:b/>
        </w:rPr>
        <w:t>IeM apakšprogrammas 38.05.00 “Veselības aprūpe un fiziskā sagatavotība” izdevumu dinamika</w:t>
      </w:r>
    </w:p>
    <w:p w14:paraId="66185BAC" w14:textId="77777777" w:rsidR="00E55892" w:rsidRDefault="00E55892" w:rsidP="00F23631">
      <w:pPr>
        <w:spacing w:after="120" w:line="254" w:lineRule="auto"/>
        <w:jc w:val="center"/>
        <w:rPr>
          <w:rFonts w:cs="Times New Roman"/>
        </w:rPr>
      </w:pPr>
      <w:r>
        <w:rPr>
          <w:noProof/>
          <w:lang w:eastAsia="lv-LV"/>
        </w:rPr>
        <w:drawing>
          <wp:inline distT="0" distB="0" distL="0" distR="0" wp14:anchorId="571C2EEB" wp14:editId="6F40D345">
            <wp:extent cx="5760085" cy="3173095"/>
            <wp:effectExtent l="0" t="0" r="12065" b="825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F81BFA8" w14:textId="30D72FA8" w:rsidR="00FA3119" w:rsidRPr="0066088A" w:rsidRDefault="00AB14B2" w:rsidP="00083858">
      <w:pPr>
        <w:pStyle w:val="Caption"/>
        <w:spacing w:before="0" w:line="254" w:lineRule="auto"/>
        <w:ind w:firstLine="720"/>
        <w:jc w:val="both"/>
        <w:rPr>
          <w:rFonts w:cs="Times New Roman"/>
        </w:rPr>
      </w:pPr>
      <w:r>
        <w:rPr>
          <w:rFonts w:cs="Times New Roman"/>
        </w:rPr>
        <w:t>Grafikā (</w:t>
      </w:r>
      <w:r w:rsidR="0066088A">
        <w:rPr>
          <w:rFonts w:cs="Times New Roman"/>
        </w:rPr>
        <w:fldChar w:fldCharType="begin"/>
      </w:r>
      <w:r w:rsidR="0066088A">
        <w:rPr>
          <w:rFonts w:cs="Times New Roman"/>
        </w:rPr>
        <w:instrText xml:space="preserve"> REF _Ref47947542 \h </w:instrText>
      </w:r>
      <w:r w:rsidR="0066088A">
        <w:rPr>
          <w:rFonts w:cs="Times New Roman"/>
        </w:rPr>
      </w:r>
      <w:r w:rsidR="0066088A">
        <w:rPr>
          <w:rFonts w:cs="Times New Roman"/>
        </w:rPr>
        <w:fldChar w:fldCharType="separate"/>
      </w:r>
      <w:r w:rsidR="00D96F20">
        <w:t xml:space="preserve">Attēls Nr. </w:t>
      </w:r>
      <w:r w:rsidR="00D96F20">
        <w:rPr>
          <w:noProof/>
        </w:rPr>
        <w:t>24</w:t>
      </w:r>
      <w:r w:rsidR="0066088A">
        <w:rPr>
          <w:rFonts w:cs="Times New Roman"/>
        </w:rPr>
        <w:fldChar w:fldCharType="end"/>
      </w:r>
      <w:r>
        <w:rPr>
          <w:rFonts w:cs="Times New Roman"/>
        </w:rPr>
        <w:t xml:space="preserve">) </w:t>
      </w:r>
      <w:r w:rsidR="000F7182" w:rsidRPr="000F7182">
        <w:rPr>
          <w:rFonts w:cs="Times New Roman"/>
        </w:rPr>
        <w:t>ir atspoguļota apakšprogrammas 38.05.00 “Veselības aprūpe un fiziskā sagatavotība” izdevumu dinamika un vidējie ar veselības aprūpi saistītiem izdevumiem uz vienu IeM sistēmā nodarbināto amatpersonu. Grafikā redzams, ka kopš 2013. gada vienlaikus pieaug gan kopējais apakšprogrammas finansējums, gan vidējie izdevumi uz vienu amatpersonu, kam pamatā var būt vairāki cēloņi. Pirmkārt, līdz 2013.</w:t>
      </w:r>
      <w:r w:rsidR="000F7182">
        <w:rPr>
          <w:rFonts w:cs="Times New Roman"/>
        </w:rPr>
        <w:t xml:space="preserve"> </w:t>
      </w:r>
      <w:r w:rsidR="000F7182" w:rsidRPr="000F7182">
        <w:rPr>
          <w:rFonts w:cs="Times New Roman"/>
        </w:rPr>
        <w:t>gada 31.</w:t>
      </w:r>
      <w:r w:rsidR="000F7182">
        <w:rPr>
          <w:rFonts w:cs="Times New Roman"/>
        </w:rPr>
        <w:t xml:space="preserve"> </w:t>
      </w:r>
      <w:r w:rsidR="000F7182" w:rsidRPr="000F7182">
        <w:rPr>
          <w:rFonts w:cs="Times New Roman"/>
        </w:rPr>
        <w:t xml:space="preserve">decembrim spēkā esošais normatīvais regulējums paredzēja amatpersonām veselības aprūpes izdevumu kompensāciju ar limitu līdz 50 latiem jeb 71,14 </w:t>
      </w:r>
      <w:r w:rsidR="000F7182" w:rsidRPr="000F7182">
        <w:rPr>
          <w:rFonts w:cs="Times New Roman"/>
          <w:i/>
        </w:rPr>
        <w:t>euro</w:t>
      </w:r>
      <w:r w:rsidR="000F7182" w:rsidRPr="000F7182">
        <w:rPr>
          <w:rFonts w:cs="Times New Roman"/>
        </w:rPr>
        <w:t xml:space="preserve"> gadā. Pēc normatīvo aktu grozījumiem ar 2014.</w:t>
      </w:r>
      <w:r w:rsidR="000F7182">
        <w:rPr>
          <w:rFonts w:cs="Times New Roman"/>
        </w:rPr>
        <w:t xml:space="preserve"> </w:t>
      </w:r>
      <w:r w:rsidR="000F7182" w:rsidRPr="000F7182">
        <w:rPr>
          <w:rFonts w:cs="Times New Roman"/>
        </w:rPr>
        <w:t>gada 1.</w:t>
      </w:r>
      <w:r w:rsidR="000F7182">
        <w:rPr>
          <w:rFonts w:cs="Times New Roman"/>
        </w:rPr>
        <w:t xml:space="preserve"> </w:t>
      </w:r>
      <w:r w:rsidR="000F7182" w:rsidRPr="000F7182">
        <w:rPr>
          <w:rFonts w:cs="Times New Roman"/>
        </w:rPr>
        <w:t xml:space="preserve">janvāri amatpersonām valsts apmaksātā veselības aprūpe tika būtiski uzlabota, gan paplašinot apmaksājamo pakalpojumu klāstu, gan palielinot apmaksājamos pakalpojumu  limitus. Papildus minētajam valstī kopumā pieaug veselības pakalpojumu cenas, palielinās nodarbināto interese un informētība par pieejamiem apmaksātiem veselības aprūpes pakalpojumiem, kā arī, nenoliedzami, veidojoties rindām uz NVD apmaksātajiem veselības </w:t>
      </w:r>
      <w:r w:rsidR="000F7182" w:rsidRPr="000F7182">
        <w:rPr>
          <w:rFonts w:cs="Times New Roman"/>
        </w:rPr>
        <w:lastRenderedPageBreak/>
        <w:t>pakalpojumiem, lai ātrāk atgrieztos dienestā, amatpersonas izvēle ir par labu maksas pakalpojumiem, kas tiek segti, šajā gadījumā, no IeM budžeta. Jāatzīmē, ka atbilstoši Iekšlietu ministrijas sistēmas iestāžu un Ieslodzījuma vietu pārvaldes amatpersonu ar speciālajām dienesta pakāpēm dienesta gaitas likuma 47.panta otrās daļas 2.punktā noteiktajam amatpersonu var atvaļināt no dienesta sakarā ar to, ka tā pārejošas darbnespējas dēļ nav pildījusi amata pienākumus ilgāk kā četrus mēnešus pēc kārtas vai ilgāk kā sešus mēnešus gadā ar pārtraukumiem un veselības traucējumi nav gūti nelaimes gadījumā, pildot dienesta pienākumus. Tādējādi ir saprotama amatpersonu vēlme atgriezties dienestā iespējami ātrāk.</w:t>
      </w:r>
      <w:r w:rsidR="000F7182">
        <w:rPr>
          <w:rFonts w:cs="Times New Roman"/>
        </w:rPr>
        <w:t xml:space="preserve"> </w:t>
      </w:r>
    </w:p>
    <w:p w14:paraId="3FA278A2" w14:textId="77777777" w:rsidR="00FA3119" w:rsidRPr="00F23631" w:rsidRDefault="003B12F2" w:rsidP="00083858">
      <w:pPr>
        <w:spacing w:after="120" w:line="254" w:lineRule="auto"/>
        <w:rPr>
          <w:b/>
        </w:rPr>
      </w:pPr>
      <w:bookmarkStart w:id="99" w:name="_Toc41391695"/>
      <w:r>
        <w:rPr>
          <w:b/>
        </w:rPr>
        <w:t>IeM</w:t>
      </w:r>
      <w:r w:rsidR="00FA3119" w:rsidRPr="00F23631">
        <w:rPr>
          <w:b/>
        </w:rPr>
        <w:t xml:space="preserve"> veselības un sporta centrs</w:t>
      </w:r>
      <w:bookmarkEnd w:id="99"/>
    </w:p>
    <w:p w14:paraId="56FAA835" w14:textId="77777777" w:rsidR="00FA3119" w:rsidRPr="00FA3119" w:rsidRDefault="00FA3119" w:rsidP="00083858">
      <w:pPr>
        <w:spacing w:after="120" w:line="254" w:lineRule="auto"/>
        <w:ind w:firstLine="720"/>
        <w:jc w:val="both"/>
        <w:rPr>
          <w:rFonts w:cs="Times New Roman"/>
        </w:rPr>
      </w:pPr>
      <w:r w:rsidRPr="00FA3119">
        <w:rPr>
          <w:rFonts w:cs="Times New Roman"/>
        </w:rPr>
        <w:t xml:space="preserve">Valsts budžeta apakšprogrammas 38.05.00 “Veselības aprūpe un fiziskā sagatavotība” izpildītājs ir IeM padotības iestāde – </w:t>
      </w:r>
      <w:r w:rsidR="003B12F2">
        <w:rPr>
          <w:rFonts w:cs="Times New Roman"/>
        </w:rPr>
        <w:t>IeM</w:t>
      </w:r>
      <w:r w:rsidRPr="00FA3119">
        <w:rPr>
          <w:rFonts w:cs="Times New Roman"/>
        </w:rPr>
        <w:t xml:space="preserve"> veselības un sporta centrs (turpmāk – Centrs). </w:t>
      </w:r>
    </w:p>
    <w:p w14:paraId="6913CC6C" w14:textId="77777777" w:rsidR="00FA3119" w:rsidRPr="00FA3119" w:rsidRDefault="00FA3119" w:rsidP="00083858">
      <w:pPr>
        <w:spacing w:after="120" w:line="254" w:lineRule="auto"/>
        <w:ind w:firstLine="720"/>
        <w:jc w:val="both"/>
        <w:rPr>
          <w:rFonts w:cs="Times New Roman"/>
        </w:rPr>
      </w:pPr>
      <w:r w:rsidRPr="00FA3119">
        <w:rPr>
          <w:rFonts w:cs="Times New Roman"/>
        </w:rPr>
        <w:t>Centra galvenās funkcijas:</w:t>
      </w:r>
    </w:p>
    <w:p w14:paraId="37963CE7" w14:textId="77777777" w:rsidR="00FA3119" w:rsidRPr="00FA3119" w:rsidRDefault="00FA3119" w:rsidP="00083858">
      <w:pPr>
        <w:numPr>
          <w:ilvl w:val="0"/>
          <w:numId w:val="7"/>
        </w:numPr>
        <w:spacing w:after="120" w:line="254" w:lineRule="auto"/>
        <w:ind w:left="1134" w:hanging="425"/>
        <w:jc w:val="both"/>
        <w:rPr>
          <w:rFonts w:cs="Times New Roman"/>
        </w:rPr>
      </w:pPr>
      <w:r w:rsidRPr="00FA3119">
        <w:rPr>
          <w:rFonts w:cs="Times New Roman"/>
        </w:rPr>
        <w:t>nodrošināt dienesta pienākumu izpildei atbilstoša veselības stāvokļa, psiholoģisko īpašību un fiziskās sagatavotības kontroli amatpersonām un personām, kuras vēlas iestāties dienestā;</w:t>
      </w:r>
    </w:p>
    <w:p w14:paraId="19AB3274" w14:textId="77777777" w:rsidR="00FA3119" w:rsidRPr="00FA3119" w:rsidRDefault="00FA3119" w:rsidP="00083858">
      <w:pPr>
        <w:numPr>
          <w:ilvl w:val="0"/>
          <w:numId w:val="7"/>
        </w:numPr>
        <w:spacing w:after="120" w:line="254" w:lineRule="auto"/>
        <w:ind w:left="1134" w:hanging="425"/>
        <w:jc w:val="both"/>
        <w:rPr>
          <w:rFonts w:cs="Times New Roman"/>
        </w:rPr>
      </w:pPr>
      <w:r w:rsidRPr="00FA3119">
        <w:rPr>
          <w:rFonts w:cs="Times New Roman"/>
        </w:rPr>
        <w:t>nodrošināt amatpersonām veselības aprūpes pakalpojumus;</w:t>
      </w:r>
    </w:p>
    <w:p w14:paraId="57BB3906" w14:textId="77777777" w:rsidR="00FA3119" w:rsidRPr="00FA3119" w:rsidRDefault="00FA3119" w:rsidP="00083858">
      <w:pPr>
        <w:numPr>
          <w:ilvl w:val="0"/>
          <w:numId w:val="7"/>
        </w:numPr>
        <w:spacing w:after="120" w:line="254" w:lineRule="auto"/>
        <w:ind w:left="1134" w:hanging="425"/>
        <w:jc w:val="both"/>
        <w:rPr>
          <w:rFonts w:cs="Times New Roman"/>
        </w:rPr>
      </w:pPr>
      <w:r w:rsidRPr="00FA3119">
        <w:rPr>
          <w:rFonts w:cs="Times New Roman"/>
        </w:rPr>
        <w:t>sniegt normatīvajos aktos noteiktās sociālās garantijas;</w:t>
      </w:r>
    </w:p>
    <w:p w14:paraId="44876D73" w14:textId="77777777" w:rsidR="00FA3119" w:rsidRPr="00FA3119" w:rsidRDefault="00FA3119" w:rsidP="00083858">
      <w:pPr>
        <w:numPr>
          <w:ilvl w:val="0"/>
          <w:numId w:val="7"/>
        </w:numPr>
        <w:spacing w:after="120" w:line="254" w:lineRule="auto"/>
        <w:ind w:left="1134" w:hanging="425"/>
        <w:jc w:val="both"/>
        <w:rPr>
          <w:rFonts w:cs="Times New Roman"/>
        </w:rPr>
      </w:pPr>
      <w:r w:rsidRPr="00FA3119">
        <w:rPr>
          <w:rFonts w:cs="Times New Roman"/>
        </w:rPr>
        <w:t>nodrošināt psiholoģisko palīdzību un atbalstu amatpersonām;</w:t>
      </w:r>
    </w:p>
    <w:p w14:paraId="1A7EBF8E" w14:textId="77777777" w:rsidR="00FA3119" w:rsidRPr="00FA3119" w:rsidRDefault="00FA3119" w:rsidP="00083858">
      <w:pPr>
        <w:numPr>
          <w:ilvl w:val="0"/>
          <w:numId w:val="7"/>
        </w:numPr>
        <w:spacing w:after="120" w:line="254" w:lineRule="auto"/>
        <w:ind w:left="1134" w:hanging="425"/>
        <w:jc w:val="both"/>
        <w:rPr>
          <w:rFonts w:cs="Times New Roman"/>
        </w:rPr>
      </w:pPr>
      <w:r w:rsidRPr="00FA3119">
        <w:rPr>
          <w:rFonts w:cs="Times New Roman"/>
        </w:rPr>
        <w:t>veicināt amatpersonu fizisko sagatavotību.</w:t>
      </w:r>
    </w:p>
    <w:p w14:paraId="0B8757D9" w14:textId="77777777" w:rsidR="00FA3119" w:rsidRPr="00FA3119" w:rsidRDefault="00FA3119" w:rsidP="00083858">
      <w:pPr>
        <w:spacing w:after="120" w:line="254" w:lineRule="auto"/>
        <w:ind w:firstLine="720"/>
        <w:jc w:val="both"/>
        <w:rPr>
          <w:rFonts w:cs="Times New Roman"/>
        </w:rPr>
      </w:pPr>
      <w:r w:rsidRPr="00FA3119">
        <w:rPr>
          <w:rFonts w:cs="Times New Roman"/>
        </w:rPr>
        <w:t>Atbilstoši likumā</w:t>
      </w:r>
      <w:r w:rsidRPr="00FA3119">
        <w:rPr>
          <w:rFonts w:cs="Times New Roman"/>
          <w:vertAlign w:val="superscript"/>
        </w:rPr>
        <w:footnoteReference w:id="19"/>
      </w:r>
      <w:r w:rsidRPr="00FA3119">
        <w:rPr>
          <w:rFonts w:cs="Times New Roman"/>
        </w:rPr>
        <w:t xml:space="preserve"> noteiktajam, Centrs nodrošina, ka amatpersonām apmaksāto veselības aprūpes pakalpojumu apjoms nav mazāks par veselības apdrošināšanas polises parasti garantēto pakalpojumu klāstu un apmaksājamo apmēru līdzīgos apdrošināšanas gadījumos. Amatpersonām apmaksā veselības aprūpes pakalpojumus, kas saņemti iestādē, kura ir reģistrēta ārstniecības iestāžu reģ</w:t>
      </w:r>
      <w:r w:rsidR="005A4951">
        <w:rPr>
          <w:rFonts w:cs="Times New Roman"/>
        </w:rPr>
        <w:t>istrā (izņemot redzes pārbaudi)</w:t>
      </w:r>
      <w:r w:rsidRPr="00FA3119">
        <w:rPr>
          <w:rFonts w:cs="Times New Roman"/>
        </w:rPr>
        <w:t xml:space="preserve"> un kurus ārstniecības iestāde ir reģistrējusi atbilstoši normatīvo aktu prasībām. Attiecīgi, Centrs izmaksā veselības aprūpes izdevumu kompensāciju, ko amatpersona apmaksājusi no saviem līdzekļiem, to starpā: </w:t>
      </w:r>
    </w:p>
    <w:p w14:paraId="6241C837" w14:textId="77777777" w:rsidR="00FA3119" w:rsidRPr="00FA3119" w:rsidRDefault="00FA3119" w:rsidP="00083858">
      <w:pPr>
        <w:numPr>
          <w:ilvl w:val="0"/>
          <w:numId w:val="7"/>
        </w:numPr>
        <w:spacing w:after="120" w:line="254" w:lineRule="auto"/>
        <w:ind w:left="0" w:firstLine="720"/>
        <w:jc w:val="both"/>
        <w:rPr>
          <w:rFonts w:cs="Times New Roman"/>
        </w:rPr>
      </w:pPr>
      <w:r w:rsidRPr="00FA3119">
        <w:rPr>
          <w:rFonts w:cs="Times New Roman"/>
        </w:rPr>
        <w:t>pacientu iemaksas un līdzmaksājumus bez limita ierobežojuma;</w:t>
      </w:r>
    </w:p>
    <w:p w14:paraId="10AAE284" w14:textId="77777777" w:rsidR="00FA3119" w:rsidRPr="00FA3119" w:rsidRDefault="00FA3119" w:rsidP="00083858">
      <w:pPr>
        <w:numPr>
          <w:ilvl w:val="0"/>
          <w:numId w:val="7"/>
        </w:numPr>
        <w:spacing w:after="120" w:line="254" w:lineRule="auto"/>
        <w:ind w:left="1418" w:hanging="698"/>
        <w:jc w:val="both"/>
        <w:rPr>
          <w:rFonts w:cs="Times New Roman"/>
        </w:rPr>
      </w:pPr>
      <w:r w:rsidRPr="00FA3119">
        <w:rPr>
          <w:rFonts w:cs="Times New Roman"/>
        </w:rPr>
        <w:t xml:space="preserve">veselības aprūpes pakalpojumus, kas netiek segti no veselības aprūpei paredzētajiem valsts budžeta līdzekļiem, t.i. par medicīniskajiem maksas pakalpojumiem, līdz 250 </w:t>
      </w:r>
      <w:r w:rsidRPr="00FA3119">
        <w:rPr>
          <w:rFonts w:cs="Times New Roman"/>
          <w:i/>
        </w:rPr>
        <w:t>euro</w:t>
      </w:r>
      <w:r w:rsidRPr="00FA3119">
        <w:rPr>
          <w:rFonts w:cs="Times New Roman"/>
        </w:rPr>
        <w:t xml:space="preserve"> gadā;</w:t>
      </w:r>
    </w:p>
    <w:p w14:paraId="06C09116" w14:textId="77777777" w:rsidR="00FA3119" w:rsidRPr="00FA3119" w:rsidRDefault="00FA3119" w:rsidP="00083858">
      <w:pPr>
        <w:numPr>
          <w:ilvl w:val="0"/>
          <w:numId w:val="7"/>
        </w:numPr>
        <w:spacing w:after="120" w:line="254" w:lineRule="auto"/>
        <w:ind w:left="1418" w:hanging="698"/>
        <w:jc w:val="both"/>
        <w:rPr>
          <w:rFonts w:cs="Times New Roman"/>
        </w:rPr>
      </w:pPr>
      <w:r w:rsidRPr="00FA3119">
        <w:rPr>
          <w:rFonts w:cs="Times New Roman"/>
        </w:rPr>
        <w:t>vakcinācijas pret ērču encefalītu un B hepatītu bez limita ierobežojumiem;</w:t>
      </w:r>
    </w:p>
    <w:p w14:paraId="248AB623" w14:textId="77777777" w:rsidR="00FA3119" w:rsidRPr="00FA3119" w:rsidRDefault="00FA3119" w:rsidP="00083858">
      <w:pPr>
        <w:numPr>
          <w:ilvl w:val="0"/>
          <w:numId w:val="7"/>
        </w:numPr>
        <w:spacing w:after="120" w:line="254" w:lineRule="auto"/>
        <w:ind w:left="1418" w:hanging="698"/>
        <w:jc w:val="both"/>
        <w:rPr>
          <w:rFonts w:cs="Times New Roman"/>
        </w:rPr>
      </w:pPr>
      <w:r w:rsidRPr="00FA3119">
        <w:rPr>
          <w:rFonts w:cs="Times New Roman"/>
        </w:rPr>
        <w:t>zobārstniecības (izņemot ortodontiju un protezēšanu) pakalpojumus 200 </w:t>
      </w:r>
      <w:r w:rsidRPr="00FA3119">
        <w:rPr>
          <w:rFonts w:cs="Times New Roman"/>
          <w:i/>
        </w:rPr>
        <w:t>euro</w:t>
      </w:r>
      <w:r w:rsidRPr="00FA3119">
        <w:rPr>
          <w:rFonts w:cs="Times New Roman"/>
        </w:rPr>
        <w:t xml:space="preserve"> apmērā kalendārajā gadā;</w:t>
      </w:r>
    </w:p>
    <w:p w14:paraId="787A1894" w14:textId="77777777" w:rsidR="00FA3119" w:rsidRPr="00FA3119" w:rsidRDefault="00FA3119" w:rsidP="00083858">
      <w:pPr>
        <w:numPr>
          <w:ilvl w:val="0"/>
          <w:numId w:val="7"/>
        </w:numPr>
        <w:spacing w:after="120" w:line="254" w:lineRule="auto"/>
        <w:ind w:left="1418" w:hanging="698"/>
        <w:jc w:val="both"/>
        <w:rPr>
          <w:rFonts w:cs="Times New Roman"/>
        </w:rPr>
      </w:pPr>
      <w:r w:rsidRPr="00FA3119">
        <w:rPr>
          <w:rFonts w:cs="Times New Roman"/>
        </w:rPr>
        <w:t xml:space="preserve">medikamentus (ar pievienotu ārstniecības personas izrakstītu recepti) 75 </w:t>
      </w:r>
      <w:r w:rsidRPr="00FA3119">
        <w:rPr>
          <w:rFonts w:cs="Times New Roman"/>
          <w:i/>
        </w:rPr>
        <w:t>euro</w:t>
      </w:r>
      <w:r w:rsidRPr="00FA3119">
        <w:rPr>
          <w:rFonts w:cs="Times New Roman"/>
        </w:rPr>
        <w:t xml:space="preserve"> apmērā, kompensējot 100% no izdevumiem kalendārajā gadā;</w:t>
      </w:r>
    </w:p>
    <w:p w14:paraId="53FCC440" w14:textId="7373DF16" w:rsidR="00E67E46" w:rsidRDefault="00E67E46" w:rsidP="00083858">
      <w:pPr>
        <w:spacing w:after="120"/>
        <w:ind w:left="720"/>
        <w:jc w:val="both"/>
        <w:rPr>
          <w:rFonts w:cs="Times New Roman"/>
        </w:rPr>
      </w:pPr>
    </w:p>
    <w:p w14:paraId="3F4254BD" w14:textId="7C8DE2DA" w:rsidR="00083858" w:rsidRDefault="00083858" w:rsidP="00083858">
      <w:pPr>
        <w:spacing w:after="120"/>
        <w:ind w:left="720"/>
        <w:jc w:val="both"/>
        <w:rPr>
          <w:rFonts w:cs="Times New Roman"/>
        </w:rPr>
      </w:pPr>
    </w:p>
    <w:p w14:paraId="6A44D308" w14:textId="77777777" w:rsidR="00083858" w:rsidRPr="009C57E3" w:rsidRDefault="00083858" w:rsidP="00083858">
      <w:pPr>
        <w:spacing w:after="120"/>
        <w:ind w:left="720"/>
        <w:jc w:val="both"/>
        <w:rPr>
          <w:rFonts w:cs="Times New Roman"/>
        </w:rPr>
      </w:pPr>
    </w:p>
    <w:p w14:paraId="2301AB16" w14:textId="665DEB39" w:rsidR="005A4951" w:rsidRDefault="005A4951" w:rsidP="002D1528">
      <w:pPr>
        <w:pStyle w:val="Caption"/>
        <w:rPr>
          <w:rFonts w:cs="Times New Roman"/>
          <w:b/>
        </w:rPr>
      </w:pPr>
      <w:r>
        <w:lastRenderedPageBreak/>
        <w:t xml:space="preserve">Attēls Nr. </w:t>
      </w:r>
      <w:fldSimple w:instr=" SEQ Attēls_Nr. \* ARABIC ">
        <w:r w:rsidR="00D96F20">
          <w:rPr>
            <w:noProof/>
          </w:rPr>
          <w:t>25</w:t>
        </w:r>
      </w:fldSimple>
    </w:p>
    <w:p w14:paraId="120D2AAF" w14:textId="77777777" w:rsidR="00FA3119" w:rsidRPr="00FA3119" w:rsidRDefault="00FA3119" w:rsidP="00F23631">
      <w:pPr>
        <w:spacing w:after="120" w:line="254" w:lineRule="auto"/>
        <w:jc w:val="center"/>
        <w:rPr>
          <w:rFonts w:cs="Times New Roman"/>
          <w:b/>
          <w:i/>
        </w:rPr>
      </w:pPr>
      <w:r w:rsidRPr="00FA3119">
        <w:rPr>
          <w:rFonts w:cs="Times New Roman"/>
          <w:b/>
        </w:rPr>
        <w:t xml:space="preserve">Veselības aprūpes izdevumu kompensāciju saņēmušo amatpersonu skaita un vidējā kompensācijas apmēra dinamika, </w:t>
      </w:r>
      <w:r w:rsidRPr="00FA3119">
        <w:rPr>
          <w:rFonts w:cs="Times New Roman"/>
          <w:b/>
          <w:i/>
        </w:rPr>
        <w:t>euro</w:t>
      </w:r>
      <w:r w:rsidRPr="00FA3119">
        <w:rPr>
          <w:rFonts w:cs="Times New Roman"/>
          <w:b/>
          <w:vertAlign w:val="superscript"/>
        </w:rPr>
        <w:footnoteReference w:id="20"/>
      </w:r>
    </w:p>
    <w:p w14:paraId="1E2B3E30" w14:textId="77777777" w:rsidR="00FA3119" w:rsidRPr="00FA3119" w:rsidRDefault="005A4951" w:rsidP="00F23631">
      <w:pPr>
        <w:spacing w:after="120" w:line="254" w:lineRule="auto"/>
        <w:jc w:val="center"/>
        <w:rPr>
          <w:rFonts w:cs="Times New Roman"/>
          <w:b/>
          <w:i/>
        </w:rPr>
      </w:pPr>
      <w:r>
        <w:rPr>
          <w:noProof/>
          <w:lang w:eastAsia="lv-LV"/>
        </w:rPr>
        <w:drawing>
          <wp:inline distT="0" distB="0" distL="0" distR="0" wp14:anchorId="24F5FF78" wp14:editId="0C566CBF">
            <wp:extent cx="4714875" cy="2852738"/>
            <wp:effectExtent l="0" t="0" r="9525" b="508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BFD7D44" w14:textId="4295C921" w:rsidR="00FA3119" w:rsidRPr="00D3569B" w:rsidRDefault="00FA3119" w:rsidP="00047287">
      <w:pPr>
        <w:spacing w:after="120"/>
        <w:ind w:firstLine="720"/>
        <w:jc w:val="both"/>
        <w:rPr>
          <w:rFonts w:cs="Times New Roman"/>
        </w:rPr>
      </w:pPr>
      <w:r w:rsidRPr="00FA3119">
        <w:rPr>
          <w:rFonts w:cs="Times New Roman"/>
        </w:rPr>
        <w:t>2019.</w:t>
      </w:r>
      <w:r w:rsidR="00EE12F5">
        <w:rPr>
          <w:rFonts w:cs="Times New Roman"/>
        </w:rPr>
        <w:t xml:space="preserve"> </w:t>
      </w:r>
      <w:r w:rsidRPr="00FA3119">
        <w:rPr>
          <w:rFonts w:cs="Times New Roman"/>
        </w:rPr>
        <w:t>gada statistika par izmaksāto veselības izdevumu kompensāciju skaitu liecina, ka tas ir stabilizējies. Pēc 2014.</w:t>
      </w:r>
      <w:r w:rsidR="00EE12F5">
        <w:rPr>
          <w:rFonts w:cs="Times New Roman"/>
        </w:rPr>
        <w:t xml:space="preserve"> </w:t>
      </w:r>
      <w:r w:rsidRPr="00FA3119">
        <w:rPr>
          <w:rFonts w:cs="Times New Roman"/>
        </w:rPr>
        <w:t>gada</w:t>
      </w:r>
      <w:r w:rsidR="00D3569B">
        <w:rPr>
          <w:rFonts w:cs="Times New Roman"/>
        </w:rPr>
        <w:t>,</w:t>
      </w:r>
      <w:r w:rsidRPr="00FA3119">
        <w:rPr>
          <w:rFonts w:cs="Times New Roman"/>
        </w:rPr>
        <w:t xml:space="preserve"> izmaksāto kompensāciju par veselības aprūpes izdevumiem skaits sāka pieaugt</w:t>
      </w:r>
      <w:r w:rsidR="00EE12F5">
        <w:rPr>
          <w:rFonts w:cs="Times New Roman"/>
        </w:rPr>
        <w:t>, ņemot vērā</w:t>
      </w:r>
      <w:r w:rsidRPr="00FA3119">
        <w:rPr>
          <w:rFonts w:cs="Times New Roman"/>
        </w:rPr>
        <w:t xml:space="preserve"> normatīvo aktu grozījumu un pieaugošo amatpersonu informētību par iespējām saņemt apmaksātu veselības aprūpi</w:t>
      </w:r>
      <w:r w:rsidR="00EE12F5">
        <w:rPr>
          <w:rFonts w:cs="Times New Roman"/>
        </w:rPr>
        <w:t>.</w:t>
      </w:r>
      <w:r w:rsidRPr="00FA3119">
        <w:rPr>
          <w:rFonts w:cs="Times New Roman"/>
        </w:rPr>
        <w:t xml:space="preserve"> Tostarp, būtiski pieauga izdevumi veselības aprūpes izdevumu kompensāciju izmaksai, jo ievērojami tika paaugstināti kompensējamo izdevumu limiti. Iespēju saņemt veselības aprūpes izdevumu kompensāciju 2018.</w:t>
      </w:r>
      <w:r w:rsidR="00EE12F5">
        <w:rPr>
          <w:rFonts w:cs="Times New Roman"/>
        </w:rPr>
        <w:t xml:space="preserve"> </w:t>
      </w:r>
      <w:r w:rsidRPr="00FA3119">
        <w:rPr>
          <w:rFonts w:cs="Times New Roman"/>
        </w:rPr>
        <w:t>gadā izmantoja jau 95% amatpersonu, no kā var secināt, ka amatpersonas ir informētas par</w:t>
      </w:r>
      <w:r w:rsidR="00D3569B">
        <w:rPr>
          <w:rFonts w:cs="Times New Roman"/>
        </w:rPr>
        <w:t xml:space="preserve"> iespējām saņemt kompensācijas.</w:t>
      </w:r>
    </w:p>
    <w:p w14:paraId="46BBA4FF" w14:textId="77777777" w:rsidR="00FA3119" w:rsidRPr="00D3569B" w:rsidRDefault="00FA3119" w:rsidP="00047287">
      <w:pPr>
        <w:spacing w:before="320" w:after="120"/>
        <w:rPr>
          <w:b/>
        </w:rPr>
      </w:pPr>
      <w:bookmarkStart w:id="100" w:name="_Toc41391696"/>
      <w:r w:rsidRPr="00D3569B">
        <w:rPr>
          <w:b/>
        </w:rPr>
        <w:t>IeM Poliklīnika</w:t>
      </w:r>
      <w:bookmarkEnd w:id="100"/>
    </w:p>
    <w:p w14:paraId="27B597E4" w14:textId="0CD0AD0B" w:rsidR="00FA3119" w:rsidRPr="00FA3119" w:rsidRDefault="00FA3119" w:rsidP="00047287">
      <w:pPr>
        <w:spacing w:after="120"/>
        <w:ind w:firstLine="720"/>
        <w:jc w:val="both"/>
        <w:rPr>
          <w:rFonts w:eastAsiaTheme="majorEastAsia" w:cstheme="majorBidi"/>
        </w:rPr>
      </w:pPr>
      <w:r w:rsidRPr="00FA3119">
        <w:rPr>
          <w:rFonts w:eastAsiaTheme="majorEastAsia" w:cstheme="majorBidi"/>
        </w:rPr>
        <w:t>Kopš 1998.</w:t>
      </w:r>
      <w:r w:rsidR="00EE12F5">
        <w:rPr>
          <w:rFonts w:eastAsiaTheme="majorEastAsia" w:cstheme="majorBidi"/>
        </w:rPr>
        <w:t xml:space="preserve"> </w:t>
      </w:r>
      <w:r w:rsidRPr="00FA3119">
        <w:rPr>
          <w:rFonts w:eastAsiaTheme="majorEastAsia" w:cstheme="majorBidi"/>
        </w:rPr>
        <w:t>gada izveidota</w:t>
      </w:r>
      <w:r w:rsidRPr="00FA3119">
        <w:rPr>
          <w:rFonts w:eastAsiaTheme="majorEastAsia" w:cstheme="majorBidi"/>
          <w:vertAlign w:val="superscript"/>
        </w:rPr>
        <w:footnoteReference w:id="21"/>
      </w:r>
      <w:r w:rsidRPr="00FA3119">
        <w:rPr>
          <w:rFonts w:eastAsiaTheme="majorEastAsia" w:cstheme="majorBidi"/>
        </w:rPr>
        <w:t xml:space="preserve"> </w:t>
      </w:r>
      <w:r w:rsidRPr="002F4546">
        <w:rPr>
          <w:rFonts w:eastAsiaTheme="majorEastAsia" w:cstheme="majorBidi"/>
        </w:rPr>
        <w:t>VSIA “Iekšlietu ministrijas poliklīnika”</w:t>
      </w:r>
      <w:r w:rsidRPr="00FA3119">
        <w:rPr>
          <w:rFonts w:eastAsiaTheme="majorEastAsia" w:cstheme="majorBidi"/>
        </w:rPr>
        <w:t xml:space="preserve"> (turpmāk – Poliklīnika). Tās vienīgais kapitāldaļu turētājs ir </w:t>
      </w:r>
      <w:r w:rsidR="002F4546">
        <w:rPr>
          <w:rFonts w:eastAsiaTheme="majorEastAsia" w:cstheme="majorBidi"/>
        </w:rPr>
        <w:t>IeM</w:t>
      </w:r>
      <w:r w:rsidRPr="00FA3119">
        <w:rPr>
          <w:rFonts w:eastAsiaTheme="majorEastAsia" w:cstheme="majorBidi"/>
        </w:rPr>
        <w:t xml:space="preserve">. Poliklīnika pastāv, pirmkārt, kā ambulatora ārstniecības iestāde, kas nodrošina primāro un sekundāro ambulatoro veselības aprūpi, otrkārt, tās ietvaros izveidotā </w:t>
      </w:r>
      <w:r w:rsidR="002F4546">
        <w:rPr>
          <w:rFonts w:eastAsiaTheme="majorEastAsia" w:cstheme="majorBidi"/>
        </w:rPr>
        <w:t>CMEK</w:t>
      </w:r>
      <w:r w:rsidRPr="00FA3119">
        <w:rPr>
          <w:rFonts w:eastAsiaTheme="majorEastAsia" w:cstheme="majorBidi"/>
        </w:rPr>
        <w:t>, kura veic amatpersonu un amatpersonu kandidātu veselības stāvokļa pārbaudes. Poliklīnikā ir 139 darbinieki, no tiem 5 ģimenes ārsti. Poliklīnikā ir zobārstniecības kabinets, klīniski diagnostiskā, bioķīmiskā un imunoloģiskā laboratorija, rentgena kabinets, funkcionālās diagnostikas kabinets, ultrasonogrāfijas izmeklējumu kabinets.</w:t>
      </w:r>
    </w:p>
    <w:p w14:paraId="7C90C3B7" w14:textId="77777777" w:rsidR="00FA3119" w:rsidRPr="00FA3119" w:rsidRDefault="00FA3119" w:rsidP="00047287">
      <w:pPr>
        <w:spacing w:after="120"/>
        <w:ind w:firstLine="720"/>
        <w:jc w:val="both"/>
        <w:rPr>
          <w:rFonts w:eastAsiaTheme="majorEastAsia" w:cstheme="majorBidi"/>
        </w:rPr>
      </w:pPr>
      <w:r w:rsidRPr="00FA3119">
        <w:rPr>
          <w:rFonts w:eastAsiaTheme="majorEastAsia" w:cstheme="majorBidi"/>
        </w:rPr>
        <w:t xml:space="preserve">Poliklīnikas darbība sadalāma četros sektoros: </w:t>
      </w:r>
    </w:p>
    <w:p w14:paraId="58B14508" w14:textId="4447A385" w:rsidR="00FA3119" w:rsidRPr="00FA3119" w:rsidRDefault="00FA3119" w:rsidP="006A15ED">
      <w:pPr>
        <w:numPr>
          <w:ilvl w:val="0"/>
          <w:numId w:val="8"/>
        </w:numPr>
        <w:spacing w:after="120"/>
        <w:ind w:left="1560" w:hanging="426"/>
        <w:jc w:val="both"/>
        <w:rPr>
          <w:rFonts w:eastAsiaTheme="majorEastAsia" w:cstheme="majorBidi"/>
        </w:rPr>
      </w:pPr>
      <w:r w:rsidRPr="00FA3119">
        <w:rPr>
          <w:rFonts w:eastAsiaTheme="majorEastAsia" w:cstheme="majorBidi"/>
          <w:b/>
        </w:rPr>
        <w:t>amatpersonu veselības aprūpe</w:t>
      </w:r>
      <w:r w:rsidRPr="00FA3119">
        <w:rPr>
          <w:rFonts w:eastAsiaTheme="majorEastAsia" w:cstheme="majorBidi"/>
        </w:rPr>
        <w:t xml:space="preserve"> (dienesta pienākumu izpildei atbilstoša personāla nodrošināšanā </w:t>
      </w:r>
      <w:r w:rsidR="002F4546">
        <w:rPr>
          <w:rFonts w:eastAsiaTheme="majorEastAsia" w:cstheme="majorBidi"/>
        </w:rPr>
        <w:t>IeM</w:t>
      </w:r>
      <w:r w:rsidRPr="00FA3119">
        <w:rPr>
          <w:rFonts w:eastAsiaTheme="majorEastAsia" w:cstheme="majorBidi"/>
        </w:rPr>
        <w:t xml:space="preserve"> sistēmā </w:t>
      </w:r>
      <w:r w:rsidR="003D7900">
        <w:rPr>
          <w:rFonts w:eastAsiaTheme="majorEastAsia" w:cstheme="majorBidi"/>
        </w:rPr>
        <w:t xml:space="preserve">un </w:t>
      </w:r>
      <w:r w:rsidR="003D7900">
        <w:t>IeVP (amatpersonas</w:t>
      </w:r>
      <w:r w:rsidR="003D7900" w:rsidRPr="00561069">
        <w:t xml:space="preserve"> ar speciālajām dienesta pakāpēm</w:t>
      </w:r>
      <w:r w:rsidR="003D7900">
        <w:t xml:space="preserve">) </w:t>
      </w:r>
      <w:r w:rsidRPr="00FA3119">
        <w:rPr>
          <w:rFonts w:eastAsiaTheme="majorEastAsia" w:cstheme="majorBidi"/>
        </w:rPr>
        <w:t>– darbinieku veselības stāvokļa kontroles sistēma, darbinieku pieņemšana un atvaļināšana no dienesta);</w:t>
      </w:r>
    </w:p>
    <w:p w14:paraId="23B21FFF" w14:textId="77777777" w:rsidR="00FA3119" w:rsidRPr="00FA3119" w:rsidRDefault="00FA3119" w:rsidP="006A15ED">
      <w:pPr>
        <w:numPr>
          <w:ilvl w:val="0"/>
          <w:numId w:val="8"/>
        </w:numPr>
        <w:spacing w:after="120"/>
        <w:ind w:left="1560" w:hanging="426"/>
        <w:jc w:val="both"/>
        <w:rPr>
          <w:rFonts w:eastAsiaTheme="majorEastAsia" w:cstheme="majorBidi"/>
        </w:rPr>
      </w:pPr>
      <w:r w:rsidRPr="00FA3119">
        <w:rPr>
          <w:rFonts w:eastAsiaTheme="majorEastAsia" w:cstheme="majorBidi"/>
          <w:b/>
        </w:rPr>
        <w:lastRenderedPageBreak/>
        <w:t>NVD apmaksātie pakalpojumi</w:t>
      </w:r>
      <w:r w:rsidRPr="00FA3119">
        <w:rPr>
          <w:rFonts w:eastAsiaTheme="majorEastAsia" w:cstheme="majorBidi"/>
        </w:rPr>
        <w:t xml:space="preserve"> (ambulatorās veselības aprūpes pakalpojumu sniegšana gan primārās (ģimenes ārstu), gan sekundārās (speciālistu, diagnostisko izmeklējumu) veselības aprūpes līmenī);</w:t>
      </w:r>
    </w:p>
    <w:p w14:paraId="0B436E6B" w14:textId="088BD7E1" w:rsidR="00B86ECC" w:rsidRPr="00083858" w:rsidRDefault="00FA3119" w:rsidP="00083858">
      <w:pPr>
        <w:numPr>
          <w:ilvl w:val="0"/>
          <w:numId w:val="8"/>
        </w:numPr>
        <w:spacing w:after="120"/>
        <w:ind w:left="1560" w:hanging="426"/>
        <w:jc w:val="both"/>
        <w:rPr>
          <w:rFonts w:eastAsiaTheme="majorEastAsia" w:cstheme="majorBidi"/>
        </w:rPr>
      </w:pPr>
      <w:r w:rsidRPr="00FA3119">
        <w:rPr>
          <w:rFonts w:eastAsiaTheme="majorEastAsia" w:cstheme="majorBidi"/>
          <w:b/>
        </w:rPr>
        <w:t>Maksas veselības aprūpes pakalpojumi</w:t>
      </w:r>
      <w:r w:rsidRPr="00FA3119">
        <w:rPr>
          <w:rFonts w:eastAsiaTheme="majorEastAsia" w:cstheme="majorBidi"/>
        </w:rPr>
        <w:t xml:space="preserve"> (saskaņā ar Poliklīnikas maksas pakalpojumu cenrādi);</w:t>
      </w:r>
    </w:p>
    <w:p w14:paraId="34EFADB4" w14:textId="77777777" w:rsidR="00FA3119" w:rsidRPr="00FA3119" w:rsidRDefault="00FA3119" w:rsidP="00047287">
      <w:pPr>
        <w:spacing w:after="120"/>
        <w:ind w:firstLine="720"/>
        <w:jc w:val="both"/>
        <w:rPr>
          <w:rFonts w:eastAsiaTheme="majorEastAsia" w:cstheme="majorBidi"/>
          <w:u w:val="single"/>
        </w:rPr>
      </w:pPr>
      <w:r w:rsidRPr="00FA3119">
        <w:rPr>
          <w:rFonts w:eastAsiaTheme="majorEastAsia" w:cstheme="majorBidi"/>
        </w:rPr>
        <w:t xml:space="preserve">Kopumā Poliklīnikas darbība ir līdzvērtīga jebkurai citai ambulatorai ārstniecības iestādei, kas nodrošina veselības aprūpi. Kaut arī tā veic </w:t>
      </w:r>
      <w:r w:rsidR="002F4546">
        <w:rPr>
          <w:rFonts w:eastAsiaTheme="majorEastAsia" w:cstheme="majorBidi"/>
        </w:rPr>
        <w:t>IeM</w:t>
      </w:r>
      <w:r w:rsidRPr="00FA3119">
        <w:rPr>
          <w:rFonts w:eastAsiaTheme="majorEastAsia" w:cstheme="majorBidi"/>
        </w:rPr>
        <w:t xml:space="preserve"> struktūrās nodarbināto amatpersonu veselības aprūpi (arī ārpus veselības pārbaudes pakalpojumiem),</w:t>
      </w:r>
      <w:r w:rsidRPr="002F4546">
        <w:rPr>
          <w:rFonts w:eastAsiaTheme="majorEastAsia" w:cstheme="majorBidi"/>
        </w:rPr>
        <w:t xml:space="preserve"> amatpersonas ir tiesīgas izvēlēties, vai apmeklēt Poliklīniku vai jebkuru citu ārstniecības iestādi, kura ir reģistrēta ārstniecības iestāžu reģistrā (izņemot redzes pārbaudi) un atbilst normatīvo aktu prasībām.</w:t>
      </w:r>
    </w:p>
    <w:p w14:paraId="71AAB0F6" w14:textId="5015D52B" w:rsidR="00AB14B2" w:rsidRPr="00083858" w:rsidRDefault="00FA3119" w:rsidP="00083858">
      <w:pPr>
        <w:spacing w:after="120"/>
        <w:ind w:firstLine="720"/>
        <w:jc w:val="both"/>
        <w:rPr>
          <w:rFonts w:eastAsiaTheme="majorEastAsia" w:cstheme="majorBidi"/>
        </w:rPr>
      </w:pPr>
      <w:r w:rsidRPr="00FA3119">
        <w:rPr>
          <w:rFonts w:eastAsiaTheme="majorEastAsia" w:cstheme="majorBidi"/>
        </w:rPr>
        <w:t xml:space="preserve">Ir vērts arī pieminēt, ka, tāpat kā citās ārstniecības iestādēs, arī IeM Poliklīnikas pakalpojumi (NVD apmaksātie un maksas) ir </w:t>
      </w:r>
      <w:bookmarkStart w:id="101" w:name="_Ref45701887"/>
      <w:r w:rsidR="00764A07">
        <w:rPr>
          <w:rFonts w:eastAsiaTheme="majorEastAsia" w:cstheme="majorBidi"/>
        </w:rPr>
        <w:t>pieejami jebkuram iedzīvotājam.</w:t>
      </w:r>
      <w:bookmarkStart w:id="102" w:name="_Ref45788134"/>
      <w:bookmarkStart w:id="103" w:name="_Ref46310434"/>
      <w:bookmarkStart w:id="104" w:name="_Ref47087429"/>
    </w:p>
    <w:p w14:paraId="3C53C0D5" w14:textId="01B9B165" w:rsidR="002F4546" w:rsidRDefault="002F4546" w:rsidP="002F4546">
      <w:pPr>
        <w:pStyle w:val="Caption"/>
        <w:rPr>
          <w:rFonts w:eastAsiaTheme="majorEastAsia" w:cstheme="majorBidi"/>
          <w:b/>
        </w:rPr>
      </w:pPr>
      <w:bookmarkStart w:id="105" w:name="_Ref47348046"/>
      <w:r>
        <w:t xml:space="preserve">Attēls Nr. </w:t>
      </w:r>
      <w:fldSimple w:instr=" SEQ Attēls_Nr. \* ARABIC ">
        <w:r w:rsidR="00D96F20">
          <w:rPr>
            <w:noProof/>
          </w:rPr>
          <w:t>26</w:t>
        </w:r>
      </w:fldSimple>
      <w:bookmarkEnd w:id="101"/>
      <w:bookmarkEnd w:id="102"/>
      <w:bookmarkEnd w:id="103"/>
      <w:bookmarkEnd w:id="104"/>
      <w:bookmarkEnd w:id="105"/>
    </w:p>
    <w:p w14:paraId="741981C5" w14:textId="77777777" w:rsidR="00FA3119" w:rsidRPr="00FA3119" w:rsidRDefault="00FA3119" w:rsidP="00F23631">
      <w:pPr>
        <w:spacing w:after="120" w:line="254" w:lineRule="auto"/>
        <w:ind w:firstLine="720"/>
        <w:jc w:val="center"/>
        <w:rPr>
          <w:rFonts w:eastAsiaTheme="majorEastAsia" w:cstheme="majorBidi"/>
          <w:b/>
          <w:i/>
        </w:rPr>
      </w:pPr>
      <w:r w:rsidRPr="00FA3119">
        <w:rPr>
          <w:rFonts w:eastAsiaTheme="majorEastAsia" w:cstheme="majorBidi"/>
          <w:b/>
        </w:rPr>
        <w:t xml:space="preserve">Poliklīnikas ieņēmumu struktūra, </w:t>
      </w:r>
      <w:r w:rsidRPr="00FA3119">
        <w:rPr>
          <w:rFonts w:eastAsiaTheme="majorEastAsia" w:cstheme="majorBidi"/>
          <w:b/>
          <w:i/>
        </w:rPr>
        <w:t>euro</w:t>
      </w:r>
    </w:p>
    <w:p w14:paraId="11944CF8" w14:textId="77777777" w:rsidR="00FA3119" w:rsidRPr="00FA3119" w:rsidRDefault="001602F9" w:rsidP="00F23631">
      <w:pPr>
        <w:spacing w:after="120" w:line="254" w:lineRule="auto"/>
        <w:jc w:val="center"/>
        <w:rPr>
          <w:rFonts w:eastAsiaTheme="majorEastAsia" w:cstheme="majorBidi"/>
          <w:b/>
        </w:rPr>
      </w:pPr>
      <w:r>
        <w:rPr>
          <w:noProof/>
          <w:lang w:eastAsia="lv-LV"/>
        </w:rPr>
        <w:drawing>
          <wp:inline distT="0" distB="0" distL="0" distR="0" wp14:anchorId="6A96A02B" wp14:editId="2F8B8816">
            <wp:extent cx="5695950" cy="2181225"/>
            <wp:effectExtent l="0" t="0" r="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5976E0" w14:textId="5ACC92A8" w:rsidR="00E67E46" w:rsidRPr="009C57E3" w:rsidRDefault="00FA3119" w:rsidP="009C57E3">
      <w:pPr>
        <w:pStyle w:val="Caption"/>
        <w:ind w:firstLine="720"/>
        <w:jc w:val="both"/>
        <w:rPr>
          <w:rFonts w:eastAsiaTheme="majorEastAsia" w:cstheme="majorBidi"/>
        </w:rPr>
      </w:pPr>
      <w:r w:rsidRPr="003B12F2">
        <w:rPr>
          <w:rFonts w:eastAsiaTheme="majorEastAsia" w:cstheme="majorBidi"/>
        </w:rPr>
        <w:t>P</w:t>
      </w:r>
      <w:r w:rsidR="009C57E3">
        <w:rPr>
          <w:rFonts w:eastAsiaTheme="majorEastAsia" w:cstheme="majorBidi"/>
        </w:rPr>
        <w:t>oliklīnikas ieņēmumu struktūrā (</w:t>
      </w:r>
      <w:r w:rsidR="009C57E3">
        <w:rPr>
          <w:rFonts w:eastAsiaTheme="majorEastAsia" w:cstheme="majorBidi"/>
        </w:rPr>
        <w:fldChar w:fldCharType="begin"/>
      </w:r>
      <w:r w:rsidR="009C57E3">
        <w:rPr>
          <w:rFonts w:eastAsiaTheme="majorEastAsia" w:cstheme="majorBidi"/>
        </w:rPr>
        <w:instrText xml:space="preserve"> REF _Ref47348046 \h </w:instrText>
      </w:r>
      <w:r w:rsidR="009C57E3">
        <w:rPr>
          <w:rFonts w:eastAsiaTheme="majorEastAsia" w:cstheme="majorBidi"/>
        </w:rPr>
      </w:r>
      <w:r w:rsidR="009C57E3">
        <w:rPr>
          <w:rFonts w:eastAsiaTheme="majorEastAsia" w:cstheme="majorBidi"/>
        </w:rPr>
        <w:fldChar w:fldCharType="separate"/>
      </w:r>
      <w:r w:rsidR="00D96F20">
        <w:t xml:space="preserve">Attēls Nr. </w:t>
      </w:r>
      <w:r w:rsidR="00D96F20">
        <w:rPr>
          <w:noProof/>
        </w:rPr>
        <w:t>26</w:t>
      </w:r>
      <w:r w:rsidR="009C57E3">
        <w:rPr>
          <w:rFonts w:eastAsiaTheme="majorEastAsia" w:cstheme="majorBidi"/>
        </w:rPr>
        <w:fldChar w:fldCharType="end"/>
      </w:r>
      <w:r w:rsidR="009C57E3">
        <w:rPr>
          <w:rFonts w:eastAsiaTheme="majorEastAsia" w:cstheme="majorBidi"/>
        </w:rPr>
        <w:t xml:space="preserve">) </w:t>
      </w:r>
      <w:r w:rsidRPr="003B12F2">
        <w:rPr>
          <w:rFonts w:eastAsiaTheme="majorEastAsia" w:cstheme="majorBidi"/>
        </w:rPr>
        <w:t xml:space="preserve">redzams, ka ir tendence pieaugt ieņēmumiem no valsts budžeta (attiecīgi no NVD un Centra), savukārt ieņēmumi no Poliklīnikas maksas pakalpojumiem samazinās. </w:t>
      </w:r>
    </w:p>
    <w:p w14:paraId="675C51FC" w14:textId="77777777" w:rsidR="00083858" w:rsidRDefault="00083858" w:rsidP="00593F5F">
      <w:pPr>
        <w:pStyle w:val="Caption"/>
      </w:pPr>
    </w:p>
    <w:p w14:paraId="14CC04A3" w14:textId="77777777" w:rsidR="00083858" w:rsidRDefault="00083858" w:rsidP="00593F5F">
      <w:pPr>
        <w:pStyle w:val="Caption"/>
      </w:pPr>
    </w:p>
    <w:p w14:paraId="4EE9234A" w14:textId="77777777" w:rsidR="00083858" w:rsidRDefault="00083858" w:rsidP="00593F5F">
      <w:pPr>
        <w:pStyle w:val="Caption"/>
      </w:pPr>
    </w:p>
    <w:p w14:paraId="3414F83B" w14:textId="77777777" w:rsidR="00083858" w:rsidRDefault="00083858" w:rsidP="00593F5F">
      <w:pPr>
        <w:pStyle w:val="Caption"/>
      </w:pPr>
    </w:p>
    <w:p w14:paraId="6556C377" w14:textId="77777777" w:rsidR="00083858" w:rsidRDefault="00083858" w:rsidP="00593F5F">
      <w:pPr>
        <w:pStyle w:val="Caption"/>
      </w:pPr>
    </w:p>
    <w:p w14:paraId="49DD6FBE" w14:textId="77777777" w:rsidR="00083858" w:rsidRDefault="00083858" w:rsidP="00593F5F">
      <w:pPr>
        <w:pStyle w:val="Caption"/>
      </w:pPr>
    </w:p>
    <w:p w14:paraId="71DF9229" w14:textId="77777777" w:rsidR="00083858" w:rsidRDefault="00083858" w:rsidP="00593F5F">
      <w:pPr>
        <w:pStyle w:val="Caption"/>
      </w:pPr>
    </w:p>
    <w:p w14:paraId="07B366AA" w14:textId="77777777" w:rsidR="00083858" w:rsidRDefault="00083858" w:rsidP="00593F5F">
      <w:pPr>
        <w:pStyle w:val="Caption"/>
      </w:pPr>
    </w:p>
    <w:p w14:paraId="103D3C5B" w14:textId="77777777" w:rsidR="00083858" w:rsidRDefault="00083858" w:rsidP="00593F5F">
      <w:pPr>
        <w:pStyle w:val="Caption"/>
      </w:pPr>
    </w:p>
    <w:p w14:paraId="366A37B3" w14:textId="77777777" w:rsidR="00083858" w:rsidRDefault="00083858" w:rsidP="00593F5F">
      <w:pPr>
        <w:pStyle w:val="Caption"/>
      </w:pPr>
    </w:p>
    <w:p w14:paraId="67AA6FF2" w14:textId="77777777" w:rsidR="00083858" w:rsidRDefault="00083858" w:rsidP="00593F5F">
      <w:pPr>
        <w:pStyle w:val="Caption"/>
      </w:pPr>
    </w:p>
    <w:p w14:paraId="60322C5D" w14:textId="5EA38EC6" w:rsidR="00593F5F" w:rsidRDefault="001602F9" w:rsidP="00593F5F">
      <w:pPr>
        <w:pStyle w:val="Caption"/>
        <w:rPr>
          <w:noProof/>
        </w:rPr>
      </w:pPr>
      <w:r>
        <w:lastRenderedPageBreak/>
        <w:t xml:space="preserve">Attēls Nr. </w:t>
      </w:r>
      <w:fldSimple w:instr=" SEQ Attēls_Nr. \* ARABIC ">
        <w:r w:rsidR="00D96F20">
          <w:rPr>
            <w:noProof/>
          </w:rPr>
          <w:t>27</w:t>
        </w:r>
      </w:fldSimple>
    </w:p>
    <w:p w14:paraId="7FDCE671" w14:textId="77777777" w:rsidR="00FA3119" w:rsidRPr="00FA3119" w:rsidRDefault="001602F9" w:rsidP="00593F5F">
      <w:pPr>
        <w:pStyle w:val="Caption"/>
        <w:jc w:val="center"/>
        <w:rPr>
          <w:rFonts w:eastAsiaTheme="majorEastAsia" w:cstheme="majorBidi"/>
          <w:b/>
          <w:bCs/>
        </w:rPr>
      </w:pPr>
      <w:r w:rsidRPr="00B27399">
        <w:rPr>
          <w:rFonts w:eastAsiaTheme="majorEastAsia" w:cs="Times New Roman"/>
          <w:noProof/>
          <w:lang w:eastAsia="lv-LV"/>
        </w:rPr>
        <w:drawing>
          <wp:anchor distT="0" distB="0" distL="114300" distR="114300" simplePos="0" relativeHeight="251663360" behindDoc="0" locked="0" layoutInCell="1" allowOverlap="1" wp14:anchorId="16F06E24" wp14:editId="20BE0CC2">
            <wp:simplePos x="0" y="0"/>
            <wp:positionH relativeFrom="margin">
              <wp:posOffset>2545204</wp:posOffset>
            </wp:positionH>
            <wp:positionV relativeFrom="paragraph">
              <wp:posOffset>3993029</wp:posOffset>
            </wp:positionV>
            <wp:extent cx="3046845" cy="537995"/>
            <wp:effectExtent l="0" t="0" r="127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46845" cy="537995"/>
                    </a:xfrm>
                    <a:prstGeom prst="rect">
                      <a:avLst/>
                    </a:prstGeom>
                    <a:noFill/>
                  </pic:spPr>
                </pic:pic>
              </a:graphicData>
            </a:graphic>
            <wp14:sizeRelH relativeFrom="margin">
              <wp14:pctWidth>0</wp14:pctWidth>
            </wp14:sizeRelH>
            <wp14:sizeRelV relativeFrom="margin">
              <wp14:pctHeight>0</wp14:pctHeight>
            </wp14:sizeRelV>
          </wp:anchor>
        </w:drawing>
      </w:r>
      <w:r w:rsidRPr="00FA3119">
        <w:rPr>
          <w:rFonts w:eastAsiaTheme="majorEastAsia" w:cstheme="majorBidi"/>
          <w:b/>
          <w:noProof/>
          <w:lang w:eastAsia="lv-LV"/>
        </w:rPr>
        <w:drawing>
          <wp:anchor distT="0" distB="0" distL="114300" distR="114300" simplePos="0" relativeHeight="251662336" behindDoc="0" locked="0" layoutInCell="1" allowOverlap="1" wp14:anchorId="35FC325D" wp14:editId="2724E2FE">
            <wp:simplePos x="0" y="0"/>
            <wp:positionH relativeFrom="margin">
              <wp:align>left</wp:align>
            </wp:positionH>
            <wp:positionV relativeFrom="paragraph">
              <wp:posOffset>450850</wp:posOffset>
            </wp:positionV>
            <wp:extent cx="5765800" cy="4178300"/>
            <wp:effectExtent l="0" t="0" r="635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5800" cy="4178300"/>
                    </a:xfrm>
                    <a:prstGeom prst="rect">
                      <a:avLst/>
                    </a:prstGeom>
                    <a:noFill/>
                  </pic:spPr>
                </pic:pic>
              </a:graphicData>
            </a:graphic>
            <wp14:sizeRelH relativeFrom="margin">
              <wp14:pctWidth>0</wp14:pctWidth>
            </wp14:sizeRelH>
            <wp14:sizeRelV relativeFrom="margin">
              <wp14:pctHeight>0</wp14:pctHeight>
            </wp14:sizeRelV>
          </wp:anchor>
        </w:drawing>
      </w:r>
      <w:r w:rsidR="00FA3119" w:rsidRPr="00FA3119">
        <w:rPr>
          <w:rFonts w:eastAsiaTheme="majorEastAsia" w:cstheme="majorBidi"/>
          <w:b/>
          <w:bCs/>
        </w:rPr>
        <w:t>VSIA «Iekšlietu ministrijas poliklīnikas organizatoriskās struktūras shēma un administrācijas izmaksas</w:t>
      </w:r>
    </w:p>
    <w:p w14:paraId="58816F9D" w14:textId="77777777" w:rsidR="00FA3119" w:rsidRPr="00FA3119" w:rsidRDefault="00FA3119" w:rsidP="001602F9">
      <w:pPr>
        <w:spacing w:after="120" w:line="254" w:lineRule="auto"/>
        <w:jc w:val="both"/>
        <w:rPr>
          <w:rFonts w:eastAsiaTheme="majorEastAsia" w:cstheme="majorBidi"/>
        </w:rPr>
      </w:pPr>
    </w:p>
    <w:p w14:paraId="78A3CFE5" w14:textId="63199C05" w:rsidR="00FA3119" w:rsidRPr="001602F9" w:rsidRDefault="00FA3119" w:rsidP="00A664D7">
      <w:pPr>
        <w:spacing w:after="120"/>
        <w:ind w:firstLine="720"/>
        <w:jc w:val="both"/>
        <w:rPr>
          <w:rFonts w:eastAsiaTheme="majorEastAsia" w:cstheme="majorBidi"/>
        </w:rPr>
      </w:pPr>
      <w:r w:rsidRPr="00FA3119">
        <w:rPr>
          <w:rFonts w:eastAsiaTheme="majorEastAsia" w:cstheme="majorBidi"/>
        </w:rPr>
        <w:t xml:space="preserve">Poliklīnikas gada pārskati sniedz ieskatu, kā pēdējo gadu laikā paaugstinās tās administrācijas izmaksas, kuras tiek segtas no IeM budžeta. </w:t>
      </w:r>
      <w:r w:rsidR="003D7900">
        <w:rPr>
          <w:rFonts w:eastAsiaTheme="majorEastAsia" w:cstheme="majorBidi"/>
        </w:rPr>
        <w:t>P</w:t>
      </w:r>
      <w:r w:rsidR="003D7900" w:rsidRPr="003D7900">
        <w:rPr>
          <w:rFonts w:eastAsiaTheme="majorEastAsia" w:cstheme="majorBidi"/>
        </w:rPr>
        <w:t>oliklīnikas administrācijas izmaksu pieauguma pamatā ir izmaiņas normatīvajos aktos, piemēram, datu aizsardzības pasākumu īstenošana (kvalitātes vadītājs, datu aizsardzības speciālists).</w:t>
      </w:r>
      <w:r w:rsidR="003D7900">
        <w:rPr>
          <w:rFonts w:eastAsiaTheme="majorEastAsia" w:cstheme="majorBidi"/>
        </w:rPr>
        <w:t xml:space="preserve"> </w:t>
      </w:r>
      <w:r w:rsidRPr="00FA3119">
        <w:rPr>
          <w:rFonts w:eastAsiaTheme="majorEastAsia" w:cstheme="majorBidi"/>
        </w:rPr>
        <w:t>Poliklīnikas administrācijā ietilpst Personāla un lietvedības nodaļa, Finanšu nodaļa, jurists, kvalitātes vadītājs un datu aizsardzības speciālists. Ņemot vērā augsto īpatsvaru Poliklīnikas administrācijas izmaksu apjomā, ir vērts pārskatīt tur iztērēto resursu lietderību.</w:t>
      </w:r>
    </w:p>
    <w:p w14:paraId="3F6B79AE" w14:textId="77777777" w:rsidR="00FA3119" w:rsidRPr="001602F9" w:rsidRDefault="001602F9" w:rsidP="00A664D7">
      <w:pPr>
        <w:spacing w:before="320" w:after="120"/>
        <w:rPr>
          <w:b/>
        </w:rPr>
      </w:pPr>
      <w:r w:rsidRPr="001602F9">
        <w:rPr>
          <w:b/>
        </w:rPr>
        <w:t>CMEK</w:t>
      </w:r>
    </w:p>
    <w:p w14:paraId="1927DADC" w14:textId="424758CB" w:rsidR="00FA3119" w:rsidRPr="00FA3119" w:rsidRDefault="001602F9" w:rsidP="00A664D7">
      <w:pPr>
        <w:spacing w:after="120"/>
        <w:ind w:firstLine="720"/>
        <w:jc w:val="both"/>
        <w:rPr>
          <w:rFonts w:cs="Times New Roman"/>
        </w:rPr>
      </w:pPr>
      <w:r>
        <w:rPr>
          <w:rFonts w:cs="Times New Roman"/>
        </w:rPr>
        <w:t>CMEK</w:t>
      </w:r>
      <w:r w:rsidR="00FA3119" w:rsidRPr="00FA3119">
        <w:rPr>
          <w:rFonts w:cs="Times New Roman"/>
        </w:rPr>
        <w:t xml:space="preserve"> ir Poliklīnikas struktūrvienība, kas veic IeM sistēmā esošo amatpersonu un amatpersonu kandidātu</w:t>
      </w:r>
      <w:r w:rsidR="003D7900">
        <w:rPr>
          <w:rFonts w:cs="Times New Roman"/>
        </w:rPr>
        <w:t xml:space="preserve">, kā arī </w:t>
      </w:r>
      <w:r w:rsidR="003D7900">
        <w:t>IeVP amatpersonu</w:t>
      </w:r>
      <w:r w:rsidR="003D7900" w:rsidRPr="00561069">
        <w:t xml:space="preserve"> ar speciālajām dienesta pakāpēm</w:t>
      </w:r>
      <w:r w:rsidR="003D7900">
        <w:t xml:space="preserve"> </w:t>
      </w:r>
      <w:r w:rsidR="003D7900" w:rsidRPr="00FA3119">
        <w:rPr>
          <w:rFonts w:cs="Times New Roman"/>
        </w:rPr>
        <w:t>veselības pārbaudes,</w:t>
      </w:r>
      <w:r w:rsidR="00FA3119" w:rsidRPr="00FA3119">
        <w:rPr>
          <w:rFonts w:cs="Times New Roman"/>
        </w:rPr>
        <w:t xml:space="preserve"> lai noteiktu veselības stāvokļa un psiholoģisko īpašību atbilstību veicamajiem pienākumiem. Kārtību, kādā veicamas pārbaudes, nosaka MK</w:t>
      </w:r>
      <w:r>
        <w:rPr>
          <w:rFonts w:cs="Times New Roman"/>
        </w:rPr>
        <w:t xml:space="preserve"> noteikumi Nr.970</w:t>
      </w:r>
      <w:r>
        <w:rPr>
          <w:rStyle w:val="FootnoteReference"/>
          <w:rFonts w:cs="Times New Roman"/>
        </w:rPr>
        <w:footnoteReference w:id="22"/>
      </w:r>
      <w:r>
        <w:rPr>
          <w:rFonts w:cs="Times New Roman"/>
        </w:rPr>
        <w:t xml:space="preserve">. </w:t>
      </w:r>
      <w:r w:rsidR="00FA3119" w:rsidRPr="00FA3119">
        <w:rPr>
          <w:rFonts w:cs="Times New Roman"/>
          <w:b/>
        </w:rPr>
        <w:t xml:space="preserve">CMEK ir vienīgā institūcija, kas saskaņā ar normatīvajiem aktiem var veikt veselības pārbaudes </w:t>
      </w:r>
      <w:r>
        <w:rPr>
          <w:rFonts w:cs="Times New Roman"/>
          <w:b/>
        </w:rPr>
        <w:lastRenderedPageBreak/>
        <w:t>IeM</w:t>
      </w:r>
      <w:r w:rsidR="00FA3119" w:rsidRPr="00FA3119">
        <w:rPr>
          <w:rFonts w:cs="Times New Roman"/>
          <w:b/>
        </w:rPr>
        <w:t xml:space="preserve"> sistēmas iestāžu un </w:t>
      </w:r>
      <w:r w:rsidR="005462B3">
        <w:rPr>
          <w:rFonts w:cs="Times New Roman"/>
          <w:b/>
        </w:rPr>
        <w:t>IeVP</w:t>
      </w:r>
      <w:r w:rsidR="00FA3119" w:rsidRPr="00FA3119">
        <w:rPr>
          <w:rFonts w:cs="Times New Roman"/>
          <w:b/>
        </w:rPr>
        <w:t xml:space="preserve"> amatpersonām un amatpersonu kandidātiem, un izsniegt atbilstošu atzinumu.</w:t>
      </w:r>
    </w:p>
    <w:p w14:paraId="2903EAD0" w14:textId="77777777" w:rsidR="00FA3119" w:rsidRPr="00FA3119" w:rsidRDefault="00FA3119" w:rsidP="00A664D7">
      <w:pPr>
        <w:spacing w:after="120"/>
        <w:ind w:firstLine="720"/>
        <w:jc w:val="both"/>
        <w:rPr>
          <w:rFonts w:cs="Times New Roman"/>
        </w:rPr>
      </w:pPr>
      <w:r w:rsidRPr="00FA3119">
        <w:rPr>
          <w:rFonts w:cs="Times New Roman"/>
        </w:rPr>
        <w:t>CMEK veic pārbaudes:</w:t>
      </w:r>
    </w:p>
    <w:p w14:paraId="1653EC94" w14:textId="77777777" w:rsidR="00FA3119" w:rsidRPr="00FA3119" w:rsidRDefault="00FA3119" w:rsidP="006A15ED">
      <w:pPr>
        <w:numPr>
          <w:ilvl w:val="0"/>
          <w:numId w:val="7"/>
        </w:numPr>
        <w:spacing w:after="120"/>
        <w:ind w:left="0" w:firstLine="720"/>
        <w:jc w:val="both"/>
        <w:rPr>
          <w:rFonts w:cs="Times New Roman"/>
        </w:rPr>
      </w:pPr>
      <w:r w:rsidRPr="00FA3119">
        <w:rPr>
          <w:rFonts w:cs="Times New Roman"/>
        </w:rPr>
        <w:t>kandidātiem (personām, kuras vēlas stāties dienestā);</w:t>
      </w:r>
    </w:p>
    <w:p w14:paraId="2CA7BA64" w14:textId="77777777" w:rsidR="00FA3119" w:rsidRPr="00FA3119" w:rsidRDefault="00FA3119" w:rsidP="006A15ED">
      <w:pPr>
        <w:numPr>
          <w:ilvl w:val="0"/>
          <w:numId w:val="7"/>
        </w:numPr>
        <w:spacing w:after="120"/>
        <w:ind w:left="0" w:firstLine="720"/>
        <w:jc w:val="both"/>
        <w:rPr>
          <w:rFonts w:cs="Times New Roman"/>
        </w:rPr>
      </w:pPr>
      <w:r w:rsidRPr="00FA3119">
        <w:rPr>
          <w:rFonts w:cs="Times New Roman"/>
        </w:rPr>
        <w:t>amatpersonu obligātās periodiskās veselības pārbaudes;</w:t>
      </w:r>
    </w:p>
    <w:p w14:paraId="39A652E3" w14:textId="77777777" w:rsidR="00FA3119" w:rsidRPr="00FA3119" w:rsidRDefault="00FA3119" w:rsidP="006A15ED">
      <w:pPr>
        <w:numPr>
          <w:ilvl w:val="0"/>
          <w:numId w:val="7"/>
        </w:numPr>
        <w:spacing w:after="120"/>
        <w:ind w:left="0" w:firstLine="720"/>
        <w:jc w:val="both"/>
        <w:rPr>
          <w:rFonts w:cs="Times New Roman"/>
        </w:rPr>
      </w:pPr>
      <w:r w:rsidRPr="00FA3119">
        <w:rPr>
          <w:rFonts w:cs="Times New Roman"/>
        </w:rPr>
        <w:t>amatpersonu atkārtotu vai ārpuskārtas veselības pārbaudes;</w:t>
      </w:r>
    </w:p>
    <w:p w14:paraId="3CC6B006" w14:textId="77777777" w:rsidR="00FA3119" w:rsidRPr="001602F9" w:rsidRDefault="00FA3119" w:rsidP="006A15ED">
      <w:pPr>
        <w:numPr>
          <w:ilvl w:val="0"/>
          <w:numId w:val="7"/>
        </w:numPr>
        <w:spacing w:after="120"/>
        <w:ind w:left="0" w:firstLine="720"/>
        <w:jc w:val="both"/>
        <w:rPr>
          <w:rFonts w:cs="Times New Roman"/>
        </w:rPr>
      </w:pPr>
      <w:r w:rsidRPr="00FA3119">
        <w:rPr>
          <w:rFonts w:cs="Times New Roman"/>
        </w:rPr>
        <w:t>amatpersonu veselības pārbaudes pēc notikuša nelaimes gadījuma.</w:t>
      </w:r>
    </w:p>
    <w:p w14:paraId="2D5B9CB0" w14:textId="2C83B1C5" w:rsidR="001602F9" w:rsidRDefault="00FA19E4" w:rsidP="00FA19E4">
      <w:pPr>
        <w:pStyle w:val="Caption"/>
        <w:rPr>
          <w:rFonts w:cs="Times New Roman"/>
          <w:b/>
        </w:rPr>
      </w:pPr>
      <w:r>
        <w:t xml:space="preserve">Attēls Nr. </w:t>
      </w:r>
      <w:fldSimple w:instr=" SEQ Attēls_Nr. \* ARABIC ">
        <w:r w:rsidR="00D96F20">
          <w:rPr>
            <w:noProof/>
          </w:rPr>
          <w:t>28</w:t>
        </w:r>
      </w:fldSimple>
    </w:p>
    <w:p w14:paraId="2E96E2DB" w14:textId="77777777" w:rsidR="00FA3119" w:rsidRPr="00FA3119" w:rsidRDefault="001602F9" w:rsidP="00F23631">
      <w:pPr>
        <w:spacing w:after="120" w:line="254" w:lineRule="auto"/>
        <w:ind w:firstLine="720"/>
        <w:jc w:val="center"/>
        <w:rPr>
          <w:rFonts w:cs="Times New Roman"/>
          <w:b/>
        </w:rPr>
      </w:pPr>
      <w:r>
        <w:rPr>
          <w:rFonts w:cs="Times New Roman"/>
          <w:b/>
        </w:rPr>
        <w:t>CMEK</w:t>
      </w:r>
      <w:r w:rsidR="00FA3119" w:rsidRPr="00FA3119">
        <w:rPr>
          <w:rFonts w:cs="Times New Roman"/>
          <w:b/>
        </w:rPr>
        <w:t xml:space="preserve"> darbības rādītāji</w:t>
      </w:r>
    </w:p>
    <w:p w14:paraId="6D89BA02" w14:textId="77777777" w:rsidR="00FA3119" w:rsidRPr="00FA3119" w:rsidRDefault="001602F9" w:rsidP="00F23631">
      <w:pPr>
        <w:spacing w:after="120" w:line="254" w:lineRule="auto"/>
        <w:jc w:val="center"/>
        <w:rPr>
          <w:rFonts w:cs="Times New Roman"/>
          <w:b/>
        </w:rPr>
      </w:pPr>
      <w:r>
        <w:rPr>
          <w:noProof/>
          <w:lang w:eastAsia="lv-LV"/>
        </w:rPr>
        <w:drawing>
          <wp:inline distT="0" distB="0" distL="0" distR="0" wp14:anchorId="4D24EF82" wp14:editId="1D0521C6">
            <wp:extent cx="5771144" cy="3240792"/>
            <wp:effectExtent l="0" t="0" r="1270" b="1714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7B1BF62" w14:textId="77777777" w:rsidR="00FA3119" w:rsidRPr="00FA3119" w:rsidRDefault="00FA3119" w:rsidP="00A664D7">
      <w:pPr>
        <w:spacing w:after="120"/>
        <w:ind w:firstLine="720"/>
        <w:jc w:val="both"/>
        <w:rPr>
          <w:rFonts w:cs="Times New Roman"/>
        </w:rPr>
      </w:pPr>
      <w:r w:rsidRPr="00FA3119">
        <w:rPr>
          <w:rFonts w:cs="Times New Roman"/>
        </w:rPr>
        <w:t>CMEK veido 17 ārstu-speciālistu komanda , to starpā:</w:t>
      </w:r>
    </w:p>
    <w:p w14:paraId="5907F8BA" w14:textId="77777777" w:rsidR="00FA3119" w:rsidRPr="00FA3119" w:rsidRDefault="00FA3119" w:rsidP="006A15ED">
      <w:pPr>
        <w:numPr>
          <w:ilvl w:val="0"/>
          <w:numId w:val="7"/>
        </w:numPr>
        <w:spacing w:after="120"/>
        <w:ind w:left="0" w:firstLine="1134"/>
        <w:jc w:val="both"/>
        <w:rPr>
          <w:rFonts w:cs="Times New Roman"/>
        </w:rPr>
      </w:pPr>
      <w:r w:rsidRPr="00FA3119">
        <w:rPr>
          <w:rFonts w:cs="Times New Roman"/>
        </w:rPr>
        <w:t>4 arodslimību ārsti;</w:t>
      </w:r>
    </w:p>
    <w:p w14:paraId="21DDE784" w14:textId="431AC6BE" w:rsidR="00FA3119" w:rsidRPr="00FA3119" w:rsidRDefault="00FA3119" w:rsidP="006A15ED">
      <w:pPr>
        <w:numPr>
          <w:ilvl w:val="0"/>
          <w:numId w:val="7"/>
        </w:numPr>
        <w:spacing w:after="120"/>
        <w:ind w:left="0" w:firstLine="1134"/>
        <w:jc w:val="both"/>
        <w:rPr>
          <w:rFonts w:cs="Times New Roman"/>
        </w:rPr>
      </w:pPr>
      <w:r w:rsidRPr="00FA3119">
        <w:rPr>
          <w:rFonts w:cs="Times New Roman"/>
        </w:rPr>
        <w:t>3 ofta</w:t>
      </w:r>
      <w:r w:rsidR="002C0613">
        <w:rPr>
          <w:rFonts w:cs="Times New Roman"/>
        </w:rPr>
        <w:t>l</w:t>
      </w:r>
      <w:r w:rsidRPr="00FA3119">
        <w:rPr>
          <w:rFonts w:cs="Times New Roman"/>
        </w:rPr>
        <w:t>mologi;</w:t>
      </w:r>
    </w:p>
    <w:p w14:paraId="590774AA" w14:textId="77777777" w:rsidR="00FA3119" w:rsidRPr="00FA3119" w:rsidRDefault="00FA3119" w:rsidP="006A15ED">
      <w:pPr>
        <w:numPr>
          <w:ilvl w:val="0"/>
          <w:numId w:val="7"/>
        </w:numPr>
        <w:spacing w:after="120"/>
        <w:ind w:left="0" w:firstLine="1134"/>
        <w:jc w:val="both"/>
        <w:rPr>
          <w:rFonts w:cs="Times New Roman"/>
        </w:rPr>
      </w:pPr>
      <w:r w:rsidRPr="00FA3119">
        <w:rPr>
          <w:rFonts w:cs="Times New Roman"/>
        </w:rPr>
        <w:t>3 ķirurgi;</w:t>
      </w:r>
    </w:p>
    <w:p w14:paraId="0E138310" w14:textId="77777777" w:rsidR="00FA3119" w:rsidRPr="00FA3119" w:rsidRDefault="00FA3119" w:rsidP="006A15ED">
      <w:pPr>
        <w:numPr>
          <w:ilvl w:val="0"/>
          <w:numId w:val="7"/>
        </w:numPr>
        <w:spacing w:after="120"/>
        <w:ind w:left="0" w:firstLine="1134"/>
        <w:jc w:val="both"/>
        <w:rPr>
          <w:rFonts w:cs="Times New Roman"/>
        </w:rPr>
      </w:pPr>
      <w:r w:rsidRPr="00FA3119">
        <w:rPr>
          <w:rFonts w:cs="Times New Roman"/>
        </w:rPr>
        <w:t>3 psihologi un 2 psihiatri;</w:t>
      </w:r>
    </w:p>
    <w:p w14:paraId="1D97C678" w14:textId="77777777" w:rsidR="00FA3119" w:rsidRPr="00FA3119" w:rsidRDefault="00FA3119" w:rsidP="006A15ED">
      <w:pPr>
        <w:numPr>
          <w:ilvl w:val="0"/>
          <w:numId w:val="7"/>
        </w:numPr>
        <w:spacing w:after="120"/>
        <w:ind w:left="0" w:firstLine="1134"/>
        <w:jc w:val="both"/>
        <w:rPr>
          <w:rFonts w:cs="Times New Roman"/>
        </w:rPr>
      </w:pPr>
      <w:r w:rsidRPr="00FA3119">
        <w:rPr>
          <w:rFonts w:cs="Times New Roman"/>
        </w:rPr>
        <w:t>1 otolaringologs un 1 neirologs.</w:t>
      </w:r>
    </w:p>
    <w:p w14:paraId="62A5B246" w14:textId="77777777" w:rsidR="00FA3119" w:rsidRPr="00FA3119" w:rsidRDefault="00FA3119" w:rsidP="00083858">
      <w:pPr>
        <w:spacing w:after="120"/>
        <w:ind w:firstLine="720"/>
        <w:jc w:val="both"/>
        <w:rPr>
          <w:rFonts w:cs="Times New Roman"/>
        </w:rPr>
      </w:pPr>
      <w:r w:rsidRPr="00FA3119">
        <w:rPr>
          <w:rFonts w:cs="Times New Roman"/>
        </w:rPr>
        <w:t>Kā minēts iepriekš, CMEK ir vienīgā pilnvarotā institūcija veselības pārbaudes pakalpojumu sniegšanai IeM vajadzībām. Tas nozīmē, ka vairāk nekā 12 000 IeM amatpersonu un amatpersonu kandidātu pirmreizējās, ikgadējās un ārpuskārtas veselības pārbaudes gulstas uz CMEK pleciem. Salīdzinājumam – citu ministriju nodarbinātie var brīvi izvēlēties medicīnas iestādi veselības pārbaužu veikšanai.</w:t>
      </w:r>
    </w:p>
    <w:p w14:paraId="09B5089E" w14:textId="77777777" w:rsidR="00FA3119" w:rsidRPr="00FA3119" w:rsidRDefault="00FA3119" w:rsidP="00083858">
      <w:pPr>
        <w:spacing w:after="120"/>
        <w:ind w:firstLine="720"/>
        <w:jc w:val="both"/>
        <w:rPr>
          <w:rFonts w:cs="Times New Roman"/>
        </w:rPr>
      </w:pPr>
      <w:r w:rsidRPr="00FA3119">
        <w:rPr>
          <w:rFonts w:cs="Times New Roman"/>
        </w:rPr>
        <w:t xml:space="preserve">Neapšaubāmi, IeM struktūrās nodarbinātie ir pakļauti augstākiem riskiem, kā arī viņu veselības stāvoklis ir vitāla sastāvdaļa darba pienākumu efektīvai veikšanai. Taču, ir jāņem vērā, ka CMEK komisijas centralizētā darbība tieši ietekmē gan veselības pārbaužu kvalitāti </w:t>
      </w:r>
      <w:r w:rsidRPr="00FA3119">
        <w:rPr>
          <w:rFonts w:cs="Times New Roman"/>
        </w:rPr>
        <w:lastRenderedPageBreak/>
        <w:t>(liela noslodze vienai komisijai), kā arī IeM amatpersonu un amatpersonu kandidātu patērēto laiku un izmaksas nokļūšanai līdz Poliklīnikai šo veselības pārbaužu veikšanai.</w:t>
      </w:r>
    </w:p>
    <w:p w14:paraId="01183912" w14:textId="7C8638E7" w:rsidR="00FA3119" w:rsidRDefault="00FA3119" w:rsidP="00083858">
      <w:pPr>
        <w:spacing w:after="120"/>
        <w:ind w:firstLine="720"/>
        <w:jc w:val="both"/>
        <w:rPr>
          <w:rFonts w:cs="Times New Roman"/>
        </w:rPr>
      </w:pPr>
      <w:r w:rsidRPr="00FA3119">
        <w:rPr>
          <w:rFonts w:cs="Times New Roman"/>
        </w:rPr>
        <w:t>Pēc IeM sniegtajiem datiem, 2019.</w:t>
      </w:r>
      <w:r w:rsidR="009461FA">
        <w:rPr>
          <w:rFonts w:cs="Times New Roman"/>
        </w:rPr>
        <w:t xml:space="preserve"> </w:t>
      </w:r>
      <w:r w:rsidRPr="00FA3119">
        <w:rPr>
          <w:rFonts w:cs="Times New Roman"/>
        </w:rPr>
        <w:t>gadā kopumā tika veiktas 15 937 veselības pārbaudes. Ņemot vērā, ka 2019.</w:t>
      </w:r>
      <w:r w:rsidR="009461FA">
        <w:rPr>
          <w:rFonts w:cs="Times New Roman"/>
        </w:rPr>
        <w:t xml:space="preserve"> </w:t>
      </w:r>
      <w:r w:rsidRPr="00FA3119">
        <w:rPr>
          <w:rFonts w:cs="Times New Roman"/>
        </w:rPr>
        <w:t>gadā kopsummā bija 250 darba dienas, CMEK vidējie veica 64 veselības pārbaudes vienā dienā.</w:t>
      </w:r>
      <w:r w:rsidR="003D7900">
        <w:rPr>
          <w:rFonts w:cs="Times New Roman"/>
        </w:rPr>
        <w:t xml:space="preserve"> Ņemot vērā, ka CMEK komisijā ietilpst 4 arodslimību ārsti, vidēji vienam ārstam jāveic 16 pārbaudes dienā.</w:t>
      </w:r>
      <w:r w:rsidRPr="00FA3119">
        <w:rPr>
          <w:rFonts w:cs="Times New Roman"/>
        </w:rPr>
        <w:t xml:space="preserve"> Nenoliedzami, tā ir liela slodze ārstiem, kas var negatīvi atspoguļoties uz pakalpojuma kvalitāti. Papildus ārstu slodzei, vērā ņemams ir arī amatpersonu un amatpersonu kandidātu patērētais laiks un resursi veselības pārbaudes veikšanai, kas iespējama tikai Poliklīnikā.</w:t>
      </w:r>
    </w:p>
    <w:p w14:paraId="4441EE07" w14:textId="2351818D" w:rsidR="00501A9C" w:rsidRPr="00FA3119" w:rsidRDefault="00501A9C" w:rsidP="00083858">
      <w:pPr>
        <w:spacing w:after="120"/>
        <w:ind w:firstLine="720"/>
        <w:jc w:val="both"/>
        <w:rPr>
          <w:rFonts w:cs="Times New Roman"/>
        </w:rPr>
      </w:pPr>
      <w:r w:rsidRPr="00501A9C">
        <w:rPr>
          <w:rFonts w:cs="Times New Roman"/>
        </w:rPr>
        <w:t xml:space="preserve">Saskaņā ar Publiskas personas kapitāla daļu un kapitālsabiedrību pārvaldības likuma 7. pantu publiskai personai ir pienākums ne retāk kā reizi piecos gados pārvērtēt katru tās tiešo līdzdalību kapitālsabiedrībā un atbilstību šā likuma 4.panta nosacījumiem. Poliklīnikai līdzdalības izvērtējums ir jāveic līdz 2020. gada beigām (iepriekšējais izvērtējums veikts 2015. gadā – </w:t>
      </w:r>
      <w:r>
        <w:rPr>
          <w:rFonts w:cs="Times New Roman"/>
        </w:rPr>
        <w:t>MK</w:t>
      </w:r>
      <w:r w:rsidRPr="00501A9C">
        <w:rPr>
          <w:rFonts w:cs="Times New Roman"/>
        </w:rPr>
        <w:t xml:space="preserve"> </w:t>
      </w:r>
      <w:r>
        <w:rPr>
          <w:rFonts w:cs="Times New Roman"/>
        </w:rPr>
        <w:t xml:space="preserve">2015.gada </w:t>
      </w:r>
      <w:r w:rsidRPr="00501A9C">
        <w:rPr>
          <w:rFonts w:cs="Times New Roman"/>
        </w:rPr>
        <w:t>22. decembra sēdes protokols Nr.68, 83.§), kad arī tiks izskatīts jautājums par poliklīnikas statusu</w:t>
      </w:r>
      <w:r>
        <w:rPr>
          <w:rFonts w:cs="Times New Roman"/>
        </w:rPr>
        <w:t>.</w:t>
      </w:r>
    </w:p>
    <w:p w14:paraId="19520656" w14:textId="6B154C0B" w:rsidR="00FA3119" w:rsidRPr="00FA3119" w:rsidRDefault="00FA3119" w:rsidP="00083858">
      <w:pPr>
        <w:spacing w:after="120"/>
        <w:ind w:firstLine="720"/>
        <w:jc w:val="both"/>
        <w:rPr>
          <w:rFonts w:cs="Times New Roman"/>
        </w:rPr>
      </w:pPr>
      <w:r w:rsidRPr="00FA3119">
        <w:rPr>
          <w:rFonts w:cs="Times New Roman"/>
        </w:rPr>
        <w:t xml:space="preserve">Kā </w:t>
      </w:r>
      <w:r w:rsidR="004E6A43" w:rsidRPr="00FA3119">
        <w:rPr>
          <w:rFonts w:cs="Times New Roman"/>
        </w:rPr>
        <w:t>iespējam</w:t>
      </w:r>
      <w:r w:rsidR="004E6A43">
        <w:rPr>
          <w:rFonts w:cs="Times New Roman"/>
        </w:rPr>
        <w:t>o</w:t>
      </w:r>
      <w:r w:rsidR="004E6A43" w:rsidRPr="00FA3119">
        <w:rPr>
          <w:rFonts w:cs="Times New Roman"/>
        </w:rPr>
        <w:t xml:space="preserve"> risinājum</w:t>
      </w:r>
      <w:r w:rsidR="004E6A43">
        <w:rPr>
          <w:rFonts w:cs="Times New Roman"/>
        </w:rPr>
        <w:t>u</w:t>
      </w:r>
      <w:r w:rsidR="004E6A43" w:rsidRPr="00FA3119">
        <w:rPr>
          <w:rFonts w:cs="Times New Roman"/>
        </w:rPr>
        <w:t xml:space="preserve"> </w:t>
      </w:r>
      <w:r w:rsidRPr="00FA3119">
        <w:rPr>
          <w:rFonts w:cs="Times New Roman"/>
        </w:rPr>
        <w:t>var minēt iespēju apmācīt un pilnvarot citas ārstu komisijas, kuras jau šobrīd nodarbojas ar obligāto veselības pārbaužu pakalpojumu sniegšanu Latvijā. Šāds solis spētu ne tikai noņemt lielo slogu uz šobrīd esošo unikālo CMEK un padarīt pakalpojumu vieglāk pieejamu amatpersonām, bet arī sniegtu iespēju izvērtēt Poliklīnikas lietderību darboties IeM ministrijas paspārnē. Tas, savukārt, sniegtu iespēju pārskatīt finansējumu 38.05.00 apakšprogrammā.</w:t>
      </w:r>
    </w:p>
    <w:p w14:paraId="7AC9DDD1" w14:textId="77777777" w:rsidR="00FA3119" w:rsidRPr="00831DF1" w:rsidRDefault="00FA3119" w:rsidP="00083858">
      <w:pPr>
        <w:spacing w:after="120"/>
        <w:rPr>
          <w:b/>
        </w:rPr>
      </w:pPr>
      <w:bookmarkStart w:id="106" w:name="_Toc41391698"/>
      <w:r w:rsidRPr="00831DF1">
        <w:rPr>
          <w:b/>
        </w:rPr>
        <w:t>Secinājumi un priekšlikumi</w:t>
      </w:r>
      <w:bookmarkEnd w:id="106"/>
    </w:p>
    <w:p w14:paraId="2D4F98B2" w14:textId="77777777" w:rsidR="00FA3119" w:rsidRPr="00FA3119" w:rsidRDefault="00FA3119" w:rsidP="00083858">
      <w:pPr>
        <w:spacing w:after="120"/>
        <w:ind w:firstLine="720"/>
        <w:jc w:val="both"/>
        <w:rPr>
          <w:rFonts w:cs="Times New Roman"/>
        </w:rPr>
      </w:pPr>
      <w:r w:rsidRPr="00FA3119">
        <w:rPr>
          <w:rFonts w:cs="Times New Roman"/>
        </w:rPr>
        <w:t>Izpētot IeM struktūrās nodarbināto veselības aprūpes sistēmu, var secināt, ka tās darbības pamatprincipi ir skaidri un virziens pamatots. Atšķirībā no citu publiskajā sektorā nodarbinātajiem, IeM amatpersonas ir pakļautas lielākiem veselības riskiem, ikdienas darbs nereti saistīts ar apdraudējumiem gan fiziskajai, gan emocionālai veselībai.</w:t>
      </w:r>
    </w:p>
    <w:p w14:paraId="61A1A6F9" w14:textId="77777777" w:rsidR="00FA3119" w:rsidRPr="00FA3119" w:rsidRDefault="00FA3119" w:rsidP="00083858">
      <w:pPr>
        <w:spacing w:after="120"/>
        <w:ind w:firstLine="720"/>
        <w:jc w:val="both"/>
        <w:rPr>
          <w:rFonts w:cs="Times New Roman"/>
        </w:rPr>
      </w:pPr>
      <w:r w:rsidRPr="00FA3119">
        <w:rPr>
          <w:rFonts w:cs="Times New Roman"/>
        </w:rPr>
        <w:t>Neskatoties uz to, ir identificēti iespējami virzieni, kuru lietderību un šī brīža darbību ir vērts izvērtēt un, potenciāli pārstrukturizēt.</w:t>
      </w:r>
    </w:p>
    <w:p w14:paraId="118F9526" w14:textId="7A81F3CB" w:rsidR="00FA3119" w:rsidRPr="00FA3119" w:rsidRDefault="00FA3119" w:rsidP="00083858">
      <w:pPr>
        <w:numPr>
          <w:ilvl w:val="0"/>
          <w:numId w:val="9"/>
        </w:numPr>
        <w:spacing w:after="120"/>
        <w:jc w:val="both"/>
        <w:rPr>
          <w:rFonts w:cs="Times New Roman"/>
        </w:rPr>
      </w:pPr>
      <w:r w:rsidRPr="00FA3119">
        <w:rPr>
          <w:rFonts w:cs="Times New Roman"/>
        </w:rPr>
        <w:t xml:space="preserve">IeM Poliklīnika savā pamatdarbībā (neskaitot CMEK darbības nodrošināšanu) neatšķiras no līdzvērtīgas ambulatorisko pakalpojumu iestādes. IeM ir vērts izvērtēt Poliklīnikas darbības lietderību IeM pakļautībā, ņemot vērā, ka IeM amatpersonas veselības pakalpojumus var saņemt jebkurā citā poliklīnikā. </w:t>
      </w:r>
    </w:p>
    <w:p w14:paraId="4C597B7E" w14:textId="77777777" w:rsidR="00FA3119" w:rsidRPr="00FA3119" w:rsidRDefault="00FA3119" w:rsidP="00083858">
      <w:pPr>
        <w:numPr>
          <w:ilvl w:val="0"/>
          <w:numId w:val="9"/>
        </w:numPr>
        <w:spacing w:after="120"/>
        <w:ind w:left="714" w:hanging="357"/>
        <w:jc w:val="both"/>
        <w:rPr>
          <w:rFonts w:cs="Times New Roman"/>
        </w:rPr>
      </w:pPr>
      <w:r w:rsidRPr="00FA3119">
        <w:rPr>
          <w:rFonts w:cs="Times New Roman"/>
        </w:rPr>
        <w:t>CMEK centralizētā darbība rada nepamatotu slogu IeM amatpersonām un komisijā esošajiem ārstiem-ekspertiem. IeM ir jāpārskata tās darbības principi un jāizvērtē iespējas nodot šīs funkcijas līdzīgi kā pašlaik darbojas OVP komisijas.</w:t>
      </w:r>
    </w:p>
    <w:p w14:paraId="1FE35C74" w14:textId="3C08AC7A" w:rsidR="00FA3119" w:rsidRDefault="00FA3119" w:rsidP="00F23631">
      <w:pPr>
        <w:pStyle w:val="ListParagraph"/>
        <w:spacing w:after="120" w:line="254" w:lineRule="auto"/>
        <w:ind w:left="1080"/>
        <w:contextualSpacing w:val="0"/>
      </w:pPr>
    </w:p>
    <w:p w14:paraId="33CDA667" w14:textId="5B0EDF1F" w:rsidR="00A91F7D" w:rsidRDefault="00A91F7D" w:rsidP="00F23631">
      <w:pPr>
        <w:pStyle w:val="ListParagraph"/>
        <w:spacing w:after="120" w:line="254" w:lineRule="auto"/>
        <w:ind w:left="1080"/>
        <w:contextualSpacing w:val="0"/>
      </w:pPr>
    </w:p>
    <w:p w14:paraId="6492847F" w14:textId="77777777" w:rsidR="00A91F7D" w:rsidRPr="00FA3119" w:rsidRDefault="00A91F7D" w:rsidP="00F23631">
      <w:pPr>
        <w:pStyle w:val="ListParagraph"/>
        <w:spacing w:after="120" w:line="254" w:lineRule="auto"/>
        <w:ind w:left="1080"/>
        <w:contextualSpacing w:val="0"/>
      </w:pPr>
    </w:p>
    <w:p w14:paraId="705E9326" w14:textId="77777777" w:rsidR="008E3934" w:rsidRDefault="008E3934" w:rsidP="006A15ED">
      <w:pPr>
        <w:pStyle w:val="Heading2"/>
        <w:numPr>
          <w:ilvl w:val="1"/>
          <w:numId w:val="2"/>
        </w:numPr>
      </w:pPr>
      <w:bookmarkStart w:id="107" w:name="_Toc48200650"/>
      <w:r w:rsidRPr="008E3934">
        <w:lastRenderedPageBreak/>
        <w:t>Izglītības nozares izvērtējums</w:t>
      </w:r>
      <w:bookmarkEnd w:id="107"/>
    </w:p>
    <w:p w14:paraId="773FFDCE" w14:textId="77777777" w:rsidR="00ED3BA3" w:rsidRDefault="00ED3BA3" w:rsidP="006A15ED">
      <w:pPr>
        <w:pStyle w:val="Heading3"/>
        <w:numPr>
          <w:ilvl w:val="2"/>
          <w:numId w:val="2"/>
        </w:numPr>
        <w:ind w:left="-142" w:firstLine="142"/>
      </w:pPr>
      <w:bookmarkStart w:id="108" w:name="_Toc48200651"/>
      <w:r>
        <w:t>Profesionālā</w:t>
      </w:r>
      <w:r w:rsidR="00C561E7">
        <w:t>s</w:t>
      </w:r>
      <w:r w:rsidR="00C561E7" w:rsidRPr="00C561E7">
        <w:t xml:space="preserve"> </w:t>
      </w:r>
      <w:r w:rsidR="00C561E7">
        <w:t>izglītības izvērtējums</w:t>
      </w:r>
      <w:bookmarkEnd w:id="108"/>
    </w:p>
    <w:p w14:paraId="6CF8C257" w14:textId="77777777" w:rsidR="00962EB7" w:rsidRDefault="00962EB7" w:rsidP="00A664D7">
      <w:pPr>
        <w:spacing w:after="120"/>
        <w:ind w:firstLine="709"/>
        <w:jc w:val="both"/>
      </w:pPr>
      <w:r>
        <w:t>Viena no izglītības nozarēm, kas pēdējo gadu laikā piedzīvojusi lielākās reformas ir profesionālās izglītības joma. Samazinoties profesionālās izglītības kvalitātei un prestižam potenciālo audzēkņu vidū un darba tirgū, tika veiktas vairāku profesionālo izglītības iestāžu reorganizācijas. Tika likvidētas skolas ar zemu audzēkņu skaitu, bet vēl daudzas iestādes tika reorganizētas, kļūstot par lielāko profesionālo izglītības iestāžu struktūrvienībām. Tā rezultātā pēc informācijas pieprasīšanas IZM, KM, ZM, LM un IeM tika analizēta informācija par 45 profesionālās izglītības iestādēm.</w:t>
      </w:r>
    </w:p>
    <w:p w14:paraId="1E448336" w14:textId="77777777" w:rsidR="00962EB7" w:rsidRDefault="00962EB7" w:rsidP="00A664D7">
      <w:pPr>
        <w:spacing w:after="120"/>
        <w:ind w:firstLine="709"/>
        <w:jc w:val="both"/>
      </w:pPr>
      <w:r>
        <w:t>Pirmais un galvenais konstatējums pēc saņemto datu apkopošanas un sākotnējās analīzes veikšanas saistāms ar analizējamo datu kvalitāti. Ņemot vērā profesionālās izglītības specifiku, objektīvais vērtējums par audzēkņu skaitu mācību iestādēs un to piedāvājumā esošajās mācību programmās gūstams no datiem katra gada 1. oktobrī. Līdz ar to iepriekšminētajām ministrijām tika pieprasīti dati par pēdējiem pieciem mācību gadiem, lūdzot sniegt informāciju par audzēkņu skaitu, absolventu skaitu un atskaitīto skolēnu statistiku. Tāpat tika ņemti vērā arī dati par audzēkņu skaitu, kas pieejami Valsts izglītības informācijas sistēmā (VIIS).</w:t>
      </w:r>
    </w:p>
    <w:p w14:paraId="456A6EFB" w14:textId="19ABCA05" w:rsidR="00962EB7" w:rsidRDefault="00962EB7" w:rsidP="00A664D7">
      <w:pPr>
        <w:spacing w:after="120"/>
        <w:ind w:firstLine="709"/>
        <w:jc w:val="both"/>
      </w:pPr>
      <w:r>
        <w:t>Gandrīz katrā no profesionālās izglītības mācību iestādēm dati par audzēkņu skaitu uz katra gada 1. oktobri ir ar mazākām vai lielākām atšķirībām. Gadījumi, kad VIIS pieejamajos datos audzēkņu skaits ir lielāks nekā ministriju iesūtītajos datos, skaidrojami ar to, ka vairākām mācību programmām ir arī dažādas mūžizglītības vai pārkvalificēšanās grupas, kur mācību ilgums ir mazāks un tās tiek finansētas no citu budžeta apakšprogrammu resursiem. Savukārt situācijas, kad VIIS norādītais audzēkņu skaits ir mazāks nekā ministrijas norādītais nav izskaidrojams. Kā piemēru var norādīt Aizkraukles Profesionālās vidusskolas mācību programmu “Administratīvie un sekretāra pakalpojumi”, kur saskaņā ar VIIS datiem, piemēram, 2017. gada 1. oktobrī tika apmācīti 22 audzēkņi, bet IZM iesūtītajos datos šajā pašā datumā šo programmu apguva 61 audzēknis (</w:t>
      </w:r>
      <w:r>
        <w:fldChar w:fldCharType="begin"/>
      </w:r>
      <w:r>
        <w:instrText xml:space="preserve"> REF _Ref46327406 \h </w:instrText>
      </w:r>
      <w:r>
        <w:fldChar w:fldCharType="separate"/>
      </w:r>
      <w:r w:rsidR="00D96F20">
        <w:t xml:space="preserve">Attēls Nr. </w:t>
      </w:r>
      <w:r w:rsidR="00D96F20">
        <w:rPr>
          <w:noProof/>
        </w:rPr>
        <w:t>29</w:t>
      </w:r>
      <w:r>
        <w:fldChar w:fldCharType="end"/>
      </w:r>
      <w:r>
        <w:t>). Lai arī tik apjomīgas šāda veida nesakritības citās mācību iestādēs nav vērojamas, tomēr audzēkņu skaita nesakritība robežās līdz 5 audzēkņiem novērojama vairākkārt.</w:t>
      </w:r>
    </w:p>
    <w:p w14:paraId="1F306E26" w14:textId="5E35821C" w:rsidR="00962EB7" w:rsidRDefault="00962EB7" w:rsidP="00962EB7">
      <w:pPr>
        <w:pStyle w:val="Caption"/>
        <w:rPr>
          <w:b/>
        </w:rPr>
      </w:pPr>
      <w:bookmarkStart w:id="109" w:name="_Ref46327406"/>
      <w:r>
        <w:t xml:space="preserve">Attēls Nr. </w:t>
      </w:r>
      <w:fldSimple w:instr=" SEQ Attēls_Nr. \* ARABIC ">
        <w:r w:rsidR="00D96F20">
          <w:rPr>
            <w:noProof/>
          </w:rPr>
          <w:t>29</w:t>
        </w:r>
      </w:fldSimple>
      <w:bookmarkEnd w:id="109"/>
    </w:p>
    <w:p w14:paraId="1FFE6EEA" w14:textId="77777777" w:rsidR="00962EB7" w:rsidRDefault="00962EB7" w:rsidP="00962EB7">
      <w:pPr>
        <w:spacing w:after="120"/>
        <w:jc w:val="center"/>
        <w:rPr>
          <w:b/>
        </w:rPr>
      </w:pPr>
      <w:r>
        <w:rPr>
          <w:b/>
        </w:rPr>
        <w:t>Audzēkņu skaits Aizkraukles Profesionālās vidusskolas mācību programmā “Administratīvie un sekretāra pakalpojumi”</w:t>
      </w:r>
    </w:p>
    <w:p w14:paraId="7EF1C8F1" w14:textId="77777777" w:rsidR="00962EB7" w:rsidRDefault="00962EB7" w:rsidP="00962EB7">
      <w:pPr>
        <w:jc w:val="center"/>
      </w:pPr>
      <w:r>
        <w:rPr>
          <w:noProof/>
          <w:lang w:eastAsia="lv-LV"/>
        </w:rPr>
        <w:drawing>
          <wp:inline distT="0" distB="0" distL="0" distR="0" wp14:anchorId="68ED70B5" wp14:editId="7809D067">
            <wp:extent cx="5607556" cy="116319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92453" cy="1201547"/>
                    </a:xfrm>
                    <a:prstGeom prst="rect">
                      <a:avLst/>
                    </a:prstGeom>
                    <a:noFill/>
                  </pic:spPr>
                </pic:pic>
              </a:graphicData>
            </a:graphic>
          </wp:inline>
        </w:drawing>
      </w:r>
    </w:p>
    <w:p w14:paraId="29E75935" w14:textId="6685E52A" w:rsidR="00E67E46" w:rsidRPr="00D1111B" w:rsidRDefault="00962EB7" w:rsidP="009C57E3">
      <w:pPr>
        <w:pStyle w:val="Caption"/>
        <w:spacing w:before="0" w:line="259" w:lineRule="auto"/>
        <w:ind w:firstLine="720"/>
        <w:jc w:val="both"/>
      </w:pPr>
      <w:r>
        <w:t xml:space="preserve">Kā vēl vienu piemēru var minēt Rīgas Mākslas un mediju tehnikuma audzēkņu statistiku. Saskaņā ar VIIS datiem 2016. gada 1. oktobrī šajā mācību iestādē esošās programmas apguva 910 audzēkņi, kamēr </w:t>
      </w:r>
      <w:r w:rsidRPr="005F5052">
        <w:t>saskaņā ar IZM sniegto informāciju par šo pašu datumu mācības apguvuši 927 audzēkņi (</w:t>
      </w:r>
      <w:r w:rsidR="000723E3">
        <w:fldChar w:fldCharType="begin"/>
      </w:r>
      <w:r w:rsidR="000723E3">
        <w:instrText xml:space="preserve"> REF _Ref46328377 \h </w:instrText>
      </w:r>
      <w:r w:rsidR="000723E3">
        <w:fldChar w:fldCharType="separate"/>
      </w:r>
      <w:r w:rsidR="00D96F20">
        <w:t xml:space="preserve">Attēls Nr. </w:t>
      </w:r>
      <w:r w:rsidR="00D96F20">
        <w:rPr>
          <w:noProof/>
        </w:rPr>
        <w:t>30</w:t>
      </w:r>
      <w:r w:rsidR="000723E3">
        <w:fldChar w:fldCharType="end"/>
      </w:r>
      <w:r w:rsidRPr="005F5052">
        <w:t>).</w:t>
      </w:r>
      <w:r>
        <w:t xml:space="preserve"> Turpmākajos gados datu nesakritība mazinās, tomēr vēl </w:t>
      </w:r>
      <w:r>
        <w:lastRenderedPageBreak/>
        <w:t>arvien pastāv. Tāpat kā iepriekšējā piemērā, šāda datu kvalitāte novērojama va</w:t>
      </w:r>
      <w:bookmarkStart w:id="110" w:name="_Ref46327458"/>
      <w:r w:rsidR="00F130C6">
        <w:t>irāku mācību iestāžu gadījumos.</w:t>
      </w:r>
    </w:p>
    <w:p w14:paraId="2B561707" w14:textId="4A9AD2B2" w:rsidR="00962EB7" w:rsidRDefault="00962EB7" w:rsidP="00962EB7">
      <w:pPr>
        <w:pStyle w:val="Caption"/>
        <w:rPr>
          <w:rFonts w:cs="Times New Roman"/>
          <w:iCs w:val="0"/>
        </w:rPr>
      </w:pPr>
      <w:bookmarkStart w:id="111" w:name="_Ref46328377"/>
      <w:r>
        <w:t xml:space="preserve">Attēls Nr. </w:t>
      </w:r>
      <w:fldSimple w:instr=" SEQ Attēls_Nr. \* ARABIC ">
        <w:r w:rsidR="00D96F20">
          <w:rPr>
            <w:noProof/>
          </w:rPr>
          <w:t>30</w:t>
        </w:r>
      </w:fldSimple>
      <w:bookmarkEnd w:id="110"/>
      <w:bookmarkEnd w:id="111"/>
    </w:p>
    <w:p w14:paraId="20BE3A0B" w14:textId="77777777" w:rsidR="00962EB7" w:rsidRPr="00962EB7" w:rsidRDefault="00962EB7" w:rsidP="00962EB7">
      <w:pPr>
        <w:spacing w:after="120" w:line="240" w:lineRule="auto"/>
        <w:jc w:val="center"/>
        <w:rPr>
          <w:szCs w:val="22"/>
        </w:rPr>
      </w:pPr>
      <w:r w:rsidRPr="00962EB7">
        <w:rPr>
          <w:b/>
          <w:szCs w:val="22"/>
        </w:rPr>
        <w:t>Audzēkņu skaits Rīgas Mākslas un mediju tehnikumā uz pēdējo četru mācību gadu 1. oktobri</w:t>
      </w:r>
    </w:p>
    <w:p w14:paraId="3CC56AF3" w14:textId="77777777" w:rsidR="00962EB7" w:rsidRPr="00962EB7" w:rsidRDefault="00962EB7" w:rsidP="00962EB7">
      <w:pPr>
        <w:spacing w:after="0" w:line="240" w:lineRule="auto"/>
        <w:jc w:val="center"/>
        <w:rPr>
          <w:szCs w:val="22"/>
        </w:rPr>
      </w:pPr>
      <w:r w:rsidRPr="00962EB7">
        <w:rPr>
          <w:noProof/>
          <w:szCs w:val="22"/>
          <w:lang w:eastAsia="lv-LV"/>
        </w:rPr>
        <w:drawing>
          <wp:inline distT="0" distB="0" distL="0" distR="0" wp14:anchorId="2B8CFAE7" wp14:editId="5A823094">
            <wp:extent cx="5579745" cy="2675968"/>
            <wp:effectExtent l="0" t="0" r="190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79745" cy="2675968"/>
                    </a:xfrm>
                    <a:prstGeom prst="rect">
                      <a:avLst/>
                    </a:prstGeom>
                    <a:noFill/>
                    <a:ln>
                      <a:noFill/>
                    </a:ln>
                  </pic:spPr>
                </pic:pic>
              </a:graphicData>
            </a:graphic>
          </wp:inline>
        </w:drawing>
      </w:r>
    </w:p>
    <w:p w14:paraId="7CA4B388" w14:textId="77777777" w:rsidR="00962EB7" w:rsidRPr="00962EB7" w:rsidRDefault="00962EB7" w:rsidP="00962EB7">
      <w:pPr>
        <w:spacing w:after="120" w:line="240" w:lineRule="auto"/>
        <w:ind w:firstLine="720"/>
        <w:rPr>
          <w:szCs w:val="22"/>
        </w:rPr>
      </w:pPr>
    </w:p>
    <w:p w14:paraId="55885EA4" w14:textId="4BEDC682" w:rsidR="00962EB7" w:rsidRPr="00D1111B" w:rsidRDefault="00962EB7" w:rsidP="00D1111B">
      <w:pPr>
        <w:spacing w:after="120"/>
        <w:ind w:firstLine="720"/>
        <w:jc w:val="both"/>
        <w:rPr>
          <w:szCs w:val="22"/>
        </w:rPr>
      </w:pPr>
      <w:r w:rsidRPr="00962EB7">
        <w:rPr>
          <w:szCs w:val="22"/>
        </w:rPr>
        <w:t>Ņemot vērā ministriju iesniegtos statistikas datus par audzēkņu skaitu mācību programmās, secināms, ka piecas mācību programmas ir pietiekami populāras, lai vidēji pēdējo piecu mācību gadu laikā tās apgūtu vismaz 1 000 audzēkņu (</w:t>
      </w:r>
      <w:r w:rsidR="00D1111B">
        <w:rPr>
          <w:szCs w:val="22"/>
        </w:rPr>
        <w:fldChar w:fldCharType="begin"/>
      </w:r>
      <w:r w:rsidR="00D1111B">
        <w:rPr>
          <w:szCs w:val="22"/>
        </w:rPr>
        <w:instrText xml:space="preserve"> REF _Ref46994143 \h </w:instrText>
      </w:r>
      <w:r w:rsidR="00D1111B">
        <w:rPr>
          <w:szCs w:val="22"/>
        </w:rPr>
      </w:r>
      <w:r w:rsidR="00D1111B">
        <w:rPr>
          <w:szCs w:val="22"/>
        </w:rPr>
        <w:fldChar w:fldCharType="separate"/>
      </w:r>
      <w:r w:rsidR="00D96F20">
        <w:t xml:space="preserve">Attēls Nr. </w:t>
      </w:r>
      <w:r w:rsidR="00D96F20">
        <w:rPr>
          <w:noProof/>
        </w:rPr>
        <w:t>31</w:t>
      </w:r>
      <w:r w:rsidR="00D1111B">
        <w:rPr>
          <w:szCs w:val="22"/>
        </w:rPr>
        <w:fldChar w:fldCharType="end"/>
      </w:r>
      <w:r w:rsidRPr="00962EB7">
        <w:rPr>
          <w:szCs w:val="22"/>
        </w:rPr>
        <w:t>). Mācību programmu “Autotransports” pēdējo piecu mācību gadu laikā vidēji apgūst 2 313 audzēkņi. Turklāt redzams, ka šo mācību programmu ik gadu izvēlas konstants skolēnu skaits. 1 630 audzēkņi apgūst mācību programmu “Ēdināšanas pakalpojumi”. Attiecībā uz šo programmu jāpiemin arī tas, ka šo specialitāti apgūst ne tikai iepriekšminētais audzēkņu skaits, bet papildus tiem arī daži simti audzēkņu, kas to apgūst dažādu mūžizglītības vai pārkvalificēšanās programmu ietvaros, līdz ar to kopējo audzēkņu skaitu tuvinot topošo autotransporta speciālistu apjomam. Populārāko mācību programmu pieciniekā ietilpt arī “Viesnīcu pakalpojumi”, “Datorsistēmas, datubāzes un datortīkli”, kā arī “Komerczinības”. Pēdējā no šīm programmām savu popularitāti gan strauji zaudē, jo, ja 2015. gada 1. oktobrī to apguva 1 451 audzēknis, tad 2019. gada 1. oktobrī mācību programmu apguva tikai 838 skolēni. Vienlaikus straujš popularitātes pieaugums ir 6. populārākajā mācību programmā “Programmēšana”, kur piecu mācību gadu laikā audzēkņu skaits pieaudzis no 696 līdz 1 011</w:t>
      </w:r>
      <w:r w:rsidR="008B2FB2">
        <w:rPr>
          <w:szCs w:val="22"/>
        </w:rPr>
        <w:t xml:space="preserve"> audzēknim</w:t>
      </w:r>
      <w:r w:rsidRPr="00962EB7">
        <w:rPr>
          <w:szCs w:val="22"/>
        </w:rPr>
        <w:t>.</w:t>
      </w:r>
    </w:p>
    <w:p w14:paraId="6BA3ABB1" w14:textId="77777777" w:rsidR="00A664D7" w:rsidRPr="00A664D7" w:rsidRDefault="00962EB7" w:rsidP="00AB14B2">
      <w:pPr>
        <w:spacing w:after="120"/>
        <w:ind w:firstLine="720"/>
        <w:jc w:val="both"/>
        <w:rPr>
          <w:szCs w:val="22"/>
        </w:rPr>
      </w:pPr>
      <w:r w:rsidRPr="00962EB7">
        <w:rPr>
          <w:szCs w:val="22"/>
        </w:rPr>
        <w:t xml:space="preserve">Vērtējams ir arī mācību iestāžu skaits, kurās katra no mācību programmām ir apgūstama. Vislielākā iespēja izvēlēties sev atbilstošo skolu ir topošajiem ēdināšanas speciālistiem – no statistikas apkopojumā ietvertajām 45 skolām 18 mācību iestādēs ir iespējams apgūt “Ēdināšanas pakalpojumu” mācību programmu, bet vēl vairākās mācību iestādēs šī programma apgūstama mūžizglītības vai pārkvalificēšanās programmu ietvaros, mācību iestāžu skaitu palielinot līdz aptuveni 30 iestādēm. Savukārt 15 skolas piedāvā mācību programmas “Autotransports” un “Viesnīcu pakalpojumi” apguvi, 13 mācību iestādēs apgūstama programma “Datorsistēmas, datubāzes un datortīkli”, 11 skolas savā mācību programmā iekļauj “Programmēšanu” un “Administratīvos un sekretāra pakalpojumus”, </w:t>
      </w:r>
      <w:r w:rsidRPr="00962EB7">
        <w:rPr>
          <w:szCs w:val="22"/>
        </w:rPr>
        <w:lastRenderedPageBreak/>
        <w:t>“Komerczinību” programma pieejama 10 skolās un tāda pati iespēja iegūt diplomu mācību programmā “Būvdarbi”.</w:t>
      </w:r>
      <w:bookmarkStart w:id="112" w:name="_Ref46328199"/>
    </w:p>
    <w:p w14:paraId="00FE97A5" w14:textId="5B311364" w:rsidR="00962EB7" w:rsidRPr="00962EB7" w:rsidRDefault="00962EB7" w:rsidP="00962EB7">
      <w:pPr>
        <w:pStyle w:val="Caption"/>
      </w:pPr>
      <w:bookmarkStart w:id="113" w:name="_Ref46994143"/>
      <w:r>
        <w:t xml:space="preserve">Attēls Nr. </w:t>
      </w:r>
      <w:fldSimple w:instr=" SEQ Attēls_Nr. \* ARABIC ">
        <w:r w:rsidR="00D96F20">
          <w:rPr>
            <w:noProof/>
          </w:rPr>
          <w:t>31</w:t>
        </w:r>
      </w:fldSimple>
      <w:bookmarkEnd w:id="112"/>
      <w:bookmarkEnd w:id="113"/>
    </w:p>
    <w:p w14:paraId="420C4F9C" w14:textId="77777777" w:rsidR="00962EB7" w:rsidRPr="00962EB7" w:rsidRDefault="00962EB7" w:rsidP="00962EB7">
      <w:pPr>
        <w:spacing w:after="120" w:line="240" w:lineRule="auto"/>
        <w:jc w:val="center"/>
        <w:rPr>
          <w:szCs w:val="22"/>
        </w:rPr>
      </w:pPr>
      <w:r w:rsidRPr="00962EB7">
        <w:rPr>
          <w:b/>
          <w:szCs w:val="22"/>
        </w:rPr>
        <w:t>Populārākās profesionālo izglītības iestāžu mācību programmas pēc vidējā audzēkņu skaita pēdējo piecu mācību gadu laikā</w:t>
      </w:r>
    </w:p>
    <w:p w14:paraId="6D56F620" w14:textId="77777777" w:rsidR="00962EB7" w:rsidRPr="00962EB7" w:rsidRDefault="00962EB7" w:rsidP="00962EB7">
      <w:pPr>
        <w:spacing w:after="120" w:line="240" w:lineRule="auto"/>
        <w:jc w:val="center"/>
        <w:rPr>
          <w:szCs w:val="22"/>
        </w:rPr>
      </w:pPr>
      <w:r w:rsidRPr="00962EB7">
        <w:rPr>
          <w:noProof/>
          <w:szCs w:val="22"/>
          <w:lang w:eastAsia="lv-LV"/>
        </w:rPr>
        <w:drawing>
          <wp:inline distT="0" distB="0" distL="0" distR="0" wp14:anchorId="4F8E949A" wp14:editId="2BE7B4EF">
            <wp:extent cx="5579745" cy="3194582"/>
            <wp:effectExtent l="0" t="0" r="190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79745" cy="3194582"/>
                    </a:xfrm>
                    <a:prstGeom prst="rect">
                      <a:avLst/>
                    </a:prstGeom>
                    <a:noFill/>
                    <a:ln>
                      <a:noFill/>
                    </a:ln>
                  </pic:spPr>
                </pic:pic>
              </a:graphicData>
            </a:graphic>
          </wp:inline>
        </w:drawing>
      </w:r>
    </w:p>
    <w:p w14:paraId="3C2D28DB" w14:textId="5DF0A6DB" w:rsidR="00962EB7" w:rsidRPr="00962EB7" w:rsidRDefault="00962EB7" w:rsidP="005B2C30">
      <w:pPr>
        <w:spacing w:after="120"/>
        <w:ind w:firstLine="709"/>
        <w:jc w:val="both"/>
        <w:rPr>
          <w:szCs w:val="22"/>
        </w:rPr>
      </w:pPr>
      <w:r w:rsidRPr="00962EB7">
        <w:rPr>
          <w:szCs w:val="22"/>
        </w:rPr>
        <w:t>Ja analizē datus par audzēkņu vidējo skaitu mācību programmās, tad novērojama liela atšķirība starp piepildītākajām mācību programmām un tām mācību programmām, kurās audzēkņu skaits ir pavisam neliels. Tajā pašā laikā skalas abās pusēs esošās mācību programmas lielākoties ir tās, kas apgūstamas tikai vienā vai divās mācību iestādēs (</w:t>
      </w:r>
      <w:r w:rsidR="000723E3">
        <w:rPr>
          <w:szCs w:val="22"/>
        </w:rPr>
        <w:fldChar w:fldCharType="begin"/>
      </w:r>
      <w:r w:rsidR="000723E3">
        <w:rPr>
          <w:szCs w:val="22"/>
        </w:rPr>
        <w:instrText xml:space="preserve"> REF _Ref46155184 \h </w:instrText>
      </w:r>
      <w:r w:rsidR="000723E3">
        <w:rPr>
          <w:szCs w:val="22"/>
        </w:rPr>
      </w:r>
      <w:r w:rsidR="000723E3">
        <w:rPr>
          <w:szCs w:val="22"/>
        </w:rPr>
        <w:fldChar w:fldCharType="separate"/>
      </w:r>
      <w:r w:rsidR="00D96F20" w:rsidRPr="00962EB7">
        <w:rPr>
          <w:iCs/>
        </w:rPr>
        <w:t xml:space="preserve">Attēls Nr. </w:t>
      </w:r>
      <w:r w:rsidR="00D96F20">
        <w:rPr>
          <w:iCs/>
          <w:noProof/>
        </w:rPr>
        <w:t>32</w:t>
      </w:r>
      <w:r w:rsidR="000723E3">
        <w:rPr>
          <w:szCs w:val="22"/>
        </w:rPr>
        <w:fldChar w:fldCharType="end"/>
      </w:r>
      <w:r w:rsidRPr="00962EB7">
        <w:rPr>
          <w:szCs w:val="22"/>
        </w:rPr>
        <w:t xml:space="preserve">). Grafika kreisajā skalā (zaļajās kolonnās) attēlotas mācību programmas ar lielāko audzēkņu vidējo skaitu vienā mācību iestādē, bet grafika labajā skalā mācību programmas ar zemāko rādītāju. Iekavās aiz mācību programmas nosaukuma norādīts izglītības iestāžu skaits, kurā attiecīgā programma ir apgūstama. </w:t>
      </w:r>
    </w:p>
    <w:p w14:paraId="2B851D85" w14:textId="77777777" w:rsidR="00962EB7" w:rsidRPr="00962EB7" w:rsidRDefault="00962EB7" w:rsidP="005B2C30">
      <w:pPr>
        <w:spacing w:after="120"/>
        <w:ind w:firstLine="709"/>
        <w:jc w:val="both"/>
        <w:rPr>
          <w:szCs w:val="22"/>
        </w:rPr>
      </w:pPr>
      <w:r w:rsidRPr="00962EB7">
        <w:rPr>
          <w:szCs w:val="22"/>
        </w:rPr>
        <w:t>Ja raugās uz septiņām mācību programmām ar vislielāko audzēkņu skaitu vidēji vienā mācību iestādē, secināms, ka sešas no tām ir apgūstamas tikai vienā vai divās mācību iestādēs, kas ļauj izdarīt secinājumu, ka mācību programmas specializācija tikai vienā mācību iestādē ļauj panākt arī pietiekamu audzēkņu skaitu šajā mācību programmā. Lielākais vidējais audzēkņu skaits vienā skolā ir mācību programmai “Jūras transports”, kuru pēdējos piecos gados vidēji apgūst 519,8 audzēkņi un, tā kā šī mācību programma ir divu profesionālo izglītības iestāžu piedāvājumā, aprēķināms, ka vienā mācību iestādē šo programmu apgūst vidēji 259,9 audzēkņi.</w:t>
      </w:r>
    </w:p>
    <w:p w14:paraId="2CCA477E" w14:textId="2019F996" w:rsidR="00962EB7" w:rsidRPr="00962EB7" w:rsidRDefault="00962EB7" w:rsidP="005B2C30">
      <w:pPr>
        <w:spacing w:after="120"/>
        <w:ind w:firstLine="709"/>
        <w:jc w:val="both"/>
        <w:rPr>
          <w:szCs w:val="22"/>
        </w:rPr>
      </w:pPr>
      <w:r w:rsidRPr="00962EB7">
        <w:rPr>
          <w:szCs w:val="22"/>
        </w:rPr>
        <w:t>Skalas otrā galā redzamas četras mācību programmas, kas apgūstamas tikai vienā mācību iestādē un ir ar ļoti minimālu audzēkņu skaitu, kas liek izvērtēt nepieciešamību pēc šādas mācību programmas</w:t>
      </w:r>
      <w:r w:rsidR="00A97BBA">
        <w:rPr>
          <w:szCs w:val="22"/>
        </w:rPr>
        <w:t xml:space="preserve"> nodrošināšanas tik lielā mācību iestāžu skaitā</w:t>
      </w:r>
      <w:r w:rsidRPr="00962EB7">
        <w:rPr>
          <w:szCs w:val="22"/>
        </w:rPr>
        <w:t xml:space="preserve">. Pārējās trīs ir mācību programmas KM padotībā esošajās kultūras un mākslas vidusskolās. Lai arī var uzskatīt, ka ļoti mazs audzēkņu skaits ir visās attēla oranžajās kolonnās minētajās mācību programmās, īpašu vērību var pievērst skalas pēdējai vietai. Mācību programma “Sitaminstrumentu spēle” tiek piedāvāta 8 KM padotībā esošās profesionālās izglītības iestādēs, kur šo programmu pēdējo </w:t>
      </w:r>
      <w:r w:rsidRPr="00962EB7">
        <w:rPr>
          <w:szCs w:val="22"/>
        </w:rPr>
        <w:lastRenderedPageBreak/>
        <w:t>piecu mācību gadu laikā apgūst vidēji 19,8 audzēkņi, kas nozīmē 2,5 audzēkņus vidēji vienā skolā. Ņemot vērā to, ka šī mācību programma apgūstama 4 gadu garumā, aprēķināms, ka vidēji vienā kursā ir tikai 0,625 audzēkņi. Rodas pamatots jautājums par šādas mācību programmas nepieciešamību katrā mūzikas vidusskolā tā vietā, lai lemtu par šīs programmas mācībspēku un audzēkņu koncentrēšanu vienā no šīm skolām.</w:t>
      </w:r>
    </w:p>
    <w:p w14:paraId="67256DE2" w14:textId="7F19E2E3" w:rsidR="00962EB7" w:rsidRPr="00962EB7" w:rsidRDefault="00962EB7" w:rsidP="00962EB7">
      <w:pPr>
        <w:spacing w:after="120" w:line="240" w:lineRule="auto"/>
        <w:jc w:val="right"/>
        <w:rPr>
          <w:iCs/>
        </w:rPr>
      </w:pPr>
      <w:bookmarkStart w:id="114" w:name="_Ref46155184"/>
      <w:r w:rsidRPr="00962EB7">
        <w:rPr>
          <w:iCs/>
        </w:rPr>
        <w:t xml:space="preserve">Attēls Nr. </w:t>
      </w:r>
      <w:r w:rsidRPr="00962EB7">
        <w:rPr>
          <w:iCs/>
        </w:rPr>
        <w:fldChar w:fldCharType="begin"/>
      </w:r>
      <w:r w:rsidRPr="00962EB7">
        <w:rPr>
          <w:iCs/>
        </w:rPr>
        <w:instrText xml:space="preserve"> SEQ Attēls_Nr. \* ARABIC </w:instrText>
      </w:r>
      <w:r w:rsidRPr="00962EB7">
        <w:rPr>
          <w:iCs/>
        </w:rPr>
        <w:fldChar w:fldCharType="separate"/>
      </w:r>
      <w:r w:rsidR="00D96F20">
        <w:rPr>
          <w:iCs/>
          <w:noProof/>
        </w:rPr>
        <w:t>32</w:t>
      </w:r>
      <w:r w:rsidRPr="00962EB7">
        <w:rPr>
          <w:iCs/>
        </w:rPr>
        <w:fldChar w:fldCharType="end"/>
      </w:r>
      <w:bookmarkEnd w:id="114"/>
    </w:p>
    <w:p w14:paraId="21F57163" w14:textId="77777777" w:rsidR="00D5235A" w:rsidRPr="00D5235A" w:rsidRDefault="00D5235A" w:rsidP="00D5235A">
      <w:pPr>
        <w:spacing w:after="120"/>
        <w:jc w:val="center"/>
      </w:pPr>
      <w:r w:rsidRPr="00D5235A">
        <w:rPr>
          <w:b/>
        </w:rPr>
        <w:t>Mācību programmas ar vidēji lielāko un mazāko audzēkņu skaitu vidēji vienā profesionālās izglītības iestādē</w:t>
      </w:r>
    </w:p>
    <w:p w14:paraId="600BA739" w14:textId="77777777" w:rsidR="00962EB7" w:rsidRPr="00962EB7" w:rsidRDefault="00D5235A" w:rsidP="00962EB7">
      <w:pPr>
        <w:spacing w:after="120" w:line="240" w:lineRule="auto"/>
        <w:jc w:val="center"/>
        <w:rPr>
          <w:szCs w:val="22"/>
        </w:rPr>
      </w:pPr>
      <w:r w:rsidRPr="00D5235A">
        <w:rPr>
          <w:noProof/>
          <w:lang w:eastAsia="lv-LV"/>
        </w:rPr>
        <w:drawing>
          <wp:inline distT="0" distB="0" distL="0" distR="0" wp14:anchorId="7314F842" wp14:editId="0684E81A">
            <wp:extent cx="5629275" cy="413790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40276" cy="4145993"/>
                    </a:xfrm>
                    <a:prstGeom prst="rect">
                      <a:avLst/>
                    </a:prstGeom>
                    <a:noFill/>
                  </pic:spPr>
                </pic:pic>
              </a:graphicData>
            </a:graphic>
          </wp:inline>
        </w:drawing>
      </w:r>
    </w:p>
    <w:p w14:paraId="3A1B21C1" w14:textId="4AACA0BE" w:rsidR="00D5235A" w:rsidRPr="00D5235A" w:rsidRDefault="00D5235A" w:rsidP="00A664D7">
      <w:pPr>
        <w:spacing w:after="120"/>
        <w:ind w:firstLine="720"/>
        <w:jc w:val="both"/>
      </w:pPr>
      <w:r w:rsidRPr="00D5235A">
        <w:t>Kā redzams iepriekšējā attēlā (</w:t>
      </w:r>
      <w:r w:rsidRPr="00D5235A">
        <w:fldChar w:fldCharType="begin"/>
      </w:r>
      <w:r w:rsidRPr="00D5235A">
        <w:instrText xml:space="preserve"> REF _Ref46155184 \h </w:instrText>
      </w:r>
      <w:r>
        <w:instrText xml:space="preserve"> \* MERGEFORMAT </w:instrText>
      </w:r>
      <w:r w:rsidRPr="00D5235A">
        <w:fldChar w:fldCharType="separate"/>
      </w:r>
      <w:r w:rsidR="00D96F20" w:rsidRPr="00962EB7">
        <w:rPr>
          <w:iCs/>
        </w:rPr>
        <w:t xml:space="preserve">Attēls Nr. </w:t>
      </w:r>
      <w:r w:rsidR="00D96F20">
        <w:rPr>
          <w:iCs/>
          <w:noProof/>
        </w:rPr>
        <w:t>32</w:t>
      </w:r>
      <w:r w:rsidRPr="00D5235A">
        <w:fldChar w:fldCharType="end"/>
      </w:r>
      <w:r w:rsidRPr="00D5235A">
        <w:t>) vairums mācību programmu ar zemāko audzēkņu skaitu šajās programmās vidēji vienā profesionālās izglītības iestādē ir kultūras nozarē. Starp septiņām mazapmeklētākajām mācību programmām ir gan “Sitaminstrumentu spēle”, gan “Mūzikas vēsture un teorija”, gan “Diriģēšana”. Tikai mazliet lielāks audzēkņu skaits ir arī programmās “Stīgu instrumentu spēle”(11,9), “Taustiņinstrumentu spēle”(12,1), “Vokālā mūzika”(13,9) un “Pūšaminstrumentu spēle”(13,9). Arī šīs, iepriekšējā grafikā nenorādītās, programmas lielākoties tiek piedāvātas astoņās no desmit KM padotībā esošajām kultūras un mākslas vidusskolām.</w:t>
      </w:r>
    </w:p>
    <w:p w14:paraId="3DEAC01B" w14:textId="5FEE7B4F" w:rsidR="00D5235A" w:rsidRPr="00D5235A" w:rsidRDefault="00D5235A" w:rsidP="00A664D7">
      <w:pPr>
        <w:spacing w:after="120"/>
        <w:ind w:firstLine="720"/>
        <w:jc w:val="both"/>
      </w:pPr>
      <w:r w:rsidRPr="00D5235A">
        <w:t>Apskatot audzēkņu skaitu un izmaksas uz vienu audzēkni KM padotībā esošajās profesionālās izglītības iestādēs, vērojamas lielas atšķirības starp apmācāmo skaitu un izdevumiem uz vienu audzēkni tieši KM padotības profesionālajās vidusskolās (</w:t>
      </w:r>
      <w:r w:rsidRPr="00D5235A">
        <w:fldChar w:fldCharType="begin"/>
      </w:r>
      <w:r w:rsidRPr="00D5235A">
        <w:instrText xml:space="preserve"> REF _Ref46994469 \h </w:instrText>
      </w:r>
      <w:r>
        <w:instrText xml:space="preserve"> \* MERGEFORMAT </w:instrText>
      </w:r>
      <w:r w:rsidRPr="00D5235A">
        <w:fldChar w:fldCharType="separate"/>
      </w:r>
      <w:r w:rsidR="00D96F20">
        <w:t xml:space="preserve">Attēls Nr. </w:t>
      </w:r>
      <w:r w:rsidR="00D96F20">
        <w:rPr>
          <w:noProof/>
        </w:rPr>
        <w:t>33</w:t>
      </w:r>
      <w:r w:rsidRPr="00D5235A">
        <w:fldChar w:fldCharType="end"/>
      </w:r>
      <w:r w:rsidRPr="00D5235A">
        <w:t xml:space="preserve">). Izdevumi uz vienu audzēkni atšķiras gandrīz piecas reizes. Kamēr saskaņā ar KM sniegtajiem datiem S. Broka Daugavpils Mūzikas vidusskolā izmaksas uz vienu audzēkni ir 20 137 </w:t>
      </w:r>
      <w:r w:rsidRPr="00D5235A">
        <w:rPr>
          <w:i/>
        </w:rPr>
        <w:t>euro</w:t>
      </w:r>
      <w:r w:rsidRPr="00D5235A">
        <w:t>, PIKC “Rīgas Dizaina un mākslas vidusskola” šīs izmaksas ir 4 434 </w:t>
      </w:r>
      <w:r w:rsidRPr="00D5235A">
        <w:rPr>
          <w:i/>
        </w:rPr>
        <w:t>euro</w:t>
      </w:r>
      <w:r w:rsidRPr="00D5235A">
        <w:t xml:space="preserve">. Grafikā arī skaidri redzams iemesls, proti, izglītības iestādēs ar ļoti nelielu audzēkņu skaitu izmaksas uz vienu </w:t>
      </w:r>
      <w:r w:rsidRPr="00D5235A">
        <w:lastRenderedPageBreak/>
        <w:t>izglītojamo ir krietni augstākas nekā iestādēs ar lielu izglītojamo skaitu. PIKC “Rīgas Dizaina un mākslas vidusskola” ir ne tikai mazākās izmaksas uz vienu izglītojamo</w:t>
      </w:r>
      <w:r w:rsidR="00C561E7">
        <w:t xml:space="preserve">, bet </w:t>
      </w:r>
      <w:r w:rsidRPr="00D5235A">
        <w:t>arī lielākais audzēkņu skaits, kas gandrīz divkārt pārsniedz nākamo pieprasītāko KM padotībā esošo kultūras un mākslas vidusskolu. Savukārt skola ar otro augstāko izmaksu apmēru uz vienu izglītojamo, J. Ivanova Rēzeknes mūzikas vidusskola, apmāca tikai 46 audzēkņus, bet tajā pašā laikā tiek uzturētas astoņas mācību programmas, no kurām apmeklētākajās mācās 10 audzēkņi, rēķinot kopā visus četrus mācību gadus.</w:t>
      </w:r>
    </w:p>
    <w:p w14:paraId="71D8A139" w14:textId="77777777" w:rsidR="00D5235A" w:rsidRPr="00972659" w:rsidRDefault="00D5235A" w:rsidP="00A664D7">
      <w:pPr>
        <w:spacing w:after="120"/>
        <w:ind w:firstLine="720"/>
        <w:jc w:val="both"/>
      </w:pPr>
      <w:r w:rsidRPr="00972659">
        <w:t>Tāpat akcentējams ir arī divu Rīgā esošo KM padotībā esošo izglītības iestāžu izdevumu salīdzinājums. J. Mediņa Rīgas Mūzikas vidusskolā mācās 139 audzēkņi, kamēr PIKC “Nacionālā Mākslu vidusskola” tie ir 314 audzēkņi, bet vienlaikus izmaksas šīm mācību iestādēm uz vienu audzēkni ir teju identiskas, attiecīgi 13 735 </w:t>
      </w:r>
      <w:r w:rsidRPr="00972659">
        <w:rPr>
          <w:i/>
        </w:rPr>
        <w:t>euro</w:t>
      </w:r>
      <w:r w:rsidRPr="00972659">
        <w:t xml:space="preserve"> un 13 303 </w:t>
      </w:r>
      <w:r w:rsidRPr="00972659">
        <w:rPr>
          <w:i/>
        </w:rPr>
        <w:t>euro</w:t>
      </w:r>
      <w:r w:rsidRPr="00972659">
        <w:t>.</w:t>
      </w:r>
    </w:p>
    <w:p w14:paraId="1EAE0A9C" w14:textId="705ECDA3" w:rsidR="00D5235A" w:rsidRDefault="00D5235A" w:rsidP="00D5235A">
      <w:pPr>
        <w:pStyle w:val="Caption"/>
        <w:rPr>
          <w:b/>
          <w:highlight w:val="yellow"/>
        </w:rPr>
      </w:pPr>
      <w:bookmarkStart w:id="115" w:name="_Ref46994469"/>
      <w:r>
        <w:t xml:space="preserve">Attēls Nr. </w:t>
      </w:r>
      <w:fldSimple w:instr=" SEQ Attēls_Nr. \* ARABIC ">
        <w:r w:rsidR="00D96F20">
          <w:rPr>
            <w:noProof/>
          </w:rPr>
          <w:t>33</w:t>
        </w:r>
      </w:fldSimple>
      <w:bookmarkEnd w:id="115"/>
    </w:p>
    <w:p w14:paraId="15D9C2BD" w14:textId="77777777" w:rsidR="00D5235A" w:rsidRPr="00972659" w:rsidRDefault="00D5235A" w:rsidP="00D5235A">
      <w:pPr>
        <w:spacing w:after="120"/>
        <w:jc w:val="center"/>
      </w:pPr>
      <w:r w:rsidRPr="00972659">
        <w:rPr>
          <w:b/>
        </w:rPr>
        <w:t>Izdevumi uz vienu audzēkni un audzēkņu skaits KM padotībā esošajās profesionālās izglītības iestādēs</w:t>
      </w:r>
    </w:p>
    <w:p w14:paraId="5E108BC0" w14:textId="77777777" w:rsidR="00D5235A" w:rsidRPr="00972659" w:rsidRDefault="00D5235A" w:rsidP="00D5235A">
      <w:pPr>
        <w:spacing w:after="120"/>
        <w:jc w:val="center"/>
      </w:pPr>
      <w:r w:rsidRPr="00972659">
        <w:rPr>
          <w:noProof/>
          <w:lang w:eastAsia="lv-LV"/>
        </w:rPr>
        <w:drawing>
          <wp:inline distT="0" distB="0" distL="0" distR="0" wp14:anchorId="33C8E51E" wp14:editId="3D0A882A">
            <wp:extent cx="5554345" cy="3486441"/>
            <wp:effectExtent l="0" t="0" r="825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73101" cy="3498214"/>
                    </a:xfrm>
                    <a:prstGeom prst="rect">
                      <a:avLst/>
                    </a:prstGeom>
                    <a:noFill/>
                  </pic:spPr>
                </pic:pic>
              </a:graphicData>
            </a:graphic>
          </wp:inline>
        </w:drawing>
      </w:r>
    </w:p>
    <w:p w14:paraId="3BCE1C57" w14:textId="77777777" w:rsidR="00962EB7" w:rsidRPr="00972659" w:rsidRDefault="00D5235A" w:rsidP="00A664D7">
      <w:pPr>
        <w:spacing w:after="120"/>
        <w:ind w:firstLine="720"/>
        <w:jc w:val="both"/>
      </w:pPr>
      <w:r w:rsidRPr="00972659">
        <w:t>FM ieskatā KM būtu racionālāk jāizlieto kultūras un mākslas vidusskolām piešķirtais finansējums vidējās profesionālās izglītības iegūšanai izveidotajās programmās. Saskaņā ar KM sniegto informāciju par tās padotībā esošo izglītības iestāžu 2020. gada izdevumu un audzēkņu apjomiem aprēķināms, ka, ja septiņas izglītības iestādes, kurām izdevumi uz vienu audzēkni pārsniedz vidējo rādītāju, samazinātu šīs izmaksas līdz 12 726 </w:t>
      </w:r>
      <w:r w:rsidRPr="00972659">
        <w:rPr>
          <w:i/>
        </w:rPr>
        <w:t>euro</w:t>
      </w:r>
      <w:r w:rsidRPr="00972659">
        <w:t xml:space="preserve">, vienlaikus, nesamazinot audzēkņu skaitu, </w:t>
      </w:r>
      <w:r w:rsidRPr="00972659">
        <w:rPr>
          <w:b/>
        </w:rPr>
        <w:t>būtu iespējams iegūt resursu iekšējām prioritātēm 1 538 772 </w:t>
      </w:r>
      <w:r w:rsidRPr="00972659">
        <w:rPr>
          <w:b/>
          <w:i/>
        </w:rPr>
        <w:t>euro</w:t>
      </w:r>
      <w:r w:rsidRPr="00972659">
        <w:rPr>
          <w:b/>
        </w:rPr>
        <w:t xml:space="preserve"> apmērā</w:t>
      </w:r>
      <w:r w:rsidRPr="00972659">
        <w:t>.</w:t>
      </w:r>
    </w:p>
    <w:p w14:paraId="6D221C68" w14:textId="785D09A0" w:rsidR="00962EB7" w:rsidRPr="00962EB7" w:rsidRDefault="00962EB7" w:rsidP="00A664D7">
      <w:pPr>
        <w:spacing w:after="120"/>
        <w:ind w:firstLine="720"/>
        <w:jc w:val="both"/>
        <w:rPr>
          <w:szCs w:val="22"/>
        </w:rPr>
      </w:pPr>
      <w:r w:rsidRPr="00962EB7">
        <w:rPr>
          <w:szCs w:val="22"/>
        </w:rPr>
        <w:t xml:space="preserve">Atbilstoši sadaļā norādītajam, atbildīgajām ministrijām ir jāvērtē mācību programmu nepieciešamība ne tikai kontekstā ar audzēkņu skaitu katrā programmā, bet arī kontekstā ar pieprasījumu pēc attiecīgajiem speciālistiem darba tirgū. Te jāatgriežas pie audzēkņu skaita ziņā populārākās mācību programmas “Autotransports”. Vidēji 2 313 audzēkņi mācību gadā, ņemot vērā 4 gadu mācību ilgumu, </w:t>
      </w:r>
      <w:r w:rsidR="00E754A1">
        <w:rPr>
          <w:szCs w:val="22"/>
        </w:rPr>
        <w:t xml:space="preserve">tas </w:t>
      </w:r>
      <w:r w:rsidRPr="00962EB7">
        <w:rPr>
          <w:szCs w:val="22"/>
        </w:rPr>
        <w:t xml:space="preserve">nozīmē vidēji 578 audzēkņus vienā kursā. Pieņemot, ka </w:t>
      </w:r>
      <w:r w:rsidRPr="00962EB7">
        <w:rPr>
          <w:szCs w:val="22"/>
        </w:rPr>
        <w:lastRenderedPageBreak/>
        <w:t>mācību procesa laikā ne visi apmācāmie veiksmīgi nonāk līdz diploma par vidējās profesionālās izglītības iegūšanu saņemšanai, var prognozēt darba tirgus papildināšanos ar ap</w:t>
      </w:r>
      <w:r w:rsidR="00E754A1">
        <w:rPr>
          <w:szCs w:val="22"/>
        </w:rPr>
        <w:t>tuveni</w:t>
      </w:r>
      <w:r w:rsidRPr="00962EB7">
        <w:rPr>
          <w:szCs w:val="22"/>
        </w:rPr>
        <w:t xml:space="preserve"> 500 šīs mācību programmas absolventiem ik gadu. Šie rādītāji būtu vērtējami kopsakarā ar pieprasījumu darba tirgū un brīvo vakanču statistiku.</w:t>
      </w:r>
    </w:p>
    <w:p w14:paraId="2FA8E1C9" w14:textId="1C9B6019" w:rsidR="00D006F5" w:rsidRDefault="00D006F5" w:rsidP="00D006F5">
      <w:pPr>
        <w:spacing w:after="120"/>
        <w:ind w:firstLine="720"/>
        <w:jc w:val="both"/>
      </w:pPr>
      <w:r w:rsidRPr="00D006F5">
        <w:t>Atbildīgo ministriju iesūtītie statistikas dati liecina par ļoti zemu mācību kavējumu dēļ atskaitīto audzēkņu skaitu vairumā profesionālo izglītības iestāžu (</w:t>
      </w:r>
      <w:r w:rsidRPr="00D006F5">
        <w:fldChar w:fldCharType="begin"/>
      </w:r>
      <w:r w:rsidRPr="00D006F5">
        <w:instrText xml:space="preserve"> REF _Ref46156673 \h  \* MERGEFORMAT </w:instrText>
      </w:r>
      <w:r w:rsidRPr="00D006F5">
        <w:fldChar w:fldCharType="separate"/>
      </w:r>
      <w:r w:rsidR="00D96F20" w:rsidRPr="00D96F20">
        <w:t xml:space="preserve">Attēls Nr. </w:t>
      </w:r>
      <w:r w:rsidR="00D96F20" w:rsidRPr="00D96F20">
        <w:rPr>
          <w:noProof/>
        </w:rPr>
        <w:t>34</w:t>
      </w:r>
      <w:r w:rsidRPr="00D006F5">
        <w:fldChar w:fldCharType="end"/>
      </w:r>
      <w:r w:rsidRPr="00D006F5">
        <w:t>). Redzams, ka ir atsevišķas mācību iestādes (RSU SKMK, Rīgas 3. arodskola un VPolK), kur vidēji pēdējo četru mācību gadu laikā ir vairāk nekā 10% atskaitīto audzēkņu pret mācības uzsākušo audzēkņu skaitu. Tajā pašā laikā četrās mācību iestādēs (DU DMK, Kuldīgas Tehnoloģiju un tūrisma tehnikums, Alfrēda Kalniņa Cēsu mūzikas vidusskola un Jāņa Ivanova Rēzeknes mūzikas vidusskola) pēdējo četru mācību gadu laikā nav bijis neviena atskaitīta audzēkņa, kas skaidrojams ar mācību procesa neapmeklēšanu.</w:t>
      </w:r>
    </w:p>
    <w:p w14:paraId="709D668A" w14:textId="1E1452FF" w:rsidR="00962EB7" w:rsidRPr="00962EB7" w:rsidRDefault="00962EB7" w:rsidP="00962EB7">
      <w:pPr>
        <w:spacing w:after="120" w:line="240" w:lineRule="auto"/>
        <w:jc w:val="right"/>
        <w:rPr>
          <w:iCs/>
        </w:rPr>
      </w:pPr>
      <w:bookmarkStart w:id="116" w:name="_Ref46156673"/>
      <w:r w:rsidRPr="00962EB7">
        <w:rPr>
          <w:iCs/>
        </w:rPr>
        <w:t xml:space="preserve">Attēls Nr. </w:t>
      </w:r>
      <w:r w:rsidRPr="00962EB7">
        <w:rPr>
          <w:iCs/>
        </w:rPr>
        <w:fldChar w:fldCharType="begin"/>
      </w:r>
      <w:r w:rsidRPr="00962EB7">
        <w:rPr>
          <w:iCs/>
        </w:rPr>
        <w:instrText xml:space="preserve"> SEQ Attēls_Nr. \* ARABIC </w:instrText>
      </w:r>
      <w:r w:rsidRPr="00962EB7">
        <w:rPr>
          <w:iCs/>
        </w:rPr>
        <w:fldChar w:fldCharType="separate"/>
      </w:r>
      <w:r w:rsidR="00D96F20">
        <w:rPr>
          <w:iCs/>
          <w:noProof/>
        </w:rPr>
        <w:t>34</w:t>
      </w:r>
      <w:r w:rsidRPr="00962EB7">
        <w:rPr>
          <w:iCs/>
        </w:rPr>
        <w:fldChar w:fldCharType="end"/>
      </w:r>
      <w:bookmarkEnd w:id="116"/>
    </w:p>
    <w:p w14:paraId="500CB7ED" w14:textId="77777777" w:rsidR="00D006F5" w:rsidRDefault="00D006F5" w:rsidP="00D006F5">
      <w:pPr>
        <w:spacing w:after="120"/>
        <w:jc w:val="center"/>
      </w:pPr>
      <w:r>
        <w:rPr>
          <w:b/>
        </w:rPr>
        <w:t>Profesionālās izglītības iestādes ar lielāko un mazāko vidēji atskaitīto audzēkņu skaitu pēdējo četru gadu laikā mācību kavējumu dēļ</w:t>
      </w:r>
    </w:p>
    <w:p w14:paraId="2D91BDA5" w14:textId="0FEAECA7" w:rsidR="00962EB7" w:rsidRPr="00962EB7" w:rsidRDefault="00D006F5" w:rsidP="00972659">
      <w:pPr>
        <w:spacing w:after="120" w:line="240" w:lineRule="auto"/>
        <w:jc w:val="center"/>
        <w:rPr>
          <w:szCs w:val="22"/>
        </w:rPr>
      </w:pPr>
      <w:r>
        <w:rPr>
          <w:noProof/>
          <w:szCs w:val="22"/>
          <w:lang w:eastAsia="lv-LV"/>
        </w:rPr>
        <w:drawing>
          <wp:inline distT="0" distB="0" distL="0" distR="0" wp14:anchorId="51EE5FFB" wp14:editId="13571C72">
            <wp:extent cx="5578475" cy="391414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78475" cy="3914140"/>
                    </a:xfrm>
                    <a:prstGeom prst="rect">
                      <a:avLst/>
                    </a:prstGeom>
                    <a:noFill/>
                  </pic:spPr>
                </pic:pic>
              </a:graphicData>
            </a:graphic>
          </wp:inline>
        </w:drawing>
      </w:r>
    </w:p>
    <w:p w14:paraId="43B1D134" w14:textId="77777777" w:rsidR="002C34DA" w:rsidRDefault="002C34DA" w:rsidP="00605952">
      <w:pPr>
        <w:spacing w:after="120"/>
        <w:ind w:firstLine="709"/>
        <w:jc w:val="both"/>
        <w:rPr>
          <w:szCs w:val="22"/>
        </w:rPr>
      </w:pPr>
    </w:p>
    <w:p w14:paraId="6F20B03F" w14:textId="308399D8" w:rsidR="00464044" w:rsidRDefault="00605952" w:rsidP="00605952">
      <w:pPr>
        <w:spacing w:after="120"/>
        <w:ind w:firstLine="709"/>
        <w:jc w:val="both"/>
        <w:rPr>
          <w:b/>
          <w:i/>
          <w:szCs w:val="22"/>
        </w:rPr>
      </w:pPr>
      <w:r>
        <w:rPr>
          <w:szCs w:val="22"/>
        </w:rPr>
        <w:t>A</w:t>
      </w:r>
      <w:r w:rsidR="00962EB7" w:rsidRPr="00962EB7">
        <w:rPr>
          <w:szCs w:val="22"/>
        </w:rPr>
        <w:t>tskaitīto audzēkņu datus, mācību apmeklējuma un audzēkņu datus vērtēja arī VKo savā 2019. gada revīzijā par stipendiju izmaksas kārtību profesionālās izglītības iestādēs</w:t>
      </w:r>
      <w:r w:rsidR="00962EB7" w:rsidRPr="00962EB7">
        <w:rPr>
          <w:szCs w:val="22"/>
          <w:vertAlign w:val="superscript"/>
        </w:rPr>
        <w:footnoteReference w:id="23"/>
      </w:r>
      <w:r w:rsidR="00962EB7" w:rsidRPr="00962EB7">
        <w:rPr>
          <w:szCs w:val="22"/>
        </w:rPr>
        <w:t xml:space="preserve">. VKo konstatēja trūkumus dažādos ārējos un iekšējos normatīvajos aktos, no kā izriet stipendiju piešķiršanas kārtība katrā mācību iestādē, kā arī saskārās ar nekvalitatīviem VIIS datiem, kas tiek izmantoti politikas plānošanai un profesionālās izglītības programmu izmaksu </w:t>
      </w:r>
      <w:r w:rsidR="00962EB7" w:rsidRPr="00962EB7">
        <w:rPr>
          <w:szCs w:val="22"/>
        </w:rPr>
        <w:lastRenderedPageBreak/>
        <w:t>aprēķināšanai. 2020. gada otrajā pusē VKo plāno publicēt plašāku revīziju par profesionālās izglītības nozari.</w:t>
      </w:r>
      <w:r>
        <w:rPr>
          <w:b/>
          <w:i/>
          <w:szCs w:val="22"/>
        </w:rPr>
        <w:t xml:space="preserve"> </w:t>
      </w:r>
    </w:p>
    <w:p w14:paraId="54165EC4" w14:textId="57E80A32" w:rsidR="00962EB7" w:rsidRPr="00962EB7" w:rsidRDefault="00962EB7" w:rsidP="00A664D7">
      <w:pPr>
        <w:spacing w:after="120"/>
        <w:jc w:val="both"/>
        <w:rPr>
          <w:b/>
          <w:i/>
          <w:szCs w:val="22"/>
        </w:rPr>
      </w:pPr>
      <w:r w:rsidRPr="00962EB7">
        <w:rPr>
          <w:b/>
          <w:i/>
          <w:szCs w:val="22"/>
        </w:rPr>
        <w:t>Secinājumi un ieteikumi</w:t>
      </w:r>
      <w:r w:rsidR="00F17C94">
        <w:rPr>
          <w:b/>
          <w:i/>
          <w:szCs w:val="22"/>
        </w:rPr>
        <w:t>:</w:t>
      </w:r>
    </w:p>
    <w:p w14:paraId="793E6509" w14:textId="77777777" w:rsidR="00962EB7" w:rsidRPr="005B2C30" w:rsidRDefault="00962EB7" w:rsidP="006A15ED">
      <w:pPr>
        <w:numPr>
          <w:ilvl w:val="0"/>
          <w:numId w:val="17"/>
        </w:numPr>
        <w:spacing w:after="120"/>
        <w:ind w:left="1066" w:hanging="357"/>
        <w:jc w:val="both"/>
        <w:rPr>
          <w:szCs w:val="22"/>
        </w:rPr>
      </w:pPr>
      <w:r w:rsidRPr="005B2C30">
        <w:rPr>
          <w:szCs w:val="22"/>
        </w:rPr>
        <w:t>Vērojamas lielas datu nesakritības starp atbildīgo ministriju iesūtītajiem datiem un VIIS pieejamiem datiem. Atsevišķos gadījumos ministriju sniegtajā informācijā uz vienu un to pašu datumu ir vairāk audzēkņu nekā VIIS statistikas apkopojumā. Lai veiktu kvalitatīvu profesionālās izglītības nozares finanšu izvērtējumu, IZM nepieciešams nodrošināt datu uzskaiti un kvalitāti VIIS esošos datus.</w:t>
      </w:r>
    </w:p>
    <w:p w14:paraId="69B6F052" w14:textId="77777777" w:rsidR="00962EB7" w:rsidRPr="005B2C30" w:rsidRDefault="00962EB7" w:rsidP="006A15ED">
      <w:pPr>
        <w:numPr>
          <w:ilvl w:val="0"/>
          <w:numId w:val="17"/>
        </w:numPr>
        <w:spacing w:after="120"/>
        <w:ind w:left="1066" w:hanging="357"/>
        <w:jc w:val="both"/>
        <w:rPr>
          <w:szCs w:val="22"/>
        </w:rPr>
      </w:pPr>
      <w:r w:rsidRPr="005B2C30">
        <w:rPr>
          <w:szCs w:val="22"/>
        </w:rPr>
        <w:t>Populārākās mācību programmas ir “Autotransports” ar vidēji 2 313 audzēkņiem ik gadu, “Ēdināšanas pakalpojumi”, kuru apgūst 1 630 audzēkņi, un 1 394 audzēkņu pārstāvētā programma “Viesnīcu pakalpojumi”. Mācību programmu “Ēdināšanas pakalpojumi” iespējams apgūt 18 no 45 statistikas datos iekļautajām skolām. IZM un pārējām par nozari atbildīgajām ministrijām nepieciešams izvērtēt, vai darba tirgū ir nepieciešams liels skaits tieši populārāko mācību programmu absolventu, jo, piemēram, mācību programmu “Autotransports” ik gadu absolvē ap 500 audzēkņu.</w:t>
      </w:r>
    </w:p>
    <w:p w14:paraId="50957EC7" w14:textId="65BCEBF6" w:rsidR="00962EB7" w:rsidRDefault="00962EB7" w:rsidP="00962EB7">
      <w:pPr>
        <w:pStyle w:val="ListParagraph"/>
        <w:numPr>
          <w:ilvl w:val="0"/>
          <w:numId w:val="17"/>
        </w:numPr>
        <w:spacing w:after="120"/>
        <w:ind w:left="1066" w:hanging="357"/>
        <w:contextualSpacing w:val="0"/>
        <w:jc w:val="both"/>
      </w:pPr>
      <w:r w:rsidRPr="005B2C30">
        <w:rPr>
          <w:szCs w:val="22"/>
        </w:rPr>
        <w:t xml:space="preserve">Mācību programmu “Jūras transports” apgūst vidēji 260 audzēkņi katrā no šo programmu piedāvājošajām skolām, savukārt “Sitaminstrumentu spēli” apgūst vidēji tikai 2,5 audzēkņi katrā no 8 šo programmu piedāvājošajām mācību iestādēm. Statistiski minimāls audzēkņu skaits ir vēl vairākās KM padotības skolās esošajām mācību programmām, piemēram, “Diriģēšana” un “Mūzikas vēsture un teorija”. </w:t>
      </w:r>
      <w:r w:rsidR="005B2C30" w:rsidRPr="005B2C30">
        <w:t xml:space="preserve">Tāpat KM padotībā esošajām profesionālās izglītības iestādēm ir ļoti atšķirīgs izmaksu apjoms uz vienu izglītojamo, kas saistāms ar ļoti mazo apmācāmo skaitu lielā daļā šo skolu. </w:t>
      </w:r>
      <w:r w:rsidRPr="005B2C30">
        <w:rPr>
          <w:szCs w:val="22"/>
        </w:rPr>
        <w:t>KM nepieciešams izvērtēt to, cik racionāla ir tik daudzu mākslas un mūzikas novirziena profesionālo izglītības iestāžu uzturēšana ar savstarpēji identiskām un ļoti maz pieprasītām mācību programmām.</w:t>
      </w:r>
      <w:r w:rsidR="005B2C30" w:rsidRPr="005B2C30">
        <w:rPr>
          <w:szCs w:val="22"/>
        </w:rPr>
        <w:t xml:space="preserve"> </w:t>
      </w:r>
      <w:r w:rsidR="005B2C30" w:rsidRPr="005B2C30">
        <w:t>Vienlaikus, samazinot izmaksas uz vienu izglītojamo tajās skolās, kur tas pārsniedz KM padotības skolu vidējās izmaksas, iespējams rast ietaupījumu 1 538 772 </w:t>
      </w:r>
      <w:r w:rsidR="005B2C30" w:rsidRPr="005B2C30">
        <w:rPr>
          <w:i/>
        </w:rPr>
        <w:t>euro</w:t>
      </w:r>
      <w:r w:rsidR="005B2C30" w:rsidRPr="005B2C30">
        <w:t xml:space="preserve"> apmērā.</w:t>
      </w:r>
    </w:p>
    <w:p w14:paraId="1BB5311C" w14:textId="77777777" w:rsidR="002C34DA" w:rsidRPr="00962EB7" w:rsidRDefault="002C34DA" w:rsidP="002C34DA">
      <w:pPr>
        <w:pStyle w:val="ListParagraph"/>
        <w:spacing w:after="120"/>
        <w:ind w:left="1066"/>
        <w:contextualSpacing w:val="0"/>
        <w:jc w:val="both"/>
      </w:pPr>
    </w:p>
    <w:p w14:paraId="122D74FB" w14:textId="77777777" w:rsidR="00ED3BA3" w:rsidRDefault="00ED3BA3" w:rsidP="006A15ED">
      <w:pPr>
        <w:pStyle w:val="Heading3"/>
        <w:numPr>
          <w:ilvl w:val="2"/>
          <w:numId w:val="2"/>
        </w:numPr>
        <w:ind w:left="-142" w:firstLine="142"/>
      </w:pPr>
      <w:bookmarkStart w:id="117" w:name="_Toc48200652"/>
      <w:r>
        <w:t>Augstākā</w:t>
      </w:r>
      <w:r w:rsidR="000965D4">
        <w:t>s</w:t>
      </w:r>
      <w:r>
        <w:t xml:space="preserve"> izglītība</w:t>
      </w:r>
      <w:r w:rsidR="000965D4">
        <w:t>s finansēšana</w:t>
      </w:r>
      <w:bookmarkEnd w:id="117"/>
    </w:p>
    <w:p w14:paraId="74ED8F1B" w14:textId="1C107997" w:rsidR="000965D4" w:rsidRDefault="000965D4" w:rsidP="00A664D7">
      <w:pPr>
        <w:spacing w:after="120"/>
        <w:ind w:firstLine="709"/>
        <w:jc w:val="both"/>
      </w:pPr>
      <w:r>
        <w:t xml:space="preserve">Turpinot pārskatīt augstākās izglītības nozari, šajā informatīvajā ziņojumā tika detalizētāk skatīts augstskolām un koledžām piešķirtā finansējuma izlietojums. </w:t>
      </w:r>
      <w:r w:rsidR="004C3697">
        <w:t>S</w:t>
      </w:r>
      <w:r>
        <w:t xml:space="preserve">adaļā aplūkotas atsevišķas augstākās izglītības iestāžu ieņēmumu pozīcijas, kā arī augstskolu un koledžu izdevumi, uzsvaru liekot uz izdevumiem personāla atalgojuma nodrošināšanai. </w:t>
      </w:r>
      <w:r w:rsidR="004C3697">
        <w:t>S</w:t>
      </w:r>
      <w:r>
        <w:t>adaļā ietvertajai analīzei izmantoti IZM iesniegtie finanšu dati.</w:t>
      </w:r>
    </w:p>
    <w:p w14:paraId="5897FB6A" w14:textId="77777777" w:rsidR="000965D4" w:rsidRDefault="000965D4" w:rsidP="00A664D7">
      <w:pPr>
        <w:spacing w:after="120"/>
        <w:jc w:val="both"/>
      </w:pPr>
      <w:r>
        <w:rPr>
          <w:b/>
          <w:i/>
        </w:rPr>
        <w:t>Augstskolu ieņēmumi</w:t>
      </w:r>
    </w:p>
    <w:p w14:paraId="5994EE0B" w14:textId="1E8D102B" w:rsidR="000965D4" w:rsidRDefault="000965D4" w:rsidP="00A664D7">
      <w:pPr>
        <w:spacing w:after="120"/>
        <w:ind w:firstLine="709"/>
        <w:jc w:val="both"/>
      </w:pPr>
      <w:r>
        <w:t>Raugoties uz augstskolu ieņēmumiem tieši studiju nodrošināšanai, secināms, ka reģionālās un kultūras nozares augstākās izglītības iestādes ir tās, kurām valsts budžeta dotācija veido vairāk nekā 80% no kopējā ieņēmumu apjoma (</w:t>
      </w:r>
      <w:r w:rsidRPr="00427DFC">
        <w:fldChar w:fldCharType="begin"/>
      </w:r>
      <w:r w:rsidRPr="00427DFC">
        <w:instrText xml:space="preserve"> REF _Ref46220417 \h  \* MERGEFORMAT </w:instrText>
      </w:r>
      <w:r w:rsidRPr="00427DFC">
        <w:fldChar w:fldCharType="separate"/>
      </w:r>
      <w:r w:rsidR="00D96F20" w:rsidRPr="00B35DC7">
        <w:t xml:space="preserve">Attēls Nr. </w:t>
      </w:r>
      <w:r w:rsidR="00D96F20">
        <w:rPr>
          <w:noProof/>
        </w:rPr>
        <w:t>35</w:t>
      </w:r>
      <w:r w:rsidRPr="00427DFC">
        <w:fldChar w:fldCharType="end"/>
      </w:r>
      <w:r>
        <w:t>). 2019. gadā LMāA 95,7% no ieņēmumiem studijām ir bijusi valsts dotācija, DU – 94,2% un VeA – 92,5%. Iepriekšminēto 80% slieksni pārsniedz arī LKuA (83,9%), LLU (82,3%), JVLMA (80,9%) un ViA (80%). Skalas pretējā pusē ir BA un LJA, kas ir divas vienīgās augstskolas, kurās valsts budžeta dotācija ir mazākā daļa no kopējā studiju ieņēmumu apjoma – attiecīgi 34,4% un 42,4%.</w:t>
      </w:r>
    </w:p>
    <w:p w14:paraId="417D0259" w14:textId="77777777" w:rsidR="000965D4" w:rsidRDefault="000965D4" w:rsidP="00A664D7">
      <w:pPr>
        <w:spacing w:after="120"/>
        <w:ind w:firstLine="709"/>
        <w:jc w:val="both"/>
      </w:pPr>
      <w:r>
        <w:lastRenderedPageBreak/>
        <w:t>Kamēr BA tikai trešdaļu studiju ieņēmumu saņem valsts budžeta dotācijas veidā, atlikušās divas trešdaļas (65,6%) finansējuma tiek iegūti no studiju maksas ieņēmumiem, proti, studiju vietām, par kurām maksā studējošie. Otrs lielākais studiju maksas pozīcijas īpatsvars ir RSU, kurā ieņēmumu pozīcijas sadalās līdzvērtīgi – 50,7% valsts budžeta dotācijas un 48,3% studiju maksas finansējuma. Otras mazākās valsts budžeta dotācijas saņēmēja LJA 25,6% ieņēmumu gūst no starptautiskā finansējuma avota. Procentuāli mazākais studiju maksas finansējums no kopējā ieņēmumu īpatsvara ir LMāA (1,5%), kam seko DU (3,5%) un JVLMA (4,2%), kas ļauj secināt, ka šajās augstskolās teju visas studiju vietas ir valsts budžeta finansētas.</w:t>
      </w:r>
    </w:p>
    <w:p w14:paraId="73CFEED0" w14:textId="09B45684" w:rsidR="000965D4" w:rsidRDefault="000965D4" w:rsidP="000965D4">
      <w:pPr>
        <w:pStyle w:val="Caption"/>
        <w:rPr>
          <w:i/>
          <w:szCs w:val="24"/>
        </w:rPr>
      </w:pPr>
      <w:bookmarkStart w:id="118" w:name="_Ref46220417"/>
      <w:r w:rsidRPr="00B35DC7">
        <w:rPr>
          <w:szCs w:val="24"/>
        </w:rPr>
        <w:t xml:space="preserve">Attēls Nr. </w:t>
      </w:r>
      <w:r w:rsidRPr="00B35DC7">
        <w:rPr>
          <w:i/>
          <w:szCs w:val="24"/>
        </w:rPr>
        <w:fldChar w:fldCharType="begin"/>
      </w:r>
      <w:r w:rsidRPr="00B35DC7">
        <w:rPr>
          <w:szCs w:val="24"/>
        </w:rPr>
        <w:instrText xml:space="preserve"> SEQ Attēls_Nr. \* ARABIC </w:instrText>
      </w:r>
      <w:r w:rsidRPr="00B35DC7">
        <w:rPr>
          <w:i/>
          <w:szCs w:val="24"/>
        </w:rPr>
        <w:fldChar w:fldCharType="separate"/>
      </w:r>
      <w:r w:rsidR="00D96F20">
        <w:rPr>
          <w:noProof/>
          <w:szCs w:val="24"/>
        </w:rPr>
        <w:t>35</w:t>
      </w:r>
      <w:r w:rsidRPr="00B35DC7">
        <w:rPr>
          <w:i/>
          <w:szCs w:val="24"/>
        </w:rPr>
        <w:fldChar w:fldCharType="end"/>
      </w:r>
      <w:bookmarkEnd w:id="118"/>
    </w:p>
    <w:p w14:paraId="0B09A3A4" w14:textId="77777777" w:rsidR="000965D4" w:rsidRDefault="000965D4" w:rsidP="000965D4">
      <w:pPr>
        <w:spacing w:after="120"/>
        <w:jc w:val="center"/>
      </w:pPr>
      <w:r>
        <w:rPr>
          <w:b/>
        </w:rPr>
        <w:t>Augstskolu ieņēmumi studijām 2019. gadā sadalījumā pa ieņēmumu veidiem (procentos)</w:t>
      </w:r>
    </w:p>
    <w:p w14:paraId="0BD78AA5" w14:textId="77777777" w:rsidR="000965D4" w:rsidRDefault="000965D4" w:rsidP="000965D4">
      <w:pPr>
        <w:spacing w:after="120"/>
        <w:jc w:val="center"/>
      </w:pPr>
      <w:r>
        <w:rPr>
          <w:noProof/>
          <w:lang w:eastAsia="lv-LV"/>
        </w:rPr>
        <w:drawing>
          <wp:inline distT="0" distB="0" distL="0" distR="0" wp14:anchorId="60820008" wp14:editId="76482252">
            <wp:extent cx="5618093" cy="2914356"/>
            <wp:effectExtent l="0" t="0" r="1905"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39997" cy="2925718"/>
                    </a:xfrm>
                    <a:prstGeom prst="rect">
                      <a:avLst/>
                    </a:prstGeom>
                    <a:noFill/>
                  </pic:spPr>
                </pic:pic>
              </a:graphicData>
            </a:graphic>
          </wp:inline>
        </w:drawing>
      </w:r>
    </w:p>
    <w:p w14:paraId="237C43F1" w14:textId="272BBDB4" w:rsidR="009C57E3" w:rsidRDefault="000965D4" w:rsidP="00605952">
      <w:pPr>
        <w:ind w:firstLine="720"/>
        <w:jc w:val="both"/>
      </w:pPr>
      <w:r>
        <w:t>Vēl viena no atsevišķām augstskolu ienākumu pozīcijām ir finansējums zinātniskajai darbībai. Arī tur vērojama liela disproporcija starp ieņēmumu apjomu (</w:t>
      </w:r>
      <w:r w:rsidR="00370115">
        <w:fldChar w:fldCharType="begin"/>
      </w:r>
      <w:r w:rsidR="00370115">
        <w:instrText xml:space="preserve"> REF _Ref47019532 \h </w:instrText>
      </w:r>
      <w:r w:rsidR="00370115">
        <w:fldChar w:fldCharType="separate"/>
      </w:r>
      <w:r w:rsidR="00D96F20" w:rsidRPr="00B65E0B">
        <w:t xml:space="preserve">Attēls Nr. </w:t>
      </w:r>
      <w:r w:rsidR="00D96F20">
        <w:rPr>
          <w:noProof/>
        </w:rPr>
        <w:t>36</w:t>
      </w:r>
      <w:r w:rsidR="00370115">
        <w:fldChar w:fldCharType="end"/>
      </w:r>
      <w:r>
        <w:t>). Topa augšgalā ir VeA, kurai 2019. gadā ieņēmumi zinātniskajai darbībai ir 60,1% no kopējiem augstskolas ieņēmumiem. Šāds ieņēmumu apmērs saistāms ar Ventspils Starptautiskā radioastronomijas centra uzturēšanas un darbības nodrošināšanas radītajām izmaksām</w:t>
      </w:r>
      <w:r w:rsidR="00085E4F">
        <w:t xml:space="preserve"> un piešķirto valsts finansējumu jauna zemas frekvences antenu tīkla (LOFAR) izveides projektam</w:t>
      </w:r>
      <w:r>
        <w:t>. Salīdzinoši augsts zinātniskās darbības finansējums ir arī RTU un LLU – attiecīgi 43,8% un 34,5% no kopējā attiecīgās augstskolas finansējuma. Zinātniskās darbības ieņēmumu proporcija, kas ir mazāka nekā 10%, konstatējama sešās augstskolās – RSU (8,6%), LJA un LMāA (3,3%), JVLMA (2</w:t>
      </w:r>
      <w:bookmarkStart w:id="119" w:name="_Ref46221239"/>
      <w:r w:rsidR="00D1111B">
        <w:t>,7%), BA (1,1%) un LSPA (0,3%).</w:t>
      </w:r>
    </w:p>
    <w:p w14:paraId="2A6EE7F3" w14:textId="08B37740" w:rsidR="00605952" w:rsidRDefault="00605952" w:rsidP="00605952">
      <w:pPr>
        <w:ind w:firstLine="720"/>
        <w:jc w:val="both"/>
      </w:pPr>
    </w:p>
    <w:p w14:paraId="67F28DE4" w14:textId="28070030" w:rsidR="00083858" w:rsidRDefault="00083858" w:rsidP="00605952">
      <w:pPr>
        <w:ind w:firstLine="720"/>
        <w:jc w:val="both"/>
      </w:pPr>
    </w:p>
    <w:p w14:paraId="2F9F01B0" w14:textId="3678003C" w:rsidR="00083858" w:rsidRDefault="00083858" w:rsidP="00605952">
      <w:pPr>
        <w:ind w:firstLine="720"/>
        <w:jc w:val="both"/>
      </w:pPr>
    </w:p>
    <w:p w14:paraId="34ADD936" w14:textId="66875A29" w:rsidR="00083858" w:rsidRDefault="00083858" w:rsidP="00605952">
      <w:pPr>
        <w:ind w:firstLine="720"/>
        <w:jc w:val="both"/>
      </w:pPr>
    </w:p>
    <w:p w14:paraId="719AC3B0" w14:textId="66ADE3FF" w:rsidR="00083858" w:rsidRDefault="00083858" w:rsidP="00605952">
      <w:pPr>
        <w:ind w:firstLine="720"/>
        <w:jc w:val="both"/>
      </w:pPr>
    </w:p>
    <w:p w14:paraId="3810AAEB" w14:textId="77777777" w:rsidR="00083858" w:rsidRDefault="00083858" w:rsidP="00605952">
      <w:pPr>
        <w:ind w:firstLine="720"/>
        <w:jc w:val="both"/>
      </w:pPr>
    </w:p>
    <w:p w14:paraId="7147301E" w14:textId="102AE31D" w:rsidR="000965D4" w:rsidRDefault="000965D4" w:rsidP="000965D4">
      <w:pPr>
        <w:pStyle w:val="Caption"/>
        <w:rPr>
          <w:i/>
          <w:szCs w:val="24"/>
        </w:rPr>
      </w:pPr>
      <w:bookmarkStart w:id="120" w:name="_Ref47019532"/>
      <w:r w:rsidRPr="00B65E0B">
        <w:rPr>
          <w:szCs w:val="24"/>
        </w:rPr>
        <w:lastRenderedPageBreak/>
        <w:t xml:space="preserve">Attēls Nr. </w:t>
      </w:r>
      <w:r w:rsidRPr="00B65E0B">
        <w:rPr>
          <w:i/>
          <w:szCs w:val="24"/>
        </w:rPr>
        <w:fldChar w:fldCharType="begin"/>
      </w:r>
      <w:r w:rsidRPr="00B65E0B">
        <w:rPr>
          <w:szCs w:val="24"/>
        </w:rPr>
        <w:instrText xml:space="preserve"> SEQ Attēls_Nr. \* ARABIC </w:instrText>
      </w:r>
      <w:r w:rsidRPr="00B65E0B">
        <w:rPr>
          <w:i/>
          <w:szCs w:val="24"/>
        </w:rPr>
        <w:fldChar w:fldCharType="separate"/>
      </w:r>
      <w:r w:rsidR="00D96F20">
        <w:rPr>
          <w:noProof/>
          <w:szCs w:val="24"/>
        </w:rPr>
        <w:t>36</w:t>
      </w:r>
      <w:r w:rsidRPr="00B65E0B">
        <w:rPr>
          <w:i/>
          <w:szCs w:val="24"/>
        </w:rPr>
        <w:fldChar w:fldCharType="end"/>
      </w:r>
      <w:bookmarkEnd w:id="119"/>
      <w:bookmarkEnd w:id="120"/>
    </w:p>
    <w:p w14:paraId="530DD83F" w14:textId="77777777" w:rsidR="000965D4" w:rsidRDefault="000965D4" w:rsidP="000965D4">
      <w:pPr>
        <w:spacing w:after="120"/>
        <w:jc w:val="center"/>
      </w:pPr>
      <w:r>
        <w:rPr>
          <w:b/>
        </w:rPr>
        <w:t>Augstskolu ieņēmumi zinātniskajai darbībai 2019. gadā (% pret kopējiem augstskolas ieņēmumiem)</w:t>
      </w:r>
    </w:p>
    <w:p w14:paraId="552DD1B6" w14:textId="77777777" w:rsidR="000965D4" w:rsidRDefault="000965D4" w:rsidP="000965D4">
      <w:pPr>
        <w:spacing w:after="120"/>
        <w:jc w:val="center"/>
      </w:pPr>
      <w:r>
        <w:rPr>
          <w:noProof/>
          <w:lang w:eastAsia="lv-LV"/>
        </w:rPr>
        <w:drawing>
          <wp:inline distT="0" distB="0" distL="0" distR="0" wp14:anchorId="4859A7D0" wp14:editId="3287B280">
            <wp:extent cx="5414010" cy="315214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14010" cy="3152140"/>
                    </a:xfrm>
                    <a:prstGeom prst="rect">
                      <a:avLst/>
                    </a:prstGeom>
                    <a:noFill/>
                  </pic:spPr>
                </pic:pic>
              </a:graphicData>
            </a:graphic>
          </wp:inline>
        </w:drawing>
      </w:r>
    </w:p>
    <w:p w14:paraId="59D31160" w14:textId="77777777" w:rsidR="000965D4" w:rsidRDefault="000965D4" w:rsidP="00A664D7">
      <w:pPr>
        <w:spacing w:after="120"/>
      </w:pPr>
      <w:r>
        <w:rPr>
          <w:b/>
          <w:i/>
        </w:rPr>
        <w:t>Augstskolu un koledžu kopējie izdevumi</w:t>
      </w:r>
    </w:p>
    <w:p w14:paraId="114E7D0C" w14:textId="7E75FDDA" w:rsidR="000965D4" w:rsidRDefault="000965D4" w:rsidP="00370115">
      <w:pPr>
        <w:spacing w:after="120"/>
        <w:ind w:firstLine="709"/>
        <w:jc w:val="both"/>
      </w:pPr>
      <w:r>
        <w:t>Izvērtējot vispārējās valdības izdevumus augstākajai izglītībai starptautiskā salīdzinājumā, konstatējams, ka Latvija ierindojas ES valstu vidusdaļā (</w:t>
      </w:r>
      <w:r w:rsidR="00370115">
        <w:fldChar w:fldCharType="begin"/>
      </w:r>
      <w:r w:rsidR="00370115">
        <w:instrText xml:space="preserve"> REF _Ref47019557 \h </w:instrText>
      </w:r>
      <w:r w:rsidR="00370115">
        <w:fldChar w:fldCharType="separate"/>
      </w:r>
      <w:r w:rsidR="00D96F20" w:rsidRPr="00A664D7">
        <w:rPr>
          <w:iCs/>
        </w:rPr>
        <w:t xml:space="preserve">Attēls Nr. </w:t>
      </w:r>
      <w:r w:rsidR="00D96F20">
        <w:rPr>
          <w:iCs/>
          <w:noProof/>
        </w:rPr>
        <w:t>37</w:t>
      </w:r>
      <w:r w:rsidR="00370115">
        <w:fldChar w:fldCharType="end"/>
      </w:r>
      <w:r>
        <w:t>). No kopējiem vispārējās valdības izdevumiem augstākajai izglītībai Latvija patērē 2%, kas ir par 0,4% vairāk nekā vidēji visās ES valstīs. Tajā pašā laikā gan Lietuva, gan Igaunija augstākajai izglītībai patērē vēl lielāku līdzekļu apjomu. Lietuvas vispārējās valdības izdevumi šai nozarei ir 2,3% no kopējiem izdevumiem, bet Igaunijai – 3,2%, kas ir par 0,4% vairāk nekā gadu iepriekš, ES dalībvalstu vidū atpaliekot tikai no Nīderlandes. Ja paraugās uz iedzīvotāju īpatsvaru ar iegūtu augstāko izglītību, redzams, ka arī šajā rādītājā Latvija ir aptuveni ES vidējā līmenī – 33,9% Latvijas iedzīvotāju vecumā no 25 līdz 64 gadiem 2018. gadā bija iegūta augstākā izglītība. Rādītājs gan ievērojami atpaliek no pārējo Baltijas valstu līmeņa, jo gan Igaunijā, gan Lietuvā augstākā izglītība ir iegūta vairāk nekā 41,0% šajā demogrāfiskajā grupā ietilpstošo iedzīvotāju.</w:t>
      </w:r>
    </w:p>
    <w:p w14:paraId="0B2001CA" w14:textId="77777777" w:rsidR="00370115" w:rsidRDefault="00370115" w:rsidP="00A664D7">
      <w:pPr>
        <w:spacing w:after="120" w:line="240" w:lineRule="auto"/>
        <w:jc w:val="right"/>
        <w:rPr>
          <w:iCs/>
        </w:rPr>
      </w:pPr>
      <w:bookmarkStart w:id="121" w:name="_Ref46222073"/>
    </w:p>
    <w:p w14:paraId="65F16059" w14:textId="77777777" w:rsidR="00370115" w:rsidRDefault="00370115" w:rsidP="00A664D7">
      <w:pPr>
        <w:spacing w:after="120" w:line="240" w:lineRule="auto"/>
        <w:jc w:val="right"/>
        <w:rPr>
          <w:iCs/>
        </w:rPr>
      </w:pPr>
    </w:p>
    <w:p w14:paraId="780A187C" w14:textId="77777777" w:rsidR="00370115" w:rsidRDefault="00370115" w:rsidP="00A664D7">
      <w:pPr>
        <w:spacing w:after="120" w:line="240" w:lineRule="auto"/>
        <w:jc w:val="right"/>
        <w:rPr>
          <w:iCs/>
        </w:rPr>
      </w:pPr>
    </w:p>
    <w:p w14:paraId="365A4B4D" w14:textId="77777777" w:rsidR="00370115" w:rsidRDefault="00370115" w:rsidP="00A664D7">
      <w:pPr>
        <w:spacing w:after="120" w:line="240" w:lineRule="auto"/>
        <w:jc w:val="right"/>
        <w:rPr>
          <w:iCs/>
        </w:rPr>
      </w:pPr>
    </w:p>
    <w:p w14:paraId="4107A55C" w14:textId="77777777" w:rsidR="00370115" w:rsidRDefault="00370115" w:rsidP="00A664D7">
      <w:pPr>
        <w:spacing w:after="120" w:line="240" w:lineRule="auto"/>
        <w:jc w:val="right"/>
        <w:rPr>
          <w:iCs/>
        </w:rPr>
      </w:pPr>
    </w:p>
    <w:p w14:paraId="5D5F92D6" w14:textId="77777777" w:rsidR="00370115" w:rsidRDefault="00370115" w:rsidP="00A664D7">
      <w:pPr>
        <w:spacing w:after="120" w:line="240" w:lineRule="auto"/>
        <w:jc w:val="right"/>
        <w:rPr>
          <w:iCs/>
        </w:rPr>
      </w:pPr>
    </w:p>
    <w:p w14:paraId="36910278" w14:textId="77777777" w:rsidR="00370115" w:rsidRDefault="00370115" w:rsidP="00A664D7">
      <w:pPr>
        <w:spacing w:after="120" w:line="240" w:lineRule="auto"/>
        <w:jc w:val="right"/>
        <w:rPr>
          <w:iCs/>
        </w:rPr>
      </w:pPr>
    </w:p>
    <w:p w14:paraId="7418908E" w14:textId="77777777" w:rsidR="00D1111B" w:rsidRDefault="00D1111B" w:rsidP="00A664D7">
      <w:pPr>
        <w:spacing w:after="120" w:line="240" w:lineRule="auto"/>
        <w:jc w:val="right"/>
        <w:rPr>
          <w:iCs/>
        </w:rPr>
      </w:pPr>
    </w:p>
    <w:p w14:paraId="6D6E850E" w14:textId="77777777" w:rsidR="009C57E3" w:rsidRDefault="009C57E3" w:rsidP="00A664D7">
      <w:pPr>
        <w:spacing w:after="120" w:line="240" w:lineRule="auto"/>
        <w:jc w:val="right"/>
        <w:rPr>
          <w:iCs/>
        </w:rPr>
      </w:pPr>
    </w:p>
    <w:p w14:paraId="43F35276" w14:textId="435179AA" w:rsidR="00A664D7" w:rsidRPr="00A664D7" w:rsidRDefault="00A664D7" w:rsidP="00A664D7">
      <w:pPr>
        <w:spacing w:after="120" w:line="240" w:lineRule="auto"/>
        <w:jc w:val="right"/>
        <w:rPr>
          <w:iCs/>
        </w:rPr>
      </w:pPr>
      <w:bookmarkStart w:id="122" w:name="_Ref47019557"/>
      <w:r w:rsidRPr="00A664D7">
        <w:rPr>
          <w:iCs/>
        </w:rPr>
        <w:lastRenderedPageBreak/>
        <w:t xml:space="preserve">Attēls Nr. </w:t>
      </w:r>
      <w:r w:rsidRPr="00A664D7">
        <w:rPr>
          <w:iCs/>
        </w:rPr>
        <w:fldChar w:fldCharType="begin"/>
      </w:r>
      <w:r w:rsidRPr="00A664D7">
        <w:rPr>
          <w:iCs/>
        </w:rPr>
        <w:instrText xml:space="preserve"> SEQ Attēls_Nr. \* ARABIC </w:instrText>
      </w:r>
      <w:r w:rsidRPr="00A664D7">
        <w:rPr>
          <w:iCs/>
        </w:rPr>
        <w:fldChar w:fldCharType="separate"/>
      </w:r>
      <w:r w:rsidR="00D96F20">
        <w:rPr>
          <w:iCs/>
          <w:noProof/>
        </w:rPr>
        <w:t>37</w:t>
      </w:r>
      <w:r w:rsidRPr="00A664D7">
        <w:rPr>
          <w:iCs/>
        </w:rPr>
        <w:fldChar w:fldCharType="end"/>
      </w:r>
      <w:bookmarkEnd w:id="121"/>
      <w:bookmarkEnd w:id="122"/>
    </w:p>
    <w:p w14:paraId="68AF53C1" w14:textId="77777777" w:rsidR="00A664D7" w:rsidRPr="00A664D7" w:rsidRDefault="00A664D7" w:rsidP="00A664D7">
      <w:pPr>
        <w:spacing w:after="120" w:line="240" w:lineRule="auto"/>
        <w:jc w:val="center"/>
        <w:rPr>
          <w:szCs w:val="22"/>
        </w:rPr>
      </w:pPr>
      <w:r w:rsidRPr="00A664D7">
        <w:rPr>
          <w:b/>
          <w:szCs w:val="22"/>
        </w:rPr>
        <w:t>Vispārējās valdības izdevumi augstākajai izglītībai (% no kopējiem izdevumiem) un iedzīvotāju ar augstāko izglītību īpatsvars 2018. gadā (% 25 – 64 gadu vecu iedzīvotāju vidū)</w:t>
      </w:r>
    </w:p>
    <w:p w14:paraId="292CF99E" w14:textId="77777777" w:rsidR="00A664D7" w:rsidRPr="00A664D7" w:rsidRDefault="00A664D7" w:rsidP="00A664D7">
      <w:pPr>
        <w:spacing w:after="120" w:line="240" w:lineRule="auto"/>
        <w:jc w:val="center"/>
        <w:rPr>
          <w:szCs w:val="22"/>
        </w:rPr>
      </w:pPr>
      <w:r w:rsidRPr="00A664D7">
        <w:rPr>
          <w:noProof/>
          <w:szCs w:val="22"/>
          <w:lang w:eastAsia="lv-LV"/>
        </w:rPr>
        <w:drawing>
          <wp:inline distT="0" distB="0" distL="0" distR="0" wp14:anchorId="1AD7AD79" wp14:editId="5F26ADAF">
            <wp:extent cx="5470498" cy="3028244"/>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76721" cy="3031689"/>
                    </a:xfrm>
                    <a:prstGeom prst="rect">
                      <a:avLst/>
                    </a:prstGeom>
                    <a:noFill/>
                  </pic:spPr>
                </pic:pic>
              </a:graphicData>
            </a:graphic>
          </wp:inline>
        </w:drawing>
      </w:r>
    </w:p>
    <w:p w14:paraId="3D70E875" w14:textId="3956D214" w:rsidR="00A664D7" w:rsidRPr="00A664D7" w:rsidRDefault="00A664D7" w:rsidP="00370115">
      <w:pPr>
        <w:spacing w:after="120"/>
        <w:ind w:firstLine="720"/>
        <w:jc w:val="both"/>
        <w:rPr>
          <w:szCs w:val="22"/>
        </w:rPr>
      </w:pPr>
      <w:r w:rsidRPr="00A664D7">
        <w:rPr>
          <w:szCs w:val="22"/>
        </w:rPr>
        <w:t>Apskatot Latvijas augstskolu izdevumu dinamiku, redzams, ka 2019. gadā, salīdzinot ar 2014. gadu, lielākais izdevumu pieaugums ir LSPA (</w:t>
      </w:r>
      <w:r w:rsidRPr="00A664D7">
        <w:rPr>
          <w:szCs w:val="22"/>
        </w:rPr>
        <w:fldChar w:fldCharType="begin"/>
      </w:r>
      <w:r w:rsidRPr="00A664D7">
        <w:rPr>
          <w:szCs w:val="22"/>
        </w:rPr>
        <w:instrText xml:space="preserve"> REF _Ref46233046 \h  \* MERGEFORMAT </w:instrText>
      </w:r>
      <w:r w:rsidRPr="00A664D7">
        <w:rPr>
          <w:szCs w:val="22"/>
        </w:rPr>
      </w:r>
      <w:r w:rsidRPr="00A664D7">
        <w:rPr>
          <w:szCs w:val="22"/>
        </w:rPr>
        <w:fldChar w:fldCharType="separate"/>
      </w:r>
      <w:r w:rsidR="00D96F20" w:rsidRPr="00D96F20">
        <w:t xml:space="preserve">Attēls Nr. </w:t>
      </w:r>
      <w:r w:rsidR="00D96F20" w:rsidRPr="00D96F20">
        <w:rPr>
          <w:noProof/>
        </w:rPr>
        <w:t>38</w:t>
      </w:r>
      <w:r w:rsidRPr="00A664D7">
        <w:rPr>
          <w:szCs w:val="22"/>
        </w:rPr>
        <w:fldChar w:fldCharType="end"/>
      </w:r>
      <w:r w:rsidRPr="00A664D7">
        <w:rPr>
          <w:szCs w:val="22"/>
        </w:rPr>
        <w:t xml:space="preserve">). Tas gan saistāms ar vērienīgiem ieguldījumiem pamatkapitālā 1,4 milj. </w:t>
      </w:r>
      <w:r w:rsidRPr="00A664D7">
        <w:rPr>
          <w:i/>
          <w:szCs w:val="22"/>
        </w:rPr>
        <w:t>euro</w:t>
      </w:r>
      <w:r w:rsidRPr="00A664D7">
        <w:rPr>
          <w:szCs w:val="22"/>
        </w:rPr>
        <w:t xml:space="preserve"> apmērā tieši 2019. gadā. Jau sākotnēji jāatzīmē tas, ka kopējos augstskolu izdevumus pamatkapitāla veidošanas sadaļa ietekmē visvairāk, jo šīs investīcijas katrai mācību iestādei ir diezgan viļņveidīga apjoma, kas būtiski ietekmē arī izdevumu analīzi kopumā. Kopējo izdevumu pieaugums vairāk nekā 50% apmērā ir arī LKuA (56,7%) un LU (54,3%). Četrām augstskolām vērojams izdevumu samazinājums. BA izdevumi 2019. gadā ir par 1,9% mazāk</w:t>
      </w:r>
      <w:r w:rsidR="004C3697">
        <w:rPr>
          <w:szCs w:val="22"/>
        </w:rPr>
        <w:t>i</w:t>
      </w:r>
      <w:r w:rsidRPr="00A664D7">
        <w:rPr>
          <w:szCs w:val="22"/>
        </w:rPr>
        <w:t xml:space="preserve"> nekā 2014. gadā, VeA izdevumi samazinājušies par 12,2%, LJA samazinājums ir 13,4%, bet RTA izdevumu apjoms ir par 15,4% mazāks. RTA izdevumu samazinājums skaidrojams ar iepriekšminēto pamatkapitāla veidošanas pozīciju, jo RTA ieguldījumi pamatkapitālā 2014. gadā bijuši lielāki nekā nākamajos piecos gados kopā (2014. gadā izdevumi pamatkapitāla veidošanai bija 48,8% no kopējiem izdevumiem). Vērtējot pārējos izdevumus, RTA izdevumu apjoms pēdējos gados ir pieaudzis.</w:t>
      </w:r>
    </w:p>
    <w:p w14:paraId="2F92A3FA" w14:textId="1F590A31" w:rsidR="00A664D7" w:rsidRPr="00A664D7" w:rsidRDefault="00A664D7" w:rsidP="00370115">
      <w:pPr>
        <w:spacing w:after="120"/>
        <w:ind w:firstLine="720"/>
        <w:jc w:val="both"/>
        <w:rPr>
          <w:szCs w:val="22"/>
        </w:rPr>
      </w:pPr>
      <w:r w:rsidRPr="00A664D7">
        <w:rPr>
          <w:szCs w:val="22"/>
        </w:rPr>
        <w:t>Vērtējot koledžu izdevumus augstākās izglītības programmu nodrošināšanai, straujākā izdevumu pieauguma tendence vērojama medicīnas nozares koledžās (</w:t>
      </w:r>
      <w:r w:rsidRPr="00A664D7">
        <w:rPr>
          <w:szCs w:val="22"/>
        </w:rPr>
        <w:fldChar w:fldCharType="begin"/>
      </w:r>
      <w:r w:rsidRPr="00A664D7">
        <w:rPr>
          <w:szCs w:val="22"/>
        </w:rPr>
        <w:instrText xml:space="preserve"> REF _Ref46233061 \h  \* MERGEFORMAT </w:instrText>
      </w:r>
      <w:r w:rsidRPr="00A664D7">
        <w:rPr>
          <w:szCs w:val="22"/>
        </w:rPr>
      </w:r>
      <w:r w:rsidRPr="00A664D7">
        <w:rPr>
          <w:szCs w:val="22"/>
        </w:rPr>
        <w:fldChar w:fldCharType="separate"/>
      </w:r>
      <w:r w:rsidR="00D96F20" w:rsidRPr="00D96F20">
        <w:t xml:space="preserve">Attēls Nr. </w:t>
      </w:r>
      <w:r w:rsidR="00D96F20" w:rsidRPr="00D96F20">
        <w:rPr>
          <w:noProof/>
        </w:rPr>
        <w:t>39</w:t>
      </w:r>
      <w:r w:rsidRPr="00A664D7">
        <w:rPr>
          <w:szCs w:val="22"/>
        </w:rPr>
        <w:fldChar w:fldCharType="end"/>
      </w:r>
      <w:r w:rsidRPr="00A664D7">
        <w:rPr>
          <w:szCs w:val="22"/>
        </w:rPr>
        <w:t xml:space="preserve">). 2019. gadā LU R1MK izdevumi bija par 132,3% lielāki nekā 2014. gadā. Izdevumu apjoma pieaugums, kas lielāks par 50%, vērojams arī attiecībā uz RSU SKMK (67,1%) un LU RMK (62,8%). Izdevumu samazinājums ir četrās koledžās. RCK 2019. gada izdevumu sadaļa ir par 3,3% mazāka nekā 2014. gadā, bet RTK izdevumi samazinājušies par 18,8%. Saraksta beigās ir divas reorganizētas skolas. 27,5% samazinājums ir RTU OTK, kas ir pārveidota par RTU aģentūru, līdz ar to visticamāk tas ietekmējis izmaiņas šīs koledžas izdevumu struktūrā. Savukārt BA UK beidz savu darbību, kas arī izskaidro vērienīgo 96,1% izdevumu samazinājumu. Atšķirībā no augstskolām, koledžu kopējos izdevumus ieguldījumi pamatkapitāla veidošanā tikpat kā neietekmē. Lielākās svārstības vērojamas RTK, kur 2018. gadā veikti pamatkapitāla ieguldījumi 3,1 milj. </w:t>
      </w:r>
      <w:r w:rsidRPr="00A664D7">
        <w:rPr>
          <w:i/>
          <w:szCs w:val="22"/>
        </w:rPr>
        <w:t>euro</w:t>
      </w:r>
      <w:r w:rsidRPr="00A664D7">
        <w:rPr>
          <w:szCs w:val="22"/>
        </w:rPr>
        <w:t xml:space="preserve"> apmērā, kas ir teju divreiz vairāk nekā šīs koledžas 2019. gada budžets augstākās izglītības programmu nodrošināšanai. Tomēr </w:t>
      </w:r>
      <w:r w:rsidRPr="00A664D7">
        <w:rPr>
          <w:szCs w:val="22"/>
        </w:rPr>
        <w:lastRenderedPageBreak/>
        <w:t>kopumā koledžu līmenī šī izdevumu pozīcija ir ļoti niecīga, lielāko daļu finansējuma izlietojot personāla atalgojuma nodrošināšanai.</w:t>
      </w:r>
    </w:p>
    <w:p w14:paraId="27A96EA3" w14:textId="2D485253" w:rsidR="00A664D7" w:rsidRPr="00A664D7" w:rsidRDefault="00A664D7" w:rsidP="00A664D7">
      <w:pPr>
        <w:spacing w:after="120" w:line="240" w:lineRule="auto"/>
        <w:jc w:val="right"/>
        <w:rPr>
          <w:iCs/>
        </w:rPr>
      </w:pPr>
      <w:bookmarkStart w:id="123" w:name="_Ref46233046"/>
      <w:r w:rsidRPr="00A664D7">
        <w:rPr>
          <w:iCs/>
        </w:rPr>
        <w:t xml:space="preserve">Attēls Nr. </w:t>
      </w:r>
      <w:r w:rsidRPr="00A664D7">
        <w:rPr>
          <w:iCs/>
        </w:rPr>
        <w:fldChar w:fldCharType="begin"/>
      </w:r>
      <w:r w:rsidRPr="00A664D7">
        <w:rPr>
          <w:iCs/>
        </w:rPr>
        <w:instrText xml:space="preserve"> SEQ Attēls_Nr. \* ARABIC </w:instrText>
      </w:r>
      <w:r w:rsidRPr="00A664D7">
        <w:rPr>
          <w:iCs/>
        </w:rPr>
        <w:fldChar w:fldCharType="separate"/>
      </w:r>
      <w:r w:rsidR="00D96F20">
        <w:rPr>
          <w:iCs/>
          <w:noProof/>
        </w:rPr>
        <w:t>38</w:t>
      </w:r>
      <w:r w:rsidRPr="00A664D7">
        <w:rPr>
          <w:iCs/>
        </w:rPr>
        <w:fldChar w:fldCharType="end"/>
      </w:r>
      <w:bookmarkEnd w:id="123"/>
    </w:p>
    <w:p w14:paraId="2A061B43" w14:textId="77777777" w:rsidR="00A664D7" w:rsidRPr="00A664D7" w:rsidRDefault="00A664D7" w:rsidP="00A664D7">
      <w:pPr>
        <w:spacing w:after="120" w:line="240" w:lineRule="auto"/>
        <w:jc w:val="center"/>
        <w:rPr>
          <w:szCs w:val="22"/>
        </w:rPr>
      </w:pPr>
      <w:r w:rsidRPr="00A664D7">
        <w:rPr>
          <w:b/>
          <w:szCs w:val="22"/>
        </w:rPr>
        <w:t>Augstskolu izdevumu pieaugums vai samazinājums 2019. gadā, salīdzinot ar 2014. gadu</w:t>
      </w:r>
    </w:p>
    <w:p w14:paraId="4750AE15" w14:textId="77777777" w:rsidR="00A664D7" w:rsidRPr="00A664D7" w:rsidRDefault="00A664D7" w:rsidP="00A664D7">
      <w:pPr>
        <w:spacing w:after="120" w:line="240" w:lineRule="auto"/>
        <w:jc w:val="center"/>
        <w:rPr>
          <w:szCs w:val="22"/>
        </w:rPr>
      </w:pPr>
      <w:r w:rsidRPr="00A664D7">
        <w:rPr>
          <w:noProof/>
          <w:szCs w:val="22"/>
          <w:lang w:eastAsia="lv-LV"/>
        </w:rPr>
        <w:drawing>
          <wp:inline distT="0" distB="0" distL="0" distR="0" wp14:anchorId="69E1EB49" wp14:editId="1B0C521F">
            <wp:extent cx="4849475" cy="2841236"/>
            <wp:effectExtent l="0" t="0" r="889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73545" cy="2855338"/>
                    </a:xfrm>
                    <a:prstGeom prst="rect">
                      <a:avLst/>
                    </a:prstGeom>
                    <a:noFill/>
                  </pic:spPr>
                </pic:pic>
              </a:graphicData>
            </a:graphic>
          </wp:inline>
        </w:drawing>
      </w:r>
    </w:p>
    <w:p w14:paraId="7D33462C" w14:textId="47118A7B" w:rsidR="00A664D7" w:rsidRPr="00A664D7" w:rsidRDefault="00A664D7" w:rsidP="00A664D7">
      <w:pPr>
        <w:spacing w:after="120" w:line="240" w:lineRule="auto"/>
        <w:jc w:val="right"/>
        <w:rPr>
          <w:iCs/>
        </w:rPr>
      </w:pPr>
      <w:bookmarkStart w:id="124" w:name="_Ref46233061"/>
      <w:r w:rsidRPr="00A664D7">
        <w:rPr>
          <w:iCs/>
        </w:rPr>
        <w:t xml:space="preserve">Attēls Nr. </w:t>
      </w:r>
      <w:r w:rsidRPr="00A664D7">
        <w:rPr>
          <w:iCs/>
        </w:rPr>
        <w:fldChar w:fldCharType="begin"/>
      </w:r>
      <w:r w:rsidRPr="00A664D7">
        <w:rPr>
          <w:iCs/>
        </w:rPr>
        <w:instrText xml:space="preserve"> SEQ Attēls_Nr. \* ARABIC </w:instrText>
      </w:r>
      <w:r w:rsidRPr="00A664D7">
        <w:rPr>
          <w:iCs/>
        </w:rPr>
        <w:fldChar w:fldCharType="separate"/>
      </w:r>
      <w:r w:rsidR="00D96F20">
        <w:rPr>
          <w:iCs/>
          <w:noProof/>
        </w:rPr>
        <w:t>39</w:t>
      </w:r>
      <w:r w:rsidRPr="00A664D7">
        <w:rPr>
          <w:iCs/>
        </w:rPr>
        <w:fldChar w:fldCharType="end"/>
      </w:r>
      <w:bookmarkEnd w:id="124"/>
    </w:p>
    <w:p w14:paraId="3318116D" w14:textId="77777777" w:rsidR="00A664D7" w:rsidRPr="00A664D7" w:rsidRDefault="00A664D7" w:rsidP="00A664D7">
      <w:pPr>
        <w:spacing w:after="120" w:line="240" w:lineRule="auto"/>
        <w:jc w:val="center"/>
        <w:rPr>
          <w:szCs w:val="22"/>
        </w:rPr>
      </w:pPr>
      <w:r w:rsidRPr="00A664D7">
        <w:rPr>
          <w:b/>
          <w:szCs w:val="22"/>
        </w:rPr>
        <w:t>Koledžu izdevumu augstākās izglītības programmu nodrošināšanai pieaugums vai samazinājums 2019. gadā, salīdzinot ar 2014. gadu</w:t>
      </w:r>
    </w:p>
    <w:p w14:paraId="3D615DC9" w14:textId="77777777" w:rsidR="00A664D7" w:rsidRPr="00A664D7" w:rsidRDefault="00A664D7" w:rsidP="00A664D7">
      <w:pPr>
        <w:spacing w:after="120" w:line="240" w:lineRule="auto"/>
        <w:jc w:val="center"/>
        <w:rPr>
          <w:szCs w:val="22"/>
        </w:rPr>
      </w:pPr>
      <w:r w:rsidRPr="00A664D7">
        <w:rPr>
          <w:noProof/>
          <w:szCs w:val="22"/>
          <w:lang w:eastAsia="lv-LV"/>
        </w:rPr>
        <w:drawing>
          <wp:inline distT="0" distB="0" distL="0" distR="0" wp14:anchorId="42B739BE" wp14:editId="0A2EF6A2">
            <wp:extent cx="5187674" cy="322463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92869" cy="3227859"/>
                    </a:xfrm>
                    <a:prstGeom prst="rect">
                      <a:avLst/>
                    </a:prstGeom>
                    <a:noFill/>
                  </pic:spPr>
                </pic:pic>
              </a:graphicData>
            </a:graphic>
          </wp:inline>
        </w:drawing>
      </w:r>
    </w:p>
    <w:p w14:paraId="510842D8" w14:textId="1E2AC428" w:rsidR="00464044" w:rsidRPr="00083858" w:rsidRDefault="00A664D7" w:rsidP="00083858">
      <w:pPr>
        <w:spacing w:after="120" w:line="240" w:lineRule="auto"/>
        <w:ind w:firstLine="720"/>
        <w:jc w:val="both"/>
        <w:rPr>
          <w:szCs w:val="22"/>
        </w:rPr>
      </w:pPr>
      <w:r w:rsidRPr="00A664D7">
        <w:rPr>
          <w:szCs w:val="22"/>
        </w:rPr>
        <w:t>Ja analizē augstskolu izdevumus uz vienu studējošo, redzams, ka izdevumi atšķiras 3,5 reizes (</w:t>
      </w:r>
      <w:r w:rsidR="003E501D">
        <w:rPr>
          <w:szCs w:val="22"/>
        </w:rPr>
        <w:fldChar w:fldCharType="begin"/>
      </w:r>
      <w:r w:rsidR="003E501D">
        <w:rPr>
          <w:szCs w:val="22"/>
        </w:rPr>
        <w:instrText xml:space="preserve"> REF _Ref47092329 \h </w:instrText>
      </w:r>
      <w:r w:rsidR="003E501D">
        <w:rPr>
          <w:szCs w:val="22"/>
        </w:rPr>
      </w:r>
      <w:r w:rsidR="003E501D">
        <w:rPr>
          <w:szCs w:val="22"/>
        </w:rPr>
        <w:fldChar w:fldCharType="separate"/>
      </w:r>
      <w:r w:rsidR="00D96F20" w:rsidRPr="00A664D7">
        <w:rPr>
          <w:iCs/>
        </w:rPr>
        <w:t xml:space="preserve">Attēls Nr. </w:t>
      </w:r>
      <w:r w:rsidR="00D96F20">
        <w:rPr>
          <w:iCs/>
          <w:noProof/>
        </w:rPr>
        <w:t>40</w:t>
      </w:r>
      <w:r w:rsidR="003E501D">
        <w:rPr>
          <w:szCs w:val="22"/>
        </w:rPr>
        <w:fldChar w:fldCharType="end"/>
      </w:r>
      <w:r w:rsidRPr="00A664D7">
        <w:rPr>
          <w:szCs w:val="22"/>
        </w:rPr>
        <w:t>). VeA vidējie izdevumi uz vienu studējošo 2019. gadā bija 9 389 </w:t>
      </w:r>
      <w:r w:rsidRPr="00A664D7">
        <w:rPr>
          <w:i/>
          <w:szCs w:val="22"/>
        </w:rPr>
        <w:t>euro</w:t>
      </w:r>
      <w:r w:rsidRPr="00A664D7">
        <w:rPr>
          <w:szCs w:val="22"/>
        </w:rPr>
        <w:t xml:space="preserve">, kas gan skaidrojams ar </w:t>
      </w:r>
      <w:r w:rsidR="00085E4F">
        <w:rPr>
          <w:szCs w:val="22"/>
        </w:rPr>
        <w:t>valsts budžeta finansētiem</w:t>
      </w:r>
      <w:r w:rsidR="00085E4F" w:rsidRPr="00A664D7">
        <w:rPr>
          <w:szCs w:val="22"/>
        </w:rPr>
        <w:t xml:space="preserve"> </w:t>
      </w:r>
      <w:r w:rsidRPr="00A664D7">
        <w:rPr>
          <w:szCs w:val="22"/>
        </w:rPr>
        <w:t>kapitālieguldījumiem Ventspils Starptautiskajā radioastronomijas centrā. Ļoti līdzīgi izdevumi uz vienu studējošo ir LLU un JVLMA – attiecīgi 8 582 un 8 546 </w:t>
      </w:r>
      <w:r w:rsidRPr="00A664D7">
        <w:rPr>
          <w:i/>
          <w:szCs w:val="22"/>
        </w:rPr>
        <w:t>euro</w:t>
      </w:r>
      <w:r w:rsidRPr="00A664D7">
        <w:rPr>
          <w:szCs w:val="22"/>
        </w:rPr>
        <w:t>. Vismazākie izdevumi šajā statistikas salīdzinājumā ir LJA (2 525 </w:t>
      </w:r>
      <w:r w:rsidRPr="00A664D7">
        <w:rPr>
          <w:i/>
          <w:szCs w:val="22"/>
        </w:rPr>
        <w:t>euro</w:t>
      </w:r>
      <w:r w:rsidRPr="00A664D7">
        <w:rPr>
          <w:szCs w:val="22"/>
        </w:rPr>
        <w:t>) un BA (3 204 </w:t>
      </w:r>
      <w:r w:rsidRPr="00A664D7">
        <w:rPr>
          <w:i/>
          <w:szCs w:val="22"/>
        </w:rPr>
        <w:t>euro</w:t>
      </w:r>
      <w:r w:rsidRPr="00A664D7">
        <w:rPr>
          <w:szCs w:val="22"/>
        </w:rPr>
        <w:t>).</w:t>
      </w:r>
      <w:bookmarkStart w:id="125" w:name="_Ref46404722"/>
      <w:bookmarkStart w:id="126" w:name="_Ref47087872"/>
    </w:p>
    <w:p w14:paraId="44F92D70" w14:textId="20D70EB4" w:rsidR="00A664D7" w:rsidRPr="00A664D7" w:rsidRDefault="00A664D7" w:rsidP="00A664D7">
      <w:pPr>
        <w:spacing w:after="120" w:line="240" w:lineRule="auto"/>
        <w:jc w:val="right"/>
        <w:rPr>
          <w:iCs/>
        </w:rPr>
      </w:pPr>
      <w:bookmarkStart w:id="127" w:name="_Ref47092329"/>
      <w:r w:rsidRPr="00A664D7">
        <w:rPr>
          <w:iCs/>
        </w:rPr>
        <w:lastRenderedPageBreak/>
        <w:t xml:space="preserve">Attēls Nr. </w:t>
      </w:r>
      <w:r w:rsidRPr="00A664D7">
        <w:rPr>
          <w:iCs/>
        </w:rPr>
        <w:fldChar w:fldCharType="begin"/>
      </w:r>
      <w:r w:rsidRPr="00A664D7">
        <w:rPr>
          <w:iCs/>
        </w:rPr>
        <w:instrText xml:space="preserve"> SEQ Attēls_Nr. \* ARABIC </w:instrText>
      </w:r>
      <w:r w:rsidRPr="00A664D7">
        <w:rPr>
          <w:iCs/>
        </w:rPr>
        <w:fldChar w:fldCharType="separate"/>
      </w:r>
      <w:r w:rsidR="00D96F20">
        <w:rPr>
          <w:iCs/>
          <w:noProof/>
        </w:rPr>
        <w:t>40</w:t>
      </w:r>
      <w:r w:rsidRPr="00A664D7">
        <w:rPr>
          <w:iCs/>
        </w:rPr>
        <w:fldChar w:fldCharType="end"/>
      </w:r>
      <w:bookmarkEnd w:id="125"/>
      <w:bookmarkEnd w:id="126"/>
      <w:bookmarkEnd w:id="127"/>
    </w:p>
    <w:p w14:paraId="2650FAC7" w14:textId="77777777" w:rsidR="00A664D7" w:rsidRPr="00A664D7" w:rsidRDefault="00A664D7" w:rsidP="00A664D7">
      <w:pPr>
        <w:spacing w:after="120" w:line="240" w:lineRule="auto"/>
        <w:jc w:val="center"/>
        <w:rPr>
          <w:szCs w:val="22"/>
        </w:rPr>
      </w:pPr>
      <w:r w:rsidRPr="00A664D7">
        <w:rPr>
          <w:b/>
          <w:szCs w:val="22"/>
        </w:rPr>
        <w:t>Vidējie izdevumi uz vienu studējošo augstskolās 2019. gadā</w:t>
      </w:r>
    </w:p>
    <w:p w14:paraId="0BB17D03" w14:textId="77777777" w:rsidR="00A664D7" w:rsidRPr="00A664D7" w:rsidRDefault="00A664D7" w:rsidP="00A664D7">
      <w:pPr>
        <w:spacing w:after="120" w:line="240" w:lineRule="auto"/>
        <w:jc w:val="center"/>
        <w:rPr>
          <w:szCs w:val="22"/>
        </w:rPr>
      </w:pPr>
      <w:r w:rsidRPr="00A664D7">
        <w:rPr>
          <w:noProof/>
          <w:szCs w:val="22"/>
          <w:lang w:eastAsia="lv-LV"/>
        </w:rPr>
        <w:drawing>
          <wp:inline distT="0" distB="0" distL="0" distR="0" wp14:anchorId="46B858B4" wp14:editId="292FBF8B">
            <wp:extent cx="4791075" cy="255908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12336" cy="2570442"/>
                    </a:xfrm>
                    <a:prstGeom prst="rect">
                      <a:avLst/>
                    </a:prstGeom>
                    <a:noFill/>
                  </pic:spPr>
                </pic:pic>
              </a:graphicData>
            </a:graphic>
          </wp:inline>
        </w:drawing>
      </w:r>
    </w:p>
    <w:p w14:paraId="331591F7" w14:textId="5F20E437" w:rsidR="00A664D7" w:rsidRPr="00A664D7" w:rsidRDefault="00A664D7" w:rsidP="00370115">
      <w:pPr>
        <w:spacing w:after="120"/>
        <w:ind w:firstLine="709"/>
        <w:jc w:val="both"/>
        <w:rPr>
          <w:szCs w:val="22"/>
        </w:rPr>
      </w:pPr>
      <w:r w:rsidRPr="00A664D7">
        <w:rPr>
          <w:szCs w:val="22"/>
        </w:rPr>
        <w:t>Koledžu izdevumi augstākās izglītības programmu nodrošināšanai uz vienu šādās programmās studējošo lielākoties ir mazāki nekā augstskolu līmenī, tomēr datos izceļas viena koledža (</w:t>
      </w:r>
      <w:r w:rsidRPr="00A664D7">
        <w:rPr>
          <w:szCs w:val="22"/>
        </w:rPr>
        <w:fldChar w:fldCharType="begin"/>
      </w:r>
      <w:r w:rsidRPr="00A664D7">
        <w:rPr>
          <w:szCs w:val="22"/>
        </w:rPr>
        <w:instrText xml:space="preserve"> REF _Ref46406113 \h  \* MERGEFORMAT </w:instrText>
      </w:r>
      <w:r w:rsidRPr="00A664D7">
        <w:rPr>
          <w:szCs w:val="22"/>
        </w:rPr>
      </w:r>
      <w:r w:rsidRPr="00A664D7">
        <w:rPr>
          <w:szCs w:val="22"/>
        </w:rPr>
        <w:fldChar w:fldCharType="separate"/>
      </w:r>
      <w:r w:rsidR="00D96F20" w:rsidRPr="00D96F20">
        <w:t xml:space="preserve">Attēls Nr. </w:t>
      </w:r>
      <w:r w:rsidR="00D96F20" w:rsidRPr="00D96F20">
        <w:rPr>
          <w:noProof/>
        </w:rPr>
        <w:t>41</w:t>
      </w:r>
      <w:r w:rsidRPr="00A664D7">
        <w:rPr>
          <w:szCs w:val="22"/>
        </w:rPr>
        <w:fldChar w:fldCharType="end"/>
      </w:r>
      <w:r w:rsidRPr="00A664D7">
        <w:rPr>
          <w:szCs w:val="22"/>
        </w:rPr>
        <w:t>). VRK izdevumi uz vienu augstākās izglītības programmās studējošo ir gandrīz piecas reize</w:t>
      </w:r>
      <w:r w:rsidR="00615C60">
        <w:rPr>
          <w:szCs w:val="22"/>
        </w:rPr>
        <w:t xml:space="preserve">s augstāka nekā likvidētajai BA </w:t>
      </w:r>
      <w:r w:rsidRPr="00A664D7">
        <w:rPr>
          <w:szCs w:val="22"/>
        </w:rPr>
        <w:t>UK – attiecīgi 57 654 </w:t>
      </w:r>
      <w:r w:rsidRPr="00A664D7">
        <w:rPr>
          <w:i/>
          <w:szCs w:val="22"/>
        </w:rPr>
        <w:t>euro</w:t>
      </w:r>
      <w:r w:rsidRPr="00A664D7">
        <w:rPr>
          <w:szCs w:val="22"/>
        </w:rPr>
        <w:t xml:space="preserve"> pret 12 000 </w:t>
      </w:r>
      <w:r w:rsidRPr="00A664D7">
        <w:rPr>
          <w:i/>
          <w:szCs w:val="22"/>
        </w:rPr>
        <w:t>euro</w:t>
      </w:r>
      <w:r w:rsidRPr="00A664D7">
        <w:rPr>
          <w:szCs w:val="22"/>
        </w:rPr>
        <w:t>. Salīdzinājumā ar citām koledžām lieli izdevumi uz vienu studējošo ir arī abām pārējām IeM padotībā esošajām koledžām, proti, VPolK izdevumi uz vienu studentu ir 11 749 </w:t>
      </w:r>
      <w:r w:rsidRPr="00A664D7">
        <w:rPr>
          <w:i/>
          <w:szCs w:val="22"/>
        </w:rPr>
        <w:t>euro</w:t>
      </w:r>
      <w:r w:rsidRPr="00A664D7">
        <w:rPr>
          <w:szCs w:val="22"/>
        </w:rPr>
        <w:t>, bet UCAK tie ir 10 910 </w:t>
      </w:r>
      <w:r w:rsidRPr="00A664D7">
        <w:rPr>
          <w:i/>
          <w:szCs w:val="22"/>
        </w:rPr>
        <w:t>euro</w:t>
      </w:r>
      <w:r w:rsidRPr="00A664D7">
        <w:rPr>
          <w:szCs w:val="22"/>
        </w:rPr>
        <w:t>. Skalas otrajā pusē ir LJK, kuriem viens studējošais izmaksā 1 340 </w:t>
      </w:r>
      <w:r w:rsidRPr="00A664D7">
        <w:rPr>
          <w:i/>
          <w:szCs w:val="22"/>
        </w:rPr>
        <w:t>euro</w:t>
      </w:r>
      <w:r w:rsidRPr="00A664D7">
        <w:rPr>
          <w:szCs w:val="22"/>
        </w:rPr>
        <w:t xml:space="preserve"> un MalnK ar 1 543 </w:t>
      </w:r>
      <w:r w:rsidRPr="00A664D7">
        <w:rPr>
          <w:i/>
          <w:szCs w:val="22"/>
        </w:rPr>
        <w:t>euro</w:t>
      </w:r>
      <w:r w:rsidRPr="00A664D7">
        <w:rPr>
          <w:szCs w:val="22"/>
        </w:rPr>
        <w:t xml:space="preserve"> izmaksām uz vienu apmācāmo.</w:t>
      </w:r>
    </w:p>
    <w:p w14:paraId="5D8D7B35" w14:textId="70F940D1" w:rsidR="00A664D7" w:rsidRPr="00A664D7" w:rsidRDefault="00A664D7" w:rsidP="00A664D7">
      <w:pPr>
        <w:spacing w:after="120" w:line="240" w:lineRule="auto"/>
        <w:jc w:val="right"/>
        <w:rPr>
          <w:iCs/>
        </w:rPr>
      </w:pPr>
      <w:bookmarkStart w:id="128" w:name="_Ref46406113"/>
      <w:r w:rsidRPr="00A664D7">
        <w:rPr>
          <w:iCs/>
        </w:rPr>
        <w:t xml:space="preserve">Attēls Nr. </w:t>
      </w:r>
      <w:r w:rsidRPr="00A664D7">
        <w:rPr>
          <w:iCs/>
        </w:rPr>
        <w:fldChar w:fldCharType="begin"/>
      </w:r>
      <w:r w:rsidRPr="00A664D7">
        <w:rPr>
          <w:iCs/>
        </w:rPr>
        <w:instrText xml:space="preserve"> SEQ Attēls_Nr. \* ARABIC </w:instrText>
      </w:r>
      <w:r w:rsidRPr="00A664D7">
        <w:rPr>
          <w:iCs/>
        </w:rPr>
        <w:fldChar w:fldCharType="separate"/>
      </w:r>
      <w:r w:rsidR="00D96F20">
        <w:rPr>
          <w:iCs/>
          <w:noProof/>
        </w:rPr>
        <w:t>41</w:t>
      </w:r>
      <w:r w:rsidRPr="00A664D7">
        <w:rPr>
          <w:iCs/>
        </w:rPr>
        <w:fldChar w:fldCharType="end"/>
      </w:r>
      <w:bookmarkEnd w:id="128"/>
    </w:p>
    <w:p w14:paraId="17BC8F3A" w14:textId="77777777" w:rsidR="00A664D7" w:rsidRPr="00A664D7" w:rsidRDefault="00A664D7" w:rsidP="00A664D7">
      <w:pPr>
        <w:spacing w:after="120" w:line="240" w:lineRule="auto"/>
        <w:jc w:val="center"/>
        <w:rPr>
          <w:szCs w:val="22"/>
        </w:rPr>
      </w:pPr>
      <w:r w:rsidRPr="00A664D7">
        <w:rPr>
          <w:b/>
          <w:szCs w:val="22"/>
        </w:rPr>
        <w:t>Vidējie izdevumi uz vienu studējošo augstākās izglītības programmās koledžās 2019. gadā</w:t>
      </w:r>
    </w:p>
    <w:p w14:paraId="37CF57EC" w14:textId="77777777" w:rsidR="00A664D7" w:rsidRPr="00A664D7" w:rsidRDefault="00A664D7" w:rsidP="00A664D7">
      <w:pPr>
        <w:spacing w:after="120" w:line="240" w:lineRule="auto"/>
        <w:jc w:val="center"/>
        <w:rPr>
          <w:szCs w:val="22"/>
        </w:rPr>
      </w:pPr>
      <w:r w:rsidRPr="00A664D7">
        <w:rPr>
          <w:noProof/>
          <w:szCs w:val="22"/>
          <w:lang w:eastAsia="lv-LV"/>
        </w:rPr>
        <w:drawing>
          <wp:inline distT="0" distB="0" distL="0" distR="0" wp14:anchorId="27D3FC48" wp14:editId="0A822642">
            <wp:extent cx="5273675" cy="2834640"/>
            <wp:effectExtent l="0" t="0" r="3175"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3675" cy="2834640"/>
                    </a:xfrm>
                    <a:prstGeom prst="rect">
                      <a:avLst/>
                    </a:prstGeom>
                    <a:noFill/>
                  </pic:spPr>
                </pic:pic>
              </a:graphicData>
            </a:graphic>
          </wp:inline>
        </w:drawing>
      </w:r>
    </w:p>
    <w:p w14:paraId="286CC6E3" w14:textId="77777777" w:rsidR="00A664D7" w:rsidRPr="00A664D7" w:rsidRDefault="00A664D7" w:rsidP="00370115">
      <w:pPr>
        <w:spacing w:after="120"/>
        <w:ind w:firstLine="709"/>
        <w:jc w:val="both"/>
        <w:rPr>
          <w:szCs w:val="22"/>
        </w:rPr>
      </w:pPr>
      <w:r w:rsidRPr="00A664D7">
        <w:rPr>
          <w:szCs w:val="22"/>
        </w:rPr>
        <w:t xml:space="preserve">Koledžu analīzē ir pieminamas LU aģentūras. Pēc tam, kad par LU aģentūru kļuva LU R1MK, jau trīs LU aģentūrās (bez iepriekšminētās arī LU RMK un LU PSK) ir pieejamas 1. līmeņa profesionālās augstākās izglītības programmas medicīnas nozarē. Turklāt lielākā daļa </w:t>
      </w:r>
      <w:r w:rsidRPr="00A664D7">
        <w:rPr>
          <w:szCs w:val="22"/>
        </w:rPr>
        <w:lastRenderedPageBreak/>
        <w:t xml:space="preserve">mācību programmu visās trīs mācību iestādēs dublē viena otru. Visās trīs koledžās iespējams apgūt māszinības vai iegūt ārsta palīga kvalifikāciju. Vēl atsevišķas studiju programmas pieejamas divās no trim koledžām. </w:t>
      </w:r>
      <w:r w:rsidR="003E501D" w:rsidRPr="003E501D">
        <w:rPr>
          <w:szCs w:val="22"/>
        </w:rPr>
        <w:t xml:space="preserve">LU būtu jāizvērtē programmu dublēšanas novēršanu, iespējamo administratīvo, atbalsta funkciju centralizāciju, lai iegūt rezultātus no institucionālas padotības. Iespējams izvērtējama koledžu budžeta vietu specializācija, piemēram, </w:t>
      </w:r>
      <w:r w:rsidRPr="003E501D">
        <w:rPr>
          <w:szCs w:val="22"/>
        </w:rPr>
        <w:t>vienā koledžā apmācot ārstu palīgus un medicīnas māsas, otrā dažādus laborantus un farmaceitus, bet trešajā sociālās aprūpes speciālistus un rehabilitētājus.</w:t>
      </w:r>
    </w:p>
    <w:p w14:paraId="7016B73F" w14:textId="77777777" w:rsidR="00A664D7" w:rsidRPr="00A664D7" w:rsidRDefault="00A664D7" w:rsidP="00370115">
      <w:pPr>
        <w:spacing w:after="120"/>
        <w:jc w:val="both"/>
        <w:rPr>
          <w:szCs w:val="22"/>
        </w:rPr>
      </w:pPr>
      <w:r w:rsidRPr="00A664D7">
        <w:rPr>
          <w:b/>
          <w:i/>
          <w:szCs w:val="22"/>
        </w:rPr>
        <w:t>Augstskolu un koledžu izdevumi atalgojumam</w:t>
      </w:r>
    </w:p>
    <w:p w14:paraId="3280E259" w14:textId="02CB8305" w:rsidR="00A664D7" w:rsidRPr="00A664D7" w:rsidRDefault="00A664D7" w:rsidP="00370115">
      <w:pPr>
        <w:spacing w:after="120"/>
        <w:ind w:firstLine="709"/>
        <w:jc w:val="both"/>
        <w:rPr>
          <w:szCs w:val="22"/>
        </w:rPr>
      </w:pPr>
      <w:r w:rsidRPr="00A664D7">
        <w:rPr>
          <w:szCs w:val="22"/>
        </w:rPr>
        <w:t>Augstskolas personāla atalgojuma nodrošināšanai 2019. gadā ir novirzījušas 51% no kopējiem izdevumiem. Lielākās atalgojuma izmaksas 2019. gadā bija JVLMA (57,9%), kamēr vismazāk atalgojumam novirzīja LLU – tikai 35% no augstskolas kopējiem izdevumiem (</w:t>
      </w:r>
      <w:r w:rsidRPr="00A664D7">
        <w:rPr>
          <w:szCs w:val="22"/>
        </w:rPr>
        <w:fldChar w:fldCharType="begin"/>
      </w:r>
      <w:r w:rsidRPr="00A664D7">
        <w:rPr>
          <w:szCs w:val="22"/>
        </w:rPr>
        <w:instrText xml:space="preserve"> REF _Ref46323762 \h  \* MERGEFORMAT </w:instrText>
      </w:r>
      <w:r w:rsidRPr="00A664D7">
        <w:rPr>
          <w:szCs w:val="22"/>
        </w:rPr>
      </w:r>
      <w:r w:rsidRPr="00A664D7">
        <w:rPr>
          <w:szCs w:val="22"/>
        </w:rPr>
        <w:fldChar w:fldCharType="separate"/>
      </w:r>
      <w:r w:rsidR="00D96F20" w:rsidRPr="00D96F20">
        <w:t xml:space="preserve">Attēls Nr. </w:t>
      </w:r>
      <w:r w:rsidR="00D96F20" w:rsidRPr="00D96F20">
        <w:rPr>
          <w:noProof/>
        </w:rPr>
        <w:t>42</w:t>
      </w:r>
      <w:r w:rsidRPr="00A664D7">
        <w:rPr>
          <w:szCs w:val="22"/>
        </w:rPr>
        <w:fldChar w:fldCharType="end"/>
      </w:r>
      <w:r w:rsidRPr="00A664D7">
        <w:rPr>
          <w:szCs w:val="22"/>
        </w:rPr>
        <w:t>). Attēlotajā grafikā augstskolas ranžētas pēc procentuālo izdevumu pieauguma starp 2014. un 2019. gada izdevumiem. Tā rezultātā lielākais pieaugums konstatējams VeA, kuri 2014.gadā atalgojumam patērēja tikai 12,9% no kopējiem izdevumiem, bet 2019. gadā šīs pozīcijas izdevumi jau sasniedza 48,1%, teju sasniedzot augstskolu vidējo līmeni. 20% pieaugums vērojams attiecībā uz ViA izdevumiem personāla atalgojumam. Piecām augstskolām (LLU, BA, JVLMA, LMāA un LSPA) atalgojumam atvēlētie izdevumi procentuāli ir samazinājušies, tomēr atsevišķos gadījumos tas atkal ir izskaidrojams ar to, ka lielāka procentuālā izdevumu daļa kādā no aplūkotajiem gadiem ir kapitālieguldījumiem.</w:t>
      </w:r>
    </w:p>
    <w:p w14:paraId="157850EB" w14:textId="5D977437" w:rsidR="00A664D7" w:rsidRPr="00A664D7" w:rsidRDefault="00A664D7" w:rsidP="00A664D7">
      <w:pPr>
        <w:spacing w:after="120" w:line="240" w:lineRule="auto"/>
        <w:jc w:val="right"/>
        <w:rPr>
          <w:iCs/>
        </w:rPr>
      </w:pPr>
      <w:bookmarkStart w:id="129" w:name="_Ref46323762"/>
      <w:r w:rsidRPr="00A664D7">
        <w:rPr>
          <w:iCs/>
        </w:rPr>
        <w:t xml:space="preserve">Attēls Nr. </w:t>
      </w:r>
      <w:r w:rsidRPr="00A664D7">
        <w:rPr>
          <w:iCs/>
        </w:rPr>
        <w:fldChar w:fldCharType="begin"/>
      </w:r>
      <w:r w:rsidRPr="00A664D7">
        <w:rPr>
          <w:iCs/>
        </w:rPr>
        <w:instrText xml:space="preserve"> SEQ Attēls_Nr. \* ARABIC </w:instrText>
      </w:r>
      <w:r w:rsidRPr="00A664D7">
        <w:rPr>
          <w:iCs/>
        </w:rPr>
        <w:fldChar w:fldCharType="separate"/>
      </w:r>
      <w:r w:rsidR="00D96F20">
        <w:rPr>
          <w:iCs/>
          <w:noProof/>
        </w:rPr>
        <w:t>42</w:t>
      </w:r>
      <w:r w:rsidRPr="00A664D7">
        <w:rPr>
          <w:iCs/>
        </w:rPr>
        <w:fldChar w:fldCharType="end"/>
      </w:r>
      <w:bookmarkEnd w:id="129"/>
    </w:p>
    <w:p w14:paraId="43C50004" w14:textId="77777777" w:rsidR="00A664D7" w:rsidRPr="00A664D7" w:rsidRDefault="00A664D7" w:rsidP="00A664D7">
      <w:pPr>
        <w:spacing w:after="120" w:line="240" w:lineRule="auto"/>
        <w:jc w:val="center"/>
        <w:rPr>
          <w:b/>
          <w:szCs w:val="22"/>
        </w:rPr>
      </w:pPr>
      <w:r w:rsidRPr="00A664D7">
        <w:rPr>
          <w:b/>
          <w:szCs w:val="22"/>
        </w:rPr>
        <w:t>Izdevumi atalgojumam augstskolās 2014. un 2019. gadā (% no augstskolu kopējiem izdevumiem)</w:t>
      </w:r>
    </w:p>
    <w:p w14:paraId="779E7F94" w14:textId="77777777" w:rsidR="00A664D7" w:rsidRPr="00A664D7" w:rsidRDefault="00A664D7" w:rsidP="00A664D7">
      <w:pPr>
        <w:spacing w:after="120" w:line="240" w:lineRule="auto"/>
        <w:jc w:val="center"/>
        <w:rPr>
          <w:b/>
          <w:szCs w:val="22"/>
        </w:rPr>
      </w:pPr>
      <w:r w:rsidRPr="00A664D7">
        <w:rPr>
          <w:b/>
          <w:noProof/>
          <w:szCs w:val="22"/>
          <w:lang w:eastAsia="lv-LV"/>
        </w:rPr>
        <w:drawing>
          <wp:inline distT="0" distB="0" distL="0" distR="0" wp14:anchorId="3E026C1F" wp14:editId="7DFAB94D">
            <wp:extent cx="5637144" cy="3260035"/>
            <wp:effectExtent l="0" t="0" r="190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49045" cy="3266917"/>
                    </a:xfrm>
                    <a:prstGeom prst="rect">
                      <a:avLst/>
                    </a:prstGeom>
                    <a:noFill/>
                  </pic:spPr>
                </pic:pic>
              </a:graphicData>
            </a:graphic>
          </wp:inline>
        </w:drawing>
      </w:r>
    </w:p>
    <w:p w14:paraId="169140B6" w14:textId="77777777" w:rsidR="00A664D7" w:rsidRPr="00A664D7" w:rsidRDefault="00A664D7" w:rsidP="00370115">
      <w:pPr>
        <w:spacing w:after="120"/>
        <w:ind w:firstLine="720"/>
        <w:jc w:val="both"/>
        <w:rPr>
          <w:szCs w:val="22"/>
        </w:rPr>
      </w:pPr>
      <w:r w:rsidRPr="00A664D7">
        <w:rPr>
          <w:szCs w:val="22"/>
        </w:rPr>
        <w:t>Statistiski atalgojums tiek sadalīts pa trīs atsevišķiem personāla veidiem. Viena no kategorijām ir akadēmiskais personāls, kurā ietilpst Augstskolu likuma 27. panta pirmajā daļā minētie mācībspēki. IZM sniegtajos datos atsevišķi tiek izdalīts administratīvais un vispārējais personāls. Vispārējais personāls atsevišķi tiek izteikts Augstskolu likuma 26. panta pirmajā daļā, bet plašāk skaidrots šī likuma 43. panta pirmajā daļā. Savukārt administratīvais personāls ietver Augstskolu likuma 43. panta otrajā daļā uzskaitītos amatus.</w:t>
      </w:r>
    </w:p>
    <w:p w14:paraId="5D6C47FA" w14:textId="77777777" w:rsidR="00A664D7" w:rsidRPr="00A664D7" w:rsidRDefault="00A664D7" w:rsidP="00370115">
      <w:pPr>
        <w:spacing w:after="120"/>
        <w:ind w:firstLine="720"/>
        <w:jc w:val="both"/>
        <w:rPr>
          <w:szCs w:val="22"/>
        </w:rPr>
      </w:pPr>
      <w:r w:rsidRPr="00A664D7">
        <w:rPr>
          <w:szCs w:val="22"/>
        </w:rPr>
        <w:lastRenderedPageBreak/>
        <w:t xml:space="preserve">Kopējie atalgojumam paredzētie izdevumi pēdējo sešu gadu laikā ir pieauguši. 2014. gadā atlīdzībai kopā tika atvēlēti 88,9 milj. </w:t>
      </w:r>
      <w:r w:rsidRPr="00A664D7">
        <w:rPr>
          <w:i/>
          <w:szCs w:val="22"/>
        </w:rPr>
        <w:t>euro</w:t>
      </w:r>
      <w:r w:rsidRPr="00A664D7">
        <w:rPr>
          <w:szCs w:val="22"/>
        </w:rPr>
        <w:t xml:space="preserve">, bet 2019. gadā šī izdevumu pozīcija sasniedz jau 132 milj. </w:t>
      </w:r>
      <w:r w:rsidRPr="00A664D7">
        <w:rPr>
          <w:i/>
          <w:szCs w:val="22"/>
        </w:rPr>
        <w:t>euro</w:t>
      </w:r>
      <w:r w:rsidRPr="00A664D7">
        <w:rPr>
          <w:szCs w:val="22"/>
        </w:rPr>
        <w:t xml:space="preserve">. Straujākais pieaugums ir akadēmiskā personāla atalgojuma pozīcijā – no 48,3 milj. </w:t>
      </w:r>
      <w:r w:rsidRPr="00A664D7">
        <w:rPr>
          <w:i/>
          <w:szCs w:val="22"/>
        </w:rPr>
        <w:t>euro</w:t>
      </w:r>
      <w:r w:rsidRPr="00A664D7">
        <w:rPr>
          <w:szCs w:val="22"/>
        </w:rPr>
        <w:t xml:space="preserve"> uz 77,2 milj. </w:t>
      </w:r>
      <w:r w:rsidRPr="00A664D7">
        <w:rPr>
          <w:i/>
          <w:szCs w:val="22"/>
        </w:rPr>
        <w:t>euro</w:t>
      </w:r>
      <w:r w:rsidRPr="00A664D7">
        <w:rPr>
          <w:szCs w:val="22"/>
        </w:rPr>
        <w:t xml:space="preserve"> šo sešu gadu periodā. 11,6 milj. </w:t>
      </w:r>
      <w:r w:rsidRPr="00A664D7">
        <w:rPr>
          <w:i/>
          <w:szCs w:val="22"/>
        </w:rPr>
        <w:t>euro</w:t>
      </w:r>
      <w:r w:rsidRPr="00A664D7">
        <w:rPr>
          <w:szCs w:val="22"/>
        </w:rPr>
        <w:t xml:space="preserve"> pieaugums bijis arī vispārējam personālam, savukārt administratīvā personāla atlīdzības kopējais apmērs sešu gadu laikā piedzīvojis ļoti minimālas izmaiņas.</w:t>
      </w:r>
    </w:p>
    <w:p w14:paraId="1E123510" w14:textId="4B693B43" w:rsidR="00A664D7" w:rsidRPr="00A664D7" w:rsidRDefault="00A664D7" w:rsidP="00370115">
      <w:pPr>
        <w:spacing w:after="120"/>
        <w:ind w:firstLine="720"/>
        <w:jc w:val="both"/>
        <w:rPr>
          <w:szCs w:val="22"/>
        </w:rPr>
      </w:pPr>
      <w:r w:rsidRPr="00A664D7">
        <w:rPr>
          <w:szCs w:val="22"/>
        </w:rPr>
        <w:t xml:space="preserve">Saistībā ar personāla atalgojuma izdevumiem tāpat kā šī ziņojuma sadaļā par profesionālo izglītību akcentējams arī jautājums par datu kvalitāti. Īpaši izceļami ir izdevumi administratīvā personāla atalgojuma segšanai. Analizējot iesniegtos datus, tika konstatēti divi izceļami piemēri, kur augstākās izglītības iestādes nav atbilstoši klasificējušas savu personālu. Pirmajā gadījumā RTU 2017. gadā administratīvā personāla atalgojumam iztērējusi 57,5% jeb 4,1 milj. </w:t>
      </w:r>
      <w:r w:rsidRPr="00A664D7">
        <w:rPr>
          <w:i/>
          <w:szCs w:val="22"/>
        </w:rPr>
        <w:t>euro</w:t>
      </w:r>
      <w:r w:rsidRPr="00A664D7">
        <w:rPr>
          <w:szCs w:val="22"/>
        </w:rPr>
        <w:t xml:space="preserve"> no kopējā atalgojuma finansējuma. 2018. gadā tas ir bijis tikai miljons </w:t>
      </w:r>
      <w:r w:rsidRPr="00A664D7">
        <w:rPr>
          <w:i/>
          <w:szCs w:val="22"/>
        </w:rPr>
        <w:t>euro</w:t>
      </w:r>
      <w:r w:rsidRPr="00A664D7">
        <w:rPr>
          <w:szCs w:val="22"/>
        </w:rPr>
        <w:t xml:space="preserve"> jeb 4,2% no atalgojuma izdevumiem, bet 2019. gadā izdevumi šai amatu grupai atkal pieauguši līdz 7,8 milj. </w:t>
      </w:r>
      <w:r w:rsidRPr="00A664D7">
        <w:rPr>
          <w:i/>
          <w:szCs w:val="22"/>
        </w:rPr>
        <w:t>euro</w:t>
      </w:r>
      <w:r w:rsidRPr="00A664D7">
        <w:rPr>
          <w:szCs w:val="22"/>
        </w:rPr>
        <w:t xml:space="preserve"> jeb 27,6% no kopējiem atalgojuma izdevumiem. Otrais gadījums ir datos par atalgojuma izmaksām RTA. Šai augstākās izglītības iestādei no pēdējiem sešiem gadiem tikai 2015. un 2019. gadā tiek uzrādīti izdevumi administratīvā personāla atalgojumam. </w:t>
      </w:r>
      <w:r w:rsidR="00085E4F" w:rsidRPr="00085E4F">
        <w:rPr>
          <w:szCs w:val="22"/>
        </w:rPr>
        <w:t xml:space="preserve"> </w:t>
      </w:r>
      <w:r w:rsidR="00085E4F">
        <w:rPr>
          <w:szCs w:val="22"/>
        </w:rPr>
        <w:t>Saskaņā ar Izglītības un zinātnes ministrijas sniegto informāciju, RTA gadījumā izdevumi administratīvajam personālam ir pieskaitīti pie vispārējā personāla, kas apgrūtina datu salīdzināšanu un liecina par nekonsekventu datu sniegšanu</w:t>
      </w:r>
      <w:r w:rsidR="00085E4F" w:rsidRPr="00A664D7">
        <w:rPr>
          <w:szCs w:val="22"/>
        </w:rPr>
        <w:t>.</w:t>
      </w:r>
    </w:p>
    <w:p w14:paraId="3B8A683A" w14:textId="6F112691" w:rsidR="006368C3" w:rsidRPr="009C57E3" w:rsidRDefault="00A664D7" w:rsidP="009C57E3">
      <w:pPr>
        <w:spacing w:after="120" w:line="240" w:lineRule="auto"/>
        <w:ind w:firstLine="720"/>
        <w:jc w:val="both"/>
        <w:rPr>
          <w:szCs w:val="22"/>
        </w:rPr>
      </w:pPr>
      <w:r w:rsidRPr="00A664D7">
        <w:rPr>
          <w:szCs w:val="22"/>
        </w:rPr>
        <w:t xml:space="preserve">Paturot prātā to, ka dati iespējams neatbilst patiesajam atalgojuma izdevumu sadalījumam pa amatu grupām, apskatāms atalgojuma sadalījums pa personāla </w:t>
      </w:r>
      <w:r w:rsidR="006368C3">
        <w:rPr>
          <w:szCs w:val="22"/>
        </w:rPr>
        <w:t>veidiem augstskolās 2019. gadā (</w:t>
      </w:r>
      <w:r w:rsidR="006368C3">
        <w:rPr>
          <w:szCs w:val="22"/>
        </w:rPr>
        <w:fldChar w:fldCharType="begin"/>
      </w:r>
      <w:r w:rsidR="006368C3">
        <w:rPr>
          <w:szCs w:val="22"/>
        </w:rPr>
        <w:instrText xml:space="preserve"> REF _Ref47346051 \h </w:instrText>
      </w:r>
      <w:r w:rsidR="006368C3">
        <w:rPr>
          <w:szCs w:val="22"/>
        </w:rPr>
      </w:r>
      <w:r w:rsidR="006368C3">
        <w:rPr>
          <w:szCs w:val="22"/>
        </w:rPr>
        <w:fldChar w:fldCharType="separate"/>
      </w:r>
      <w:r w:rsidR="00D96F20" w:rsidRPr="00A664D7">
        <w:rPr>
          <w:iCs/>
        </w:rPr>
        <w:t xml:space="preserve">Attēls Nr. </w:t>
      </w:r>
      <w:r w:rsidR="00D96F20">
        <w:rPr>
          <w:iCs/>
          <w:noProof/>
        </w:rPr>
        <w:t>43</w:t>
      </w:r>
      <w:r w:rsidR="006368C3">
        <w:rPr>
          <w:szCs w:val="22"/>
        </w:rPr>
        <w:fldChar w:fldCharType="end"/>
      </w:r>
      <w:r w:rsidR="006368C3">
        <w:rPr>
          <w:szCs w:val="22"/>
        </w:rPr>
        <w:t>)</w:t>
      </w:r>
      <w:r w:rsidRPr="00A664D7">
        <w:rPr>
          <w:szCs w:val="22"/>
        </w:rPr>
        <w:t>. Secināms, ka iepriekšminētais izdevumu administratīvā personāla atalgojumam apmērs starp augstskolām atšķiras pat deviņas reizes. Vislielākie izdevumi administratīvā personāla atalgojumam 2019. gadā bija RTU – 27,6% no kopējiem atalgojuma izdevumiem. Savukārt mazākie izdevumi šajā pozīcijā bija ViA – tikai 3% no kopējā atalgojuma fonda. Procentuāli mazākais atalgojums akadēmiskajam personālam 2019. gadā vērojams LKuA, kur šī personāla grupa saņēma 46,1% no kopējā atalgojuma, kamēr administratīvajam personālam tika izmaksāti 5%, bet vispārējais personāls saņēma 48,9% no kopējiem atalgojumam paredzētajiem izdevumiem.</w:t>
      </w:r>
      <w:bookmarkStart w:id="130" w:name="_Ref46328156"/>
      <w:bookmarkStart w:id="131" w:name="_Ref47087904"/>
    </w:p>
    <w:p w14:paraId="47CD4280" w14:textId="66DE4D7F" w:rsidR="00A664D7" w:rsidRPr="00A664D7" w:rsidRDefault="00A664D7" w:rsidP="00A664D7">
      <w:pPr>
        <w:spacing w:after="120" w:line="240" w:lineRule="auto"/>
        <w:jc w:val="right"/>
        <w:rPr>
          <w:iCs/>
        </w:rPr>
      </w:pPr>
      <w:bookmarkStart w:id="132" w:name="_Ref47346051"/>
      <w:r w:rsidRPr="00A664D7">
        <w:rPr>
          <w:iCs/>
        </w:rPr>
        <w:t xml:space="preserve">Attēls Nr. </w:t>
      </w:r>
      <w:r w:rsidRPr="00A664D7">
        <w:rPr>
          <w:iCs/>
        </w:rPr>
        <w:fldChar w:fldCharType="begin"/>
      </w:r>
      <w:r w:rsidRPr="00A664D7">
        <w:rPr>
          <w:iCs/>
        </w:rPr>
        <w:instrText xml:space="preserve"> SEQ Attēls_Nr. \* ARABIC </w:instrText>
      </w:r>
      <w:r w:rsidRPr="00A664D7">
        <w:rPr>
          <w:iCs/>
        </w:rPr>
        <w:fldChar w:fldCharType="separate"/>
      </w:r>
      <w:r w:rsidR="00D96F20">
        <w:rPr>
          <w:iCs/>
          <w:noProof/>
        </w:rPr>
        <w:t>43</w:t>
      </w:r>
      <w:r w:rsidRPr="00A664D7">
        <w:rPr>
          <w:iCs/>
        </w:rPr>
        <w:fldChar w:fldCharType="end"/>
      </w:r>
      <w:bookmarkEnd w:id="130"/>
      <w:bookmarkEnd w:id="131"/>
      <w:bookmarkEnd w:id="132"/>
    </w:p>
    <w:p w14:paraId="287D02A4" w14:textId="77777777" w:rsidR="00A664D7" w:rsidRPr="00A664D7" w:rsidRDefault="00A664D7" w:rsidP="00A664D7">
      <w:pPr>
        <w:spacing w:after="120" w:line="240" w:lineRule="auto"/>
        <w:jc w:val="center"/>
        <w:rPr>
          <w:szCs w:val="22"/>
        </w:rPr>
      </w:pPr>
      <w:r w:rsidRPr="00A664D7">
        <w:rPr>
          <w:b/>
          <w:szCs w:val="22"/>
        </w:rPr>
        <w:t>Izdevumi augstskolu personālam sadalījumā pa personāla veidiem 2019. gadā (procentos no kopējiem izdevumiem atalgojumam)</w:t>
      </w:r>
    </w:p>
    <w:p w14:paraId="5EDB14C2" w14:textId="77777777" w:rsidR="00A664D7" w:rsidRPr="00A664D7" w:rsidRDefault="00A664D7" w:rsidP="00A664D7">
      <w:pPr>
        <w:spacing w:after="120" w:line="240" w:lineRule="auto"/>
        <w:jc w:val="center"/>
        <w:rPr>
          <w:szCs w:val="22"/>
        </w:rPr>
      </w:pPr>
      <w:r w:rsidRPr="00A664D7">
        <w:rPr>
          <w:noProof/>
          <w:szCs w:val="22"/>
          <w:lang w:eastAsia="lv-LV"/>
        </w:rPr>
        <w:drawing>
          <wp:inline distT="0" distB="0" distL="0" distR="0" wp14:anchorId="16A3A939" wp14:editId="1F9FB910">
            <wp:extent cx="5634134" cy="2609197"/>
            <wp:effectExtent l="0" t="0" r="508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50987" cy="2617002"/>
                    </a:xfrm>
                    <a:prstGeom prst="rect">
                      <a:avLst/>
                    </a:prstGeom>
                    <a:noFill/>
                  </pic:spPr>
                </pic:pic>
              </a:graphicData>
            </a:graphic>
          </wp:inline>
        </w:drawing>
      </w:r>
    </w:p>
    <w:p w14:paraId="15B845BF" w14:textId="785AAD2F" w:rsidR="00D90DFF" w:rsidRPr="00A664D7" w:rsidRDefault="00A664D7" w:rsidP="00D90DFF">
      <w:pPr>
        <w:spacing w:after="120" w:line="240" w:lineRule="auto"/>
        <w:ind w:firstLine="709"/>
        <w:jc w:val="both"/>
        <w:rPr>
          <w:szCs w:val="22"/>
        </w:rPr>
      </w:pPr>
      <w:r w:rsidRPr="00A664D7">
        <w:rPr>
          <w:szCs w:val="22"/>
        </w:rPr>
        <w:lastRenderedPageBreak/>
        <w:t>Koledžu līmenī svārstības starp personāla veidu atalgojumu īpatsvaru ir vēl ievērojamākas. Vislielākais administratīvā personāla atalgojuma īpatsvars ir jau minētajās reorganizē</w:t>
      </w:r>
      <w:r w:rsidR="00D90DFF">
        <w:rPr>
          <w:szCs w:val="22"/>
        </w:rPr>
        <w:t>tajās skolās – BA UK un RTU OTK (</w:t>
      </w:r>
      <w:r w:rsidR="00D90DFF">
        <w:rPr>
          <w:szCs w:val="22"/>
        </w:rPr>
        <w:fldChar w:fldCharType="begin"/>
      </w:r>
      <w:r w:rsidR="00D90DFF">
        <w:rPr>
          <w:szCs w:val="22"/>
        </w:rPr>
        <w:instrText xml:space="preserve"> REF _Ref47346156 \h </w:instrText>
      </w:r>
      <w:r w:rsidR="00D90DFF">
        <w:rPr>
          <w:szCs w:val="22"/>
        </w:rPr>
      </w:r>
      <w:r w:rsidR="00D90DFF">
        <w:rPr>
          <w:szCs w:val="22"/>
        </w:rPr>
        <w:fldChar w:fldCharType="separate"/>
      </w:r>
      <w:r w:rsidR="00D96F20" w:rsidRPr="00A664D7">
        <w:rPr>
          <w:iCs/>
        </w:rPr>
        <w:t xml:space="preserve">Attēls Nr. </w:t>
      </w:r>
      <w:r w:rsidR="00D96F20">
        <w:rPr>
          <w:iCs/>
          <w:noProof/>
        </w:rPr>
        <w:t>44</w:t>
      </w:r>
      <w:r w:rsidR="00D90DFF">
        <w:rPr>
          <w:szCs w:val="22"/>
        </w:rPr>
        <w:fldChar w:fldCharType="end"/>
      </w:r>
      <w:r w:rsidR="00D90DFF">
        <w:rPr>
          <w:szCs w:val="22"/>
        </w:rPr>
        <w:t>).</w:t>
      </w:r>
    </w:p>
    <w:p w14:paraId="5958801C" w14:textId="77777777" w:rsidR="00A664D7" w:rsidRPr="00A664D7" w:rsidRDefault="00A664D7" w:rsidP="00370115">
      <w:pPr>
        <w:spacing w:after="120"/>
        <w:ind w:firstLine="709"/>
        <w:jc w:val="both"/>
        <w:rPr>
          <w:szCs w:val="22"/>
        </w:rPr>
      </w:pPr>
      <w:r w:rsidRPr="00A664D7">
        <w:rPr>
          <w:szCs w:val="22"/>
        </w:rPr>
        <w:t>No pārējām skolām lielākie procentuālie izdevumi administratīvajam personālam ir MalnK (23,3%) un RCK (22,8%). Vismazāk līdzekļu administratīvā personāla atalgojumam patērē VPolK – 3,5%. VPolK ir arī vislielākais izdevumu apjoms vispārējā personāla atalgojumam, proti, 80,5% no kopējiem atalgojumam paredzētajiem izdevumiem, kā rezultātā tikai 16% atlīdzības izdevumu ir akadēmiskā personāla atalgojuma nodrošināšanai, kas ir otrs mazākais rādītājs aiz VRK, kas mācībspēkiem novirza 14% no kopējiem atalgojuma izdevumiem.</w:t>
      </w:r>
    </w:p>
    <w:p w14:paraId="768A0F2C" w14:textId="5651408F" w:rsidR="00A664D7" w:rsidRPr="00A664D7" w:rsidRDefault="00A664D7" w:rsidP="00A664D7">
      <w:pPr>
        <w:spacing w:after="120" w:line="240" w:lineRule="auto"/>
        <w:jc w:val="right"/>
        <w:rPr>
          <w:iCs/>
        </w:rPr>
      </w:pPr>
      <w:bookmarkStart w:id="133" w:name="_Ref46392270"/>
      <w:bookmarkStart w:id="134" w:name="_Ref47019736"/>
      <w:bookmarkStart w:id="135" w:name="_Ref47346156"/>
      <w:r w:rsidRPr="00A664D7">
        <w:rPr>
          <w:iCs/>
        </w:rPr>
        <w:t xml:space="preserve">Attēls Nr. </w:t>
      </w:r>
      <w:r w:rsidRPr="00A664D7">
        <w:rPr>
          <w:iCs/>
        </w:rPr>
        <w:fldChar w:fldCharType="begin"/>
      </w:r>
      <w:r w:rsidRPr="00A664D7">
        <w:rPr>
          <w:iCs/>
        </w:rPr>
        <w:instrText xml:space="preserve"> SEQ Attēls_Nr. \* ARABIC </w:instrText>
      </w:r>
      <w:r w:rsidRPr="00A664D7">
        <w:rPr>
          <w:iCs/>
        </w:rPr>
        <w:fldChar w:fldCharType="separate"/>
      </w:r>
      <w:r w:rsidR="00D96F20">
        <w:rPr>
          <w:iCs/>
          <w:noProof/>
        </w:rPr>
        <w:t>44</w:t>
      </w:r>
      <w:r w:rsidRPr="00A664D7">
        <w:rPr>
          <w:iCs/>
        </w:rPr>
        <w:fldChar w:fldCharType="end"/>
      </w:r>
      <w:bookmarkEnd w:id="133"/>
      <w:bookmarkEnd w:id="134"/>
      <w:bookmarkEnd w:id="135"/>
    </w:p>
    <w:p w14:paraId="2974F35C" w14:textId="77777777" w:rsidR="00A664D7" w:rsidRPr="00A664D7" w:rsidRDefault="00A664D7" w:rsidP="00A664D7">
      <w:pPr>
        <w:spacing w:after="120" w:line="240" w:lineRule="auto"/>
        <w:jc w:val="center"/>
        <w:rPr>
          <w:szCs w:val="22"/>
        </w:rPr>
      </w:pPr>
      <w:r w:rsidRPr="00A664D7">
        <w:rPr>
          <w:b/>
          <w:szCs w:val="22"/>
        </w:rPr>
        <w:t>Izdevumi koledžu personālam augstākās izglītības programmu nodrošināšanai sadalījumā pa personāla veidiem 2019. gadā (procentos no kopējiem izdevumiem atalgojumam)</w:t>
      </w:r>
    </w:p>
    <w:p w14:paraId="06A8EB50" w14:textId="77777777" w:rsidR="00A664D7" w:rsidRPr="00A664D7" w:rsidRDefault="00A664D7" w:rsidP="00A664D7">
      <w:pPr>
        <w:spacing w:after="120" w:line="240" w:lineRule="auto"/>
        <w:jc w:val="center"/>
        <w:rPr>
          <w:szCs w:val="22"/>
        </w:rPr>
      </w:pPr>
      <w:r w:rsidRPr="00A664D7">
        <w:rPr>
          <w:noProof/>
          <w:szCs w:val="22"/>
          <w:lang w:eastAsia="lv-LV"/>
        </w:rPr>
        <w:drawing>
          <wp:inline distT="0" distB="0" distL="0" distR="0" wp14:anchorId="4D8B6DFB" wp14:editId="790727D9">
            <wp:extent cx="5546669" cy="257844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67620" cy="2588188"/>
                    </a:xfrm>
                    <a:prstGeom prst="rect">
                      <a:avLst/>
                    </a:prstGeom>
                    <a:noFill/>
                  </pic:spPr>
                </pic:pic>
              </a:graphicData>
            </a:graphic>
          </wp:inline>
        </w:drawing>
      </w:r>
    </w:p>
    <w:p w14:paraId="19581C34" w14:textId="399AE28A" w:rsidR="003E501D" w:rsidRPr="00D90DFF" w:rsidRDefault="00A664D7" w:rsidP="000A37B1">
      <w:pPr>
        <w:spacing w:after="120" w:line="240" w:lineRule="auto"/>
        <w:ind w:firstLine="720"/>
        <w:jc w:val="both"/>
        <w:rPr>
          <w:szCs w:val="22"/>
        </w:rPr>
      </w:pPr>
      <w:r w:rsidRPr="00A664D7">
        <w:rPr>
          <w:szCs w:val="22"/>
        </w:rPr>
        <w:t>Apskatot personāla atlīdzības dinamiku atsevišķi akadēmiskajam personālam, tāpat kā kopējā atalgojuma pieauguma grafikā straujākais izdevumu pieaugums 2019. gadā, salīdzinot ar 2014. gada izdevumiem ir VeA, kur izmaksas akadēmiskā personāla atalgojumam palielinājušās par 439,7% (</w:t>
      </w:r>
      <w:r w:rsidR="000A37B1">
        <w:rPr>
          <w:szCs w:val="22"/>
        </w:rPr>
        <w:fldChar w:fldCharType="begin"/>
      </w:r>
      <w:r w:rsidR="000A37B1">
        <w:rPr>
          <w:szCs w:val="22"/>
        </w:rPr>
        <w:instrText xml:space="preserve"> REF _Ref47348203 \h  \* MERGEFORMAT </w:instrText>
      </w:r>
      <w:r w:rsidR="000A37B1">
        <w:rPr>
          <w:szCs w:val="22"/>
        </w:rPr>
      </w:r>
      <w:r w:rsidR="000A37B1">
        <w:rPr>
          <w:szCs w:val="22"/>
        </w:rPr>
        <w:fldChar w:fldCharType="separate"/>
      </w:r>
      <w:r w:rsidR="00D96F20" w:rsidRPr="00A664D7">
        <w:rPr>
          <w:iCs/>
        </w:rPr>
        <w:t xml:space="preserve">Attēls Nr. </w:t>
      </w:r>
      <w:r w:rsidR="00D96F20">
        <w:rPr>
          <w:iCs/>
          <w:noProof/>
        </w:rPr>
        <w:t>45</w:t>
      </w:r>
      <w:r w:rsidR="000A37B1">
        <w:rPr>
          <w:szCs w:val="22"/>
        </w:rPr>
        <w:fldChar w:fldCharType="end"/>
      </w:r>
      <w:r w:rsidRPr="00A664D7">
        <w:rPr>
          <w:szCs w:val="22"/>
        </w:rPr>
        <w:t>). Arī nākamajās trīs vietās ir reģionālās augstskolas – LiepU ar 108,6%, ViA ar 102,4% un DU ar 87,2% administratīvā personāla atalgojuma izdevumu pieaugumu. Vienīgais samazinājums konstatējams LJA, kur 2019. gada izdevumi šai atalgojuma pozīcijai ir par 4,5% mazāki nekā 2014. gadā. Pavisam neliels pieaugums bijis BA un JVLMA.</w:t>
      </w:r>
      <w:bookmarkStart w:id="136" w:name="_Ref46400471"/>
    </w:p>
    <w:p w14:paraId="643EBCF2" w14:textId="77777777" w:rsidR="00C550D5" w:rsidRDefault="00C550D5" w:rsidP="00A664D7">
      <w:pPr>
        <w:spacing w:after="120" w:line="240" w:lineRule="auto"/>
        <w:jc w:val="right"/>
        <w:rPr>
          <w:iCs/>
        </w:rPr>
      </w:pPr>
      <w:bookmarkStart w:id="137" w:name="_Ref47092658"/>
    </w:p>
    <w:p w14:paraId="55E389BF" w14:textId="2CE797C9" w:rsidR="00C550D5" w:rsidRDefault="00C550D5" w:rsidP="00A664D7">
      <w:pPr>
        <w:spacing w:after="120" w:line="240" w:lineRule="auto"/>
        <w:jc w:val="right"/>
        <w:rPr>
          <w:iCs/>
        </w:rPr>
      </w:pPr>
    </w:p>
    <w:p w14:paraId="4BB6D0B6" w14:textId="4D92DB21" w:rsidR="00083858" w:rsidRDefault="00083858" w:rsidP="00A664D7">
      <w:pPr>
        <w:spacing w:after="120" w:line="240" w:lineRule="auto"/>
        <w:jc w:val="right"/>
        <w:rPr>
          <w:iCs/>
        </w:rPr>
      </w:pPr>
    </w:p>
    <w:p w14:paraId="15ED69D1" w14:textId="67AF256A" w:rsidR="00083858" w:rsidRDefault="00083858" w:rsidP="00A664D7">
      <w:pPr>
        <w:spacing w:after="120" w:line="240" w:lineRule="auto"/>
        <w:jc w:val="right"/>
        <w:rPr>
          <w:iCs/>
        </w:rPr>
      </w:pPr>
    </w:p>
    <w:p w14:paraId="453B4B51" w14:textId="00CD4DC5" w:rsidR="00083858" w:rsidRDefault="00083858" w:rsidP="00A664D7">
      <w:pPr>
        <w:spacing w:after="120" w:line="240" w:lineRule="auto"/>
        <w:jc w:val="right"/>
        <w:rPr>
          <w:iCs/>
        </w:rPr>
      </w:pPr>
    </w:p>
    <w:p w14:paraId="5F2D242E" w14:textId="28B591EB" w:rsidR="00083858" w:rsidRDefault="00083858" w:rsidP="00A664D7">
      <w:pPr>
        <w:spacing w:after="120" w:line="240" w:lineRule="auto"/>
        <w:jc w:val="right"/>
        <w:rPr>
          <w:iCs/>
        </w:rPr>
      </w:pPr>
    </w:p>
    <w:p w14:paraId="58AB9F57" w14:textId="0F893127" w:rsidR="00083858" w:rsidRDefault="00083858" w:rsidP="00A664D7">
      <w:pPr>
        <w:spacing w:after="120" w:line="240" w:lineRule="auto"/>
        <w:jc w:val="right"/>
        <w:rPr>
          <w:iCs/>
        </w:rPr>
      </w:pPr>
    </w:p>
    <w:p w14:paraId="1D2F68AE" w14:textId="77777777" w:rsidR="00083858" w:rsidRDefault="00083858" w:rsidP="00A664D7">
      <w:pPr>
        <w:spacing w:after="120" w:line="240" w:lineRule="auto"/>
        <w:jc w:val="right"/>
        <w:rPr>
          <w:iCs/>
        </w:rPr>
      </w:pPr>
    </w:p>
    <w:p w14:paraId="15284B91" w14:textId="05F20208" w:rsidR="00A664D7" w:rsidRPr="00A664D7" w:rsidRDefault="00A664D7" w:rsidP="00A664D7">
      <w:pPr>
        <w:spacing w:after="120" w:line="240" w:lineRule="auto"/>
        <w:jc w:val="right"/>
        <w:rPr>
          <w:iCs/>
        </w:rPr>
      </w:pPr>
      <w:bookmarkStart w:id="138" w:name="_Ref47348203"/>
      <w:r w:rsidRPr="00A664D7">
        <w:rPr>
          <w:iCs/>
        </w:rPr>
        <w:lastRenderedPageBreak/>
        <w:t xml:space="preserve">Attēls Nr. </w:t>
      </w:r>
      <w:r w:rsidRPr="00A664D7">
        <w:rPr>
          <w:iCs/>
        </w:rPr>
        <w:fldChar w:fldCharType="begin"/>
      </w:r>
      <w:r w:rsidRPr="00A664D7">
        <w:rPr>
          <w:iCs/>
        </w:rPr>
        <w:instrText xml:space="preserve"> SEQ Attēls_Nr. \* ARABIC </w:instrText>
      </w:r>
      <w:r w:rsidRPr="00A664D7">
        <w:rPr>
          <w:iCs/>
        </w:rPr>
        <w:fldChar w:fldCharType="separate"/>
      </w:r>
      <w:r w:rsidR="00D96F20">
        <w:rPr>
          <w:iCs/>
          <w:noProof/>
        </w:rPr>
        <w:t>45</w:t>
      </w:r>
      <w:r w:rsidRPr="00A664D7">
        <w:rPr>
          <w:iCs/>
        </w:rPr>
        <w:fldChar w:fldCharType="end"/>
      </w:r>
      <w:bookmarkEnd w:id="136"/>
      <w:bookmarkEnd w:id="137"/>
      <w:bookmarkEnd w:id="138"/>
    </w:p>
    <w:p w14:paraId="45E7B1B9" w14:textId="77777777" w:rsidR="00A664D7" w:rsidRPr="00A664D7" w:rsidRDefault="00A664D7" w:rsidP="00A664D7">
      <w:pPr>
        <w:spacing w:after="120" w:line="240" w:lineRule="auto"/>
        <w:jc w:val="center"/>
        <w:rPr>
          <w:szCs w:val="22"/>
        </w:rPr>
      </w:pPr>
      <w:r w:rsidRPr="00A664D7">
        <w:rPr>
          <w:b/>
          <w:szCs w:val="22"/>
        </w:rPr>
        <w:t>Augstskolu izdevumu akadēmiskā personāla atalgojumam pieaugums vai samazinājums 2019. gadā, salīdzinot ar 2014. gadu</w:t>
      </w:r>
    </w:p>
    <w:p w14:paraId="6499DAF3" w14:textId="77777777" w:rsidR="00A664D7" w:rsidRPr="00A664D7" w:rsidRDefault="00A664D7" w:rsidP="00A664D7">
      <w:pPr>
        <w:spacing w:after="120" w:line="240" w:lineRule="auto"/>
        <w:jc w:val="center"/>
        <w:rPr>
          <w:szCs w:val="22"/>
        </w:rPr>
      </w:pPr>
      <w:r w:rsidRPr="00A664D7">
        <w:rPr>
          <w:noProof/>
          <w:szCs w:val="22"/>
          <w:lang w:eastAsia="lv-LV"/>
        </w:rPr>
        <w:drawing>
          <wp:inline distT="0" distB="0" distL="0" distR="0" wp14:anchorId="22909EBA" wp14:editId="212618D1">
            <wp:extent cx="5676888" cy="2658140"/>
            <wp:effectExtent l="0" t="0" r="635"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96301" cy="2667230"/>
                    </a:xfrm>
                    <a:prstGeom prst="rect">
                      <a:avLst/>
                    </a:prstGeom>
                    <a:noFill/>
                  </pic:spPr>
                </pic:pic>
              </a:graphicData>
            </a:graphic>
          </wp:inline>
        </w:drawing>
      </w:r>
    </w:p>
    <w:p w14:paraId="7D7186D2" w14:textId="040EE2B0" w:rsidR="00A664D7" w:rsidRPr="00A664D7" w:rsidRDefault="00A664D7" w:rsidP="00370115">
      <w:pPr>
        <w:spacing w:after="120"/>
        <w:ind w:firstLine="720"/>
        <w:jc w:val="both"/>
        <w:rPr>
          <w:szCs w:val="22"/>
        </w:rPr>
      </w:pPr>
      <w:r w:rsidRPr="00A664D7">
        <w:rPr>
          <w:szCs w:val="22"/>
        </w:rPr>
        <w:t>Ja akadēmiskā personāla statistiku analizē kopsakarā ar studējošo skaitu augstskolās, novērojams, ka studējošo skaits uz vienu akadēmiskā personāla vienību mācību iestādēs atšķiras vairāk nekā sešas reizes. Datos gan nav vērtētas akadēmiskā personāla slodzes, proti, nostrādātās stundas, tomēr tendences ir redzamas. Statistiski redzams, ka BA un LSPA ir vairāk nekā 25 studenti uz vienu akadēmiskā personāla vienību (</w:t>
      </w:r>
      <w:r w:rsidRPr="00A664D7">
        <w:rPr>
          <w:szCs w:val="22"/>
        </w:rPr>
        <w:fldChar w:fldCharType="begin"/>
      </w:r>
      <w:r w:rsidRPr="00A664D7">
        <w:rPr>
          <w:szCs w:val="22"/>
        </w:rPr>
        <w:instrText xml:space="preserve"> REF _Ref46403310 \h  \* MERGEFORMAT </w:instrText>
      </w:r>
      <w:r w:rsidRPr="00A664D7">
        <w:rPr>
          <w:szCs w:val="22"/>
        </w:rPr>
      </w:r>
      <w:r w:rsidRPr="00A664D7">
        <w:rPr>
          <w:szCs w:val="22"/>
        </w:rPr>
        <w:fldChar w:fldCharType="separate"/>
      </w:r>
      <w:r w:rsidR="00D96F20" w:rsidRPr="00D96F20">
        <w:t xml:space="preserve">Attēls Nr. </w:t>
      </w:r>
      <w:r w:rsidR="00D96F20" w:rsidRPr="00D96F20">
        <w:rPr>
          <w:noProof/>
        </w:rPr>
        <w:t>46</w:t>
      </w:r>
      <w:r w:rsidRPr="00A664D7">
        <w:rPr>
          <w:szCs w:val="22"/>
        </w:rPr>
        <w:fldChar w:fldCharType="end"/>
      </w:r>
      <w:r w:rsidRPr="00A664D7">
        <w:rPr>
          <w:szCs w:val="22"/>
        </w:rPr>
        <w:t>). Vairumam augstskolu šis skaits svārstās starp 10 un 18. Mazākais studējošo skaits uz vienu akadēmiskā personāla vienību ir trim KM padotībā esošām augstskolām – LKA tie ir 9,5, LMāA 7,2, bet JVLMA 3,9 studenti uz vienu pasniedzēju.</w:t>
      </w:r>
    </w:p>
    <w:p w14:paraId="074E31BC" w14:textId="5CA9E5AC" w:rsidR="00A664D7" w:rsidRPr="00A664D7" w:rsidRDefault="00A664D7" w:rsidP="00A664D7">
      <w:pPr>
        <w:spacing w:after="120" w:line="240" w:lineRule="auto"/>
        <w:jc w:val="right"/>
        <w:rPr>
          <w:iCs/>
        </w:rPr>
      </w:pPr>
      <w:bookmarkStart w:id="139" w:name="_Ref46403310"/>
      <w:r w:rsidRPr="00A664D7">
        <w:rPr>
          <w:iCs/>
        </w:rPr>
        <w:t xml:space="preserve">Attēls Nr. </w:t>
      </w:r>
      <w:r w:rsidRPr="00A664D7">
        <w:rPr>
          <w:iCs/>
        </w:rPr>
        <w:fldChar w:fldCharType="begin"/>
      </w:r>
      <w:r w:rsidRPr="00A664D7">
        <w:rPr>
          <w:iCs/>
        </w:rPr>
        <w:instrText xml:space="preserve"> SEQ Attēls_Nr. \* ARABIC </w:instrText>
      </w:r>
      <w:r w:rsidRPr="00A664D7">
        <w:rPr>
          <w:iCs/>
        </w:rPr>
        <w:fldChar w:fldCharType="separate"/>
      </w:r>
      <w:r w:rsidR="00D96F20">
        <w:rPr>
          <w:iCs/>
          <w:noProof/>
        </w:rPr>
        <w:t>46</w:t>
      </w:r>
      <w:r w:rsidRPr="00A664D7">
        <w:rPr>
          <w:iCs/>
        </w:rPr>
        <w:fldChar w:fldCharType="end"/>
      </w:r>
      <w:bookmarkEnd w:id="139"/>
    </w:p>
    <w:p w14:paraId="5DD6AE1F" w14:textId="77777777" w:rsidR="00A664D7" w:rsidRPr="00A664D7" w:rsidRDefault="00A664D7" w:rsidP="00A664D7">
      <w:pPr>
        <w:spacing w:after="120" w:line="240" w:lineRule="auto"/>
        <w:jc w:val="center"/>
        <w:rPr>
          <w:szCs w:val="22"/>
        </w:rPr>
      </w:pPr>
      <w:r w:rsidRPr="00A664D7">
        <w:rPr>
          <w:b/>
          <w:szCs w:val="22"/>
        </w:rPr>
        <w:t>Studējošo skaits uz vienu akadēmiskā personāla vienību augstskolās 2019. gada 1. septembrī</w:t>
      </w:r>
    </w:p>
    <w:p w14:paraId="0FE2B747" w14:textId="77777777" w:rsidR="00A664D7" w:rsidRPr="00A664D7" w:rsidRDefault="00A664D7" w:rsidP="00A664D7">
      <w:pPr>
        <w:spacing w:after="120" w:line="240" w:lineRule="auto"/>
        <w:jc w:val="center"/>
        <w:rPr>
          <w:szCs w:val="22"/>
        </w:rPr>
      </w:pPr>
      <w:r w:rsidRPr="00A664D7">
        <w:rPr>
          <w:noProof/>
          <w:szCs w:val="22"/>
          <w:lang w:eastAsia="lv-LV"/>
        </w:rPr>
        <w:drawing>
          <wp:inline distT="0" distB="0" distL="0" distR="0" wp14:anchorId="4D92DC32" wp14:editId="161654F1">
            <wp:extent cx="5104738" cy="2978009"/>
            <wp:effectExtent l="0" t="0" r="127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13384" cy="2983053"/>
                    </a:xfrm>
                    <a:prstGeom prst="rect">
                      <a:avLst/>
                    </a:prstGeom>
                    <a:noFill/>
                  </pic:spPr>
                </pic:pic>
              </a:graphicData>
            </a:graphic>
          </wp:inline>
        </w:drawing>
      </w:r>
    </w:p>
    <w:p w14:paraId="079DD45F" w14:textId="77777777" w:rsidR="000A37B1" w:rsidRDefault="000A37B1" w:rsidP="00370115">
      <w:pPr>
        <w:spacing w:after="120"/>
        <w:rPr>
          <w:b/>
          <w:i/>
          <w:szCs w:val="22"/>
        </w:rPr>
      </w:pPr>
    </w:p>
    <w:p w14:paraId="4CE8EF1E" w14:textId="488F51FA" w:rsidR="00A664D7" w:rsidRPr="00A664D7" w:rsidRDefault="00A664D7" w:rsidP="00370115">
      <w:pPr>
        <w:spacing w:after="120"/>
        <w:rPr>
          <w:szCs w:val="22"/>
        </w:rPr>
      </w:pPr>
      <w:r w:rsidRPr="00A664D7">
        <w:rPr>
          <w:b/>
          <w:i/>
          <w:szCs w:val="22"/>
        </w:rPr>
        <w:lastRenderedPageBreak/>
        <w:t>Secinājumi un ieteikumi</w:t>
      </w:r>
      <w:r w:rsidR="00F17C94">
        <w:rPr>
          <w:b/>
          <w:i/>
          <w:szCs w:val="22"/>
        </w:rPr>
        <w:t>:</w:t>
      </w:r>
    </w:p>
    <w:p w14:paraId="1F2A2AFE" w14:textId="3D8E98B7" w:rsidR="00A664D7" w:rsidRPr="00A664D7" w:rsidRDefault="00A664D7" w:rsidP="006A15ED">
      <w:pPr>
        <w:numPr>
          <w:ilvl w:val="0"/>
          <w:numId w:val="22"/>
        </w:numPr>
        <w:spacing w:after="120"/>
        <w:jc w:val="both"/>
        <w:rPr>
          <w:szCs w:val="22"/>
        </w:rPr>
      </w:pPr>
      <w:r w:rsidRPr="00A664D7">
        <w:rPr>
          <w:szCs w:val="22"/>
        </w:rPr>
        <w:t xml:space="preserve">Augstskolu ieņēmumi studijām parāda, ka atsevišķas augstskolas ieņēmumus gūst gandrīz tikai no valsts budžeta dotācijas, kas nozīmē, ka augstskolā gandrīz nav maksas studiju vietu, proti, teju visi studenti mācās valsts budžeta finansētās vietās. Vienlaikus RSU un BA maksas studiju vietu ieņēmumi veido </w:t>
      </w:r>
      <w:r w:rsidR="00FC466B">
        <w:rPr>
          <w:szCs w:val="22"/>
        </w:rPr>
        <w:t xml:space="preserve">attiecīgi </w:t>
      </w:r>
      <w:r w:rsidRPr="00A664D7">
        <w:rPr>
          <w:szCs w:val="22"/>
        </w:rPr>
        <w:t>48% un 66% no kopējiem ieņēmumiem studiju procesā. Rezultātā vērojama disproporcija – kamēr vienā daļā mācību iestāžu pēc būtības norisinās valsts apmaksāts studiju process, citā augstskolu daļā tiek piesaistīti arī studējošie uz maksas studiju vietām.</w:t>
      </w:r>
    </w:p>
    <w:p w14:paraId="2FC004A0" w14:textId="7B011FA1" w:rsidR="00A664D7" w:rsidRPr="00A664D7" w:rsidRDefault="00A664D7" w:rsidP="006A15ED">
      <w:pPr>
        <w:numPr>
          <w:ilvl w:val="0"/>
          <w:numId w:val="22"/>
        </w:numPr>
        <w:spacing w:after="120"/>
        <w:jc w:val="both"/>
        <w:rPr>
          <w:szCs w:val="22"/>
        </w:rPr>
      </w:pPr>
      <w:r w:rsidRPr="00A664D7">
        <w:rPr>
          <w:szCs w:val="22"/>
        </w:rPr>
        <w:t>Augstskolu izdevumu pieaugums 2019. gadā, salīdzinot ar 2014. gadu, ir ļoti svārstīgs. Lielākajā daļā augstskolu izdevumu apjoms ir pieaudzis, bet vienlaikus datus ir grūti izvērtēt, jo katru gadu vairumam mācību iestāžu ir ļoti mainīgi izdevumi ieguldījumam pamatkapitālā</w:t>
      </w:r>
      <w:r w:rsidR="00A97BBA">
        <w:rPr>
          <w:szCs w:val="22"/>
        </w:rPr>
        <w:t>, ko ietekmē ES Struktūrfondu finansēto projektu īstenošana</w:t>
      </w:r>
      <w:r w:rsidRPr="00A664D7">
        <w:rPr>
          <w:szCs w:val="22"/>
        </w:rPr>
        <w:t>. Līdz ar to atbildīgajām ministrijām jāvērtē to padotībā esošo mācību iestāžu (gan augstskolu, gan koledžu) izdevumi pamatkapitāla veidošanas pozīcijā.</w:t>
      </w:r>
    </w:p>
    <w:p w14:paraId="747E4A5C" w14:textId="2E1E39E4" w:rsidR="00A664D7" w:rsidRPr="003E501D" w:rsidRDefault="00A664D7" w:rsidP="006A15ED">
      <w:pPr>
        <w:numPr>
          <w:ilvl w:val="0"/>
          <w:numId w:val="22"/>
        </w:numPr>
        <w:spacing w:after="120"/>
        <w:jc w:val="both"/>
        <w:rPr>
          <w:szCs w:val="22"/>
        </w:rPr>
      </w:pPr>
      <w:r w:rsidRPr="003E501D">
        <w:rPr>
          <w:szCs w:val="22"/>
        </w:rPr>
        <w:t xml:space="preserve">LU šobrīd ir trīs aģentūras, kas koledžu līmenī sniedz iespējas iegūt 1. līmeņa profesionālo augstāko izglītību medicīnas nozarē – LU PSK, LU RMK un LU R1MK. Lai arī piedāvātās mācību programmas spēj piesaistīt pietiekamu studējošo skaitu, </w:t>
      </w:r>
      <w:r w:rsidR="003E501D" w:rsidRPr="003E501D">
        <w:rPr>
          <w:szCs w:val="22"/>
        </w:rPr>
        <w:t>LU</w:t>
      </w:r>
      <w:r w:rsidRPr="003E501D">
        <w:rPr>
          <w:szCs w:val="22"/>
        </w:rPr>
        <w:t xml:space="preserve"> nepieciešams izvērtēt iespēju pārskatīt mācību programmu pārklāšanos šajās koledžās.</w:t>
      </w:r>
    </w:p>
    <w:p w14:paraId="2BF79C44" w14:textId="25046038" w:rsidR="00D1111B" w:rsidRDefault="00A664D7" w:rsidP="006A15ED">
      <w:pPr>
        <w:numPr>
          <w:ilvl w:val="0"/>
          <w:numId w:val="22"/>
        </w:numPr>
        <w:spacing w:after="120"/>
        <w:jc w:val="both"/>
        <w:rPr>
          <w:szCs w:val="22"/>
        </w:rPr>
      </w:pPr>
      <w:r w:rsidRPr="00A664D7">
        <w:rPr>
          <w:szCs w:val="22"/>
        </w:rPr>
        <w:t xml:space="preserve">Lielas atšķirības novērojamas administratīvajam personālam izmaksātā atalgojuma apmērā. Vērtējot procentuāli izmaksāto atalgojuma apjomu no kopējiem atalgojuma izdevumiem, secināms, ka darba samaksa administratīvajam personālam starp augstskolām 2019. gadā atšķiras pat deviņas reizes. Tajā pašā laikā šo datu analīze sešu gadu periodā liek secināt, ka datu kvalitāte nav atbilstoša. Piemēram, RTU 2018. gadā ir krietni mazāki izdevumi administratīvā personāla atalgojumam nekā citus gadus, </w:t>
      </w:r>
      <w:r w:rsidR="00A97BBA">
        <w:rPr>
          <w:szCs w:val="22"/>
        </w:rPr>
        <w:t>savukārt</w:t>
      </w:r>
      <w:r w:rsidRPr="00A664D7">
        <w:rPr>
          <w:szCs w:val="22"/>
        </w:rPr>
        <w:t xml:space="preserve"> RTA četros no sešiem pēdējiem gadiem vispār nenorāda izdevumus rektoru, prorektoru, direktoru un dekānu atalgošanai</w:t>
      </w:r>
      <w:r w:rsidR="00A97BBA">
        <w:rPr>
          <w:szCs w:val="22"/>
        </w:rPr>
        <w:t xml:space="preserve"> pie administratīvā personāla izdevumiem, ieskaitot tos vispārējā personāla izdevumos</w:t>
      </w:r>
      <w:r w:rsidRPr="00A664D7">
        <w:rPr>
          <w:szCs w:val="22"/>
        </w:rPr>
        <w:t>. Līdz ar to tāpat kā profesionālās izglītības nozarē IZM nepieciešams sakārtot analizējamo datu kvalitāti.</w:t>
      </w:r>
    </w:p>
    <w:p w14:paraId="5532A575" w14:textId="77777777" w:rsidR="00D90DFF" w:rsidRPr="00D90DFF" w:rsidRDefault="00D90DFF" w:rsidP="00D90DFF">
      <w:pPr>
        <w:spacing w:after="120"/>
        <w:ind w:left="1069"/>
        <w:jc w:val="both"/>
        <w:rPr>
          <w:szCs w:val="22"/>
        </w:rPr>
      </w:pPr>
    </w:p>
    <w:p w14:paraId="130261A8" w14:textId="77777777" w:rsidR="00ED3BA3" w:rsidRDefault="00ED3BA3" w:rsidP="006A15ED">
      <w:pPr>
        <w:pStyle w:val="Heading3"/>
        <w:numPr>
          <w:ilvl w:val="2"/>
          <w:numId w:val="2"/>
        </w:numPr>
        <w:ind w:left="-142" w:firstLine="142"/>
      </w:pPr>
      <w:bookmarkStart w:id="140" w:name="_Toc48200653"/>
      <w:r>
        <w:t>Sporta nozares finansēšana</w:t>
      </w:r>
      <w:bookmarkEnd w:id="140"/>
    </w:p>
    <w:p w14:paraId="5D692FF0" w14:textId="77777777" w:rsidR="00241959" w:rsidRDefault="00241959" w:rsidP="00D1111B">
      <w:pPr>
        <w:spacing w:after="120"/>
        <w:ind w:firstLine="709"/>
        <w:jc w:val="both"/>
        <w:rPr>
          <w:rFonts w:cs="Times New Roman"/>
        </w:rPr>
      </w:pPr>
      <w:r>
        <w:rPr>
          <w:rFonts w:cs="Times New Roman"/>
        </w:rPr>
        <w:t>Sporta nozare ir viena no IZM pārraudzītajām nozarēm, kas bieži nonāk mediju dienaskārtībā gan saistībā ar finansējuma jautājumiem, gan organizatoriskām un strukturālām problēmām. Ņemot vērā izdevumu apjomu valsts budžeta programmas 09.00.00 “Sports” ietvaros, kā arī pieejamo informāciju par sporta nozarē iesaistītajām organizācijām, šajā sadaļā tiks apskatītas sporta nozares finansēšanas un pārvaldības tendences</w:t>
      </w:r>
    </w:p>
    <w:p w14:paraId="2760F616" w14:textId="77777777" w:rsidR="00241959" w:rsidRDefault="00241959" w:rsidP="00D1111B">
      <w:pPr>
        <w:spacing w:after="120"/>
        <w:jc w:val="both"/>
        <w:rPr>
          <w:rFonts w:cs="Times New Roman"/>
        </w:rPr>
      </w:pPr>
      <w:r>
        <w:rPr>
          <w:rFonts w:cs="Times New Roman"/>
          <w:b/>
          <w:i/>
        </w:rPr>
        <w:t>Sporta nozares kopsavilkums</w:t>
      </w:r>
    </w:p>
    <w:p w14:paraId="4DCD730C" w14:textId="77777777" w:rsidR="00241959" w:rsidRDefault="00241959" w:rsidP="00D1111B">
      <w:pPr>
        <w:spacing w:after="120"/>
        <w:ind w:firstLine="709"/>
        <w:jc w:val="both"/>
        <w:rPr>
          <w:rFonts w:cs="Times New Roman"/>
        </w:rPr>
      </w:pPr>
      <w:r>
        <w:rPr>
          <w:rFonts w:cs="Times New Roman"/>
        </w:rPr>
        <w:t>Lai saprastu šīs nozares funkcionalitāti, tika izveidota sporta nozares finansēšanas shēma (</w:t>
      </w:r>
      <w:r w:rsidR="003E501D">
        <w:rPr>
          <w:rFonts w:cs="Times New Roman"/>
        </w:rPr>
        <w:t>attēls nākamajā lapā</w:t>
      </w:r>
      <w:r>
        <w:rPr>
          <w:rFonts w:cs="Times New Roman"/>
        </w:rPr>
        <w:t xml:space="preserve">). Kopā tika identificēts 17 dažādu finansējuma sniedzēju vai saņēmēju kopums. Lai arī 2020. gada sporta nozares finansējums uz kopējā valsts budžeta apmēra fona ir neliels (nepilni 39 milj. </w:t>
      </w:r>
      <w:r>
        <w:rPr>
          <w:rFonts w:cs="Times New Roman"/>
          <w:i/>
        </w:rPr>
        <w:t>euro</w:t>
      </w:r>
      <w:r>
        <w:rPr>
          <w:rFonts w:cs="Times New Roman"/>
        </w:rPr>
        <w:t xml:space="preserve">), minētā shēma parāda šīs summas administrēšanas </w:t>
      </w:r>
      <w:r>
        <w:rPr>
          <w:rFonts w:cs="Times New Roman"/>
        </w:rPr>
        <w:lastRenderedPageBreak/>
        <w:t>sarežģītību. Tikai neliela daļa no shēmā attēlotajiem finansējuma virzieniem ir no citiem finansējuma avotiem, kā divus uzskatāmākos minot pašvaldību finansējumu un citu ministriju sniegto finansējumu sporta būvju uzturēšanai vai kāda sportista vai federācijas atbalstam.</w:t>
      </w:r>
    </w:p>
    <w:p w14:paraId="5DC37105" w14:textId="77777777" w:rsidR="00241959" w:rsidRDefault="00241959" w:rsidP="00D1111B">
      <w:pPr>
        <w:spacing w:after="120"/>
        <w:ind w:firstLine="709"/>
        <w:jc w:val="both"/>
        <w:rPr>
          <w:rFonts w:cs="Times New Roman"/>
        </w:rPr>
      </w:pPr>
      <w:r>
        <w:rPr>
          <w:rFonts w:cs="Times New Roman"/>
        </w:rPr>
        <w:t>Nenoliedzami visaktīvākā loma finansējuma plānošanā un sadalē ir IZM. Kā redzams sporta finansēšanas shēmā valsts budžeta finansējums, ko valsts budžeta programmas 09.00.00 “Sports” ietvaros administrē IZM, tiek novirzīts 12 dažādiem finansējuma saņēmēju veidiem, sākot ar IZM piederošām kapitālsabiedrībām un beidzot ar sporta skolām, kurās kopā ar pašvaldībām tiek finansētas treneru algas un nodokļu nomaksa. Tikmēr atsevišķu sporta veidu federācijas tiešā veidā finansējumu var saņemt no sešiem dažādiem avotiem un no trim dažādiem avotiem finansējums var tikt saņemts pastarpināti.</w:t>
      </w:r>
    </w:p>
    <w:p w14:paraId="2DD3A89B" w14:textId="7BF6186D" w:rsidR="00241959" w:rsidRDefault="00241959" w:rsidP="00D1111B">
      <w:pPr>
        <w:spacing w:after="120"/>
        <w:ind w:firstLine="709"/>
        <w:jc w:val="both"/>
        <w:rPr>
          <w:rFonts w:cs="Times New Roman"/>
        </w:rPr>
        <w:sectPr w:rsidR="00241959" w:rsidSect="00EE2B20">
          <w:footerReference w:type="default" r:id="rId59"/>
          <w:pgSz w:w="11906" w:h="16838"/>
          <w:pgMar w:top="1418" w:right="1134" w:bottom="1134" w:left="1701" w:header="709" w:footer="709" w:gutter="0"/>
          <w:cols w:space="708"/>
          <w:titlePg/>
          <w:docGrid w:linePitch="360"/>
        </w:sectPr>
      </w:pPr>
      <w:r>
        <w:rPr>
          <w:rFonts w:cs="Times New Roman"/>
        </w:rPr>
        <w:t>Liela nozīme tik sarežģītas shēmas esamībā ir tieši Latvijas sporta organizatoriskās pārvaldības struktūrai</w:t>
      </w:r>
      <w:r>
        <w:rPr>
          <w:rStyle w:val="FootnoteReference"/>
          <w:rFonts w:cs="Times New Roman"/>
        </w:rPr>
        <w:footnoteReference w:id="24"/>
      </w:r>
      <w:r>
        <w:rPr>
          <w:rFonts w:cs="Times New Roman"/>
        </w:rPr>
        <w:t xml:space="preserve">. Sporta politiku veido Latvijas Republikas Saeimas Izglītības, kultūras un zinātnes komisijas Sporta apakškomisija. Lēmumus pieņem MK, ar kuru vienā līmenī ir ministru prezidenta vadītā LNSP, kas apstiprina finansējuma sadalījumu valsts budžeta programmas 09.00.00 “Sports” apakšprogrammās, kā arī lemj par prēmiju piešķiršanu sportistiem, viņu treneriem un federācijām par augstvērtīgu rezultātu sasniegšanu. MK pakļautībā ir ne tikai nozari pārraugošā IZM, bet arī VM, LM, AiM, IeM, FM, TM un VARAM. VM padotībā ir augstu sasniegumu sportam tik būtiskā iestāde – Latvijas Antidopinga birojs. Divas IZM padotībā esošās iestādes (Latvijas Sporta muzejs un Murjāņu sporta ģimnāzija) finansējumu saņem no sporta budžeta, bet vēl viena iestāde, kas ietekmē sporta nozari (LSPA) tiek finansēta no valsts budžeta apakšprogrammas 03.01.00 “Augstākā izglītība” līdzekļiem. IZM pakļautībā ir arī četras kapitālsabiedrības (SIA “Bobsleja un kamaniņu trase “Sigulda””, VSIA “Kultūras un sporta centrs “Daugavas stadions””, SIA “Sporta centrs “Mežaparks”” un SIA “Tenisa centrs “Lielupe””). Kopā ar LOK un LSPA IZM ir akcionārs </w:t>
      </w:r>
      <w:r w:rsidR="00A97BBA">
        <w:rPr>
          <w:rFonts w:cs="Times New Roman"/>
        </w:rPr>
        <w:t>LOV</w:t>
      </w:r>
      <w:r>
        <w:rPr>
          <w:rFonts w:cs="Times New Roman"/>
        </w:rPr>
        <w:t>. Nevalstisko organizāciju skaitā ir LOK, LSFP, L</w:t>
      </w:r>
      <w:r w:rsidR="00A97BBA">
        <w:rPr>
          <w:rFonts w:cs="Times New Roman"/>
        </w:rPr>
        <w:t>atvijas Paralimpiskā komiteja</w:t>
      </w:r>
      <w:r>
        <w:rPr>
          <w:rFonts w:cs="Times New Roman"/>
        </w:rPr>
        <w:t>, LKS</w:t>
      </w:r>
      <w:r w:rsidR="00A97BBA">
        <w:rPr>
          <w:rFonts w:cs="Times New Roman"/>
        </w:rPr>
        <w:t>S</w:t>
      </w:r>
      <w:r>
        <w:rPr>
          <w:rFonts w:cs="Times New Roman"/>
        </w:rPr>
        <w:t xml:space="preserve">A un Latvijas Sporta izglītības iestāžu Direktoru padome. </w:t>
      </w:r>
    </w:p>
    <w:p w14:paraId="2BF80958" w14:textId="77777777" w:rsidR="00241959" w:rsidRDefault="00464044" w:rsidP="00241959">
      <w:pPr>
        <w:jc w:val="both"/>
        <w:rPr>
          <w:rFonts w:cs="Times New Roman"/>
        </w:rPr>
      </w:pPr>
      <w:r w:rsidRPr="00464044">
        <w:rPr>
          <w:rFonts w:cs="Times New Roman"/>
          <w:noProof/>
          <w:lang w:eastAsia="lv-LV"/>
        </w:rPr>
        <w:lastRenderedPageBreak/>
        <mc:AlternateContent>
          <mc:Choice Requires="wps">
            <w:drawing>
              <wp:anchor distT="45720" distB="45720" distL="114300" distR="114300" simplePos="0" relativeHeight="251669504" behindDoc="1" locked="0" layoutInCell="1" allowOverlap="1" wp14:anchorId="71C54ECE" wp14:editId="396D29F3">
                <wp:simplePos x="0" y="0"/>
                <wp:positionH relativeFrom="margin">
                  <wp:posOffset>3871595</wp:posOffset>
                </wp:positionH>
                <wp:positionV relativeFrom="paragraph">
                  <wp:posOffset>-784860</wp:posOffset>
                </wp:positionV>
                <wp:extent cx="4991100" cy="6858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685800"/>
                        </a:xfrm>
                        <a:prstGeom prst="rect">
                          <a:avLst/>
                        </a:prstGeom>
                        <a:solidFill>
                          <a:srgbClr val="FFFFFF"/>
                        </a:solidFill>
                        <a:ln w="9525">
                          <a:solidFill>
                            <a:schemeClr val="bg1"/>
                          </a:solidFill>
                          <a:miter lim="800000"/>
                          <a:headEnd/>
                          <a:tailEnd/>
                        </a:ln>
                      </wps:spPr>
                      <wps:txbx>
                        <w:txbxContent>
                          <w:p w14:paraId="50B79634" w14:textId="54A2FA32" w:rsidR="005E1561" w:rsidRPr="00464044" w:rsidRDefault="005E1561" w:rsidP="00464044">
                            <w:pPr>
                              <w:pStyle w:val="Caption"/>
                            </w:pPr>
                            <w:r w:rsidRPr="00464044">
                              <w:t xml:space="preserve">     Attēls Nr. </w:t>
                            </w:r>
                            <w:fldSimple w:instr=" SEQ Attēls_Nr. \* ARABIC ">
                              <w:r>
                                <w:rPr>
                                  <w:noProof/>
                                </w:rPr>
                                <w:t>47</w:t>
                              </w:r>
                            </w:fldSimple>
                          </w:p>
                          <w:p w14:paraId="2E0A20EF" w14:textId="77777777" w:rsidR="005E1561" w:rsidRPr="00464044" w:rsidRDefault="005E1561" w:rsidP="00464044">
                            <w:pPr>
                              <w:rPr>
                                <w:b/>
                              </w:rPr>
                            </w:pPr>
                            <w:r w:rsidRPr="00464044">
                              <w:rPr>
                                <w:b/>
                              </w:rPr>
                              <w:t>Finansēšanas shēma</w:t>
                            </w:r>
                          </w:p>
                          <w:p w14:paraId="559E34B5" w14:textId="77777777" w:rsidR="005E1561" w:rsidRDefault="005E1561" w:rsidP="00464044">
                            <w:pPr>
                              <w:keepN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C54ECE" id="_x0000_t202" coordsize="21600,21600" o:spt="202" path="m,l,21600r21600,l21600,xe">
                <v:stroke joinstyle="miter"/>
                <v:path gradientshapeok="t" o:connecttype="rect"/>
              </v:shapetype>
              <v:shape id="Text Box 2" o:spid="_x0000_s1026" type="#_x0000_t202" style="position:absolute;left:0;text-align:left;margin-left:304.85pt;margin-top:-61.8pt;width:393pt;height:54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" strokecolor="white [3212]">
                <v:textbox>
                  <w:txbxContent>
                    <w:p w14:paraId="50B79634" w14:textId="54A2FA32" w:rsidR="005E1561" w:rsidRPr="00464044" w:rsidRDefault="005E1561" w:rsidP="00464044">
                      <w:pPr>
                        <w:pStyle w:val="Caption"/>
                      </w:pPr>
                      <w:r w:rsidRPr="00464044">
                        <w:t xml:space="preserve">     Attēls Nr. </w:t>
                      </w:r>
                      <w:fldSimple w:instr=" SEQ Attēls_Nr. \* ARABIC ">
                        <w:r>
                          <w:rPr>
                            <w:noProof/>
                          </w:rPr>
                          <w:t>47</w:t>
                        </w:r>
                      </w:fldSimple>
                    </w:p>
                    <w:p w14:paraId="2E0A20EF" w14:textId="77777777" w:rsidR="005E1561" w:rsidRPr="00464044" w:rsidRDefault="005E1561" w:rsidP="00464044">
                      <w:pPr>
                        <w:rPr>
                          <w:b/>
                        </w:rPr>
                      </w:pPr>
                      <w:r w:rsidRPr="00464044">
                        <w:rPr>
                          <w:b/>
                        </w:rPr>
                        <w:t>Finansēšanas shēma</w:t>
                      </w:r>
                    </w:p>
                    <w:p w14:paraId="559E34B5" w14:textId="77777777" w:rsidR="005E1561" w:rsidRDefault="005E1561" w:rsidP="00464044">
                      <w:pPr>
                        <w:keepNext/>
                      </w:pPr>
                    </w:p>
                  </w:txbxContent>
                </v:textbox>
                <w10:wrap anchorx="margin"/>
              </v:shape>
            </w:pict>
          </mc:Fallback>
        </mc:AlternateContent>
      </w:r>
      <w:r>
        <w:rPr>
          <w:noProof/>
          <w:lang w:eastAsia="lv-LV"/>
        </w:rPr>
        <mc:AlternateContent>
          <mc:Choice Requires="wps">
            <w:drawing>
              <wp:anchor distT="0" distB="0" distL="114300" distR="114300" simplePos="0" relativeHeight="251671552" behindDoc="0" locked="0" layoutInCell="1" allowOverlap="1" wp14:anchorId="2BEF2585" wp14:editId="107F3BC8">
                <wp:simplePos x="0" y="0"/>
                <wp:positionH relativeFrom="column">
                  <wp:posOffset>2667000</wp:posOffset>
                </wp:positionH>
                <wp:positionV relativeFrom="paragraph">
                  <wp:posOffset>1198245</wp:posOffset>
                </wp:positionV>
                <wp:extent cx="3533775" cy="635"/>
                <wp:effectExtent l="0" t="0" r="0" b="0"/>
                <wp:wrapSquare wrapText="bothSides"/>
                <wp:docPr id="60" name="Text Box 60"/>
                <wp:cNvGraphicFramePr/>
                <a:graphic xmlns:a="http://schemas.openxmlformats.org/drawingml/2006/main">
                  <a:graphicData uri="http://schemas.microsoft.com/office/word/2010/wordprocessingShape">
                    <wps:wsp>
                      <wps:cNvSpPr txBox="1"/>
                      <wps:spPr>
                        <a:xfrm>
                          <a:off x="0" y="0"/>
                          <a:ext cx="3533775" cy="635"/>
                        </a:xfrm>
                        <a:prstGeom prst="rect">
                          <a:avLst/>
                        </a:prstGeom>
                        <a:solidFill>
                          <a:prstClr val="white"/>
                        </a:solidFill>
                        <a:ln>
                          <a:noFill/>
                        </a:ln>
                      </wps:spPr>
                      <wps:txbx>
                        <w:txbxContent>
                          <w:p w14:paraId="3C7B7C63" w14:textId="77777777" w:rsidR="005E1561" w:rsidRPr="0010693A" w:rsidRDefault="005E1561" w:rsidP="00DF0A9B">
                            <w:pPr>
                              <w:jc w:val="both"/>
                              <w:rPr>
                                <w:rFonts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EF2585" id="Text Box 60" o:spid="_x0000_s1027" type="#_x0000_t202" style="position:absolute;left:0;text-align:left;margin-left:210pt;margin-top:94.35pt;width:278.2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" stroked="f">
                <v:textbox style="mso-fit-shape-to-text:t" inset="0,0,0,0">
                  <w:txbxContent>
                    <w:p w14:paraId="3C7B7C63" w14:textId="77777777" w:rsidR="005E1561" w:rsidRPr="0010693A" w:rsidRDefault="005E1561" w:rsidP="00DF0A9B">
                      <w:pPr>
                        <w:jc w:val="both"/>
                        <w:rPr>
                          <w:rFonts w:cs="Times New Roman"/>
                          <w:noProof/>
                        </w:rPr>
                      </w:pPr>
                    </w:p>
                  </w:txbxContent>
                </v:textbox>
                <w10:wrap type="square"/>
              </v:shape>
            </w:pict>
          </mc:Fallback>
        </mc:AlternateContent>
      </w:r>
      <w:r w:rsidR="00241959">
        <w:rPr>
          <w:noProof/>
          <w:lang w:eastAsia="lv-LV"/>
        </w:rPr>
        <w:drawing>
          <wp:inline distT="0" distB="0" distL="0" distR="0" wp14:anchorId="7C2520AC" wp14:editId="37636F74">
            <wp:extent cx="8722581" cy="6054213"/>
            <wp:effectExtent l="0" t="0" r="254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28A0092B-C50C-407E-A947-70E740481C1C}">
                          <a14:useLocalDpi xmlns:a14="http://schemas.microsoft.com/office/drawing/2010/main" val="0"/>
                        </a:ext>
                      </a:extLst>
                    </a:blip>
                    <a:srcRect t="776" r="900" b="1978"/>
                    <a:stretch/>
                  </pic:blipFill>
                  <pic:spPr bwMode="auto">
                    <a:xfrm>
                      <a:off x="0" y="0"/>
                      <a:ext cx="8722581" cy="6054213"/>
                    </a:xfrm>
                    <a:prstGeom prst="rect">
                      <a:avLst/>
                    </a:prstGeom>
                    <a:ln>
                      <a:noFill/>
                    </a:ln>
                    <a:extLst>
                      <a:ext uri="{53640926-AAD7-44D8-BBD7-CCE9431645EC}">
                        <a14:shadowObscured xmlns:a14="http://schemas.microsoft.com/office/drawing/2010/main"/>
                      </a:ext>
                    </a:extLst>
                  </pic:spPr>
                </pic:pic>
              </a:graphicData>
            </a:graphic>
          </wp:inline>
        </w:drawing>
      </w:r>
    </w:p>
    <w:p w14:paraId="658B2FEF" w14:textId="77777777" w:rsidR="00241959" w:rsidRDefault="00241959" w:rsidP="00241959">
      <w:pPr>
        <w:jc w:val="both"/>
        <w:rPr>
          <w:rFonts w:cs="Times New Roman"/>
        </w:rPr>
        <w:sectPr w:rsidR="00241959" w:rsidSect="00241959">
          <w:pgSz w:w="16838" w:h="11906" w:orient="landscape" w:code="9"/>
          <w:pgMar w:top="1701" w:right="1418" w:bottom="1418" w:left="1418" w:header="709" w:footer="709" w:gutter="0"/>
          <w:cols w:space="708"/>
          <w:docGrid w:linePitch="360"/>
        </w:sectPr>
      </w:pPr>
    </w:p>
    <w:p w14:paraId="27BAE228" w14:textId="77777777" w:rsidR="00241959" w:rsidRPr="00241959" w:rsidRDefault="00241959" w:rsidP="00464044">
      <w:pPr>
        <w:spacing w:after="120"/>
        <w:jc w:val="both"/>
        <w:rPr>
          <w:rFonts w:cs="Times New Roman"/>
        </w:rPr>
      </w:pPr>
      <w:r w:rsidRPr="00241959">
        <w:rPr>
          <w:rFonts w:cs="Times New Roman"/>
          <w:b/>
          <w:i/>
        </w:rPr>
        <w:lastRenderedPageBreak/>
        <w:t>Programmas 09.00.00 “Sports” finansējums</w:t>
      </w:r>
    </w:p>
    <w:p w14:paraId="4782D573" w14:textId="1182A27A" w:rsidR="00241959" w:rsidRPr="00241959" w:rsidRDefault="00241959" w:rsidP="00464044">
      <w:pPr>
        <w:spacing w:after="120"/>
        <w:ind w:firstLine="709"/>
        <w:jc w:val="both"/>
        <w:rPr>
          <w:rFonts w:cs="Times New Roman"/>
        </w:rPr>
      </w:pPr>
      <w:r w:rsidRPr="00241959">
        <w:rPr>
          <w:rFonts w:cs="Times New Roman"/>
        </w:rPr>
        <w:t xml:space="preserve">2020. gadā šajā valsts budžeta programmā finansējums paredzēts 11 budžeta apakšprogrammās, sadalot 38,8 milj. </w:t>
      </w:r>
      <w:r w:rsidRPr="00241959">
        <w:rPr>
          <w:rFonts w:cs="Times New Roman"/>
          <w:i/>
        </w:rPr>
        <w:t>euro</w:t>
      </w:r>
      <w:r w:rsidRPr="00241959">
        <w:rPr>
          <w:rFonts w:cs="Times New Roman"/>
        </w:rPr>
        <w:t xml:space="preserve"> (</w:t>
      </w:r>
      <w:r w:rsidRPr="00241959">
        <w:rPr>
          <w:rFonts w:cs="Times New Roman"/>
        </w:rPr>
        <w:fldChar w:fldCharType="begin"/>
      </w:r>
      <w:r w:rsidRPr="00241959">
        <w:rPr>
          <w:rFonts w:cs="Times New Roman"/>
        </w:rPr>
        <w:instrText xml:space="preserve"> REF _Ref42949342 \h  \* MERGEFORMAT </w:instrText>
      </w:r>
      <w:r w:rsidRPr="00241959">
        <w:rPr>
          <w:rFonts w:cs="Times New Roman"/>
        </w:rPr>
      </w:r>
      <w:r w:rsidRPr="00241959">
        <w:rPr>
          <w:rFonts w:cs="Times New Roman"/>
        </w:rPr>
        <w:fldChar w:fldCharType="separate"/>
      </w:r>
      <w:r w:rsidR="00D96F20" w:rsidRPr="00D96F20">
        <w:rPr>
          <w:rFonts w:cs="Times New Roman"/>
        </w:rPr>
        <w:t xml:space="preserve">Attēls Nr. </w:t>
      </w:r>
      <w:r w:rsidR="00D96F20" w:rsidRPr="00D96F20">
        <w:rPr>
          <w:rFonts w:cs="Times New Roman"/>
          <w:noProof/>
        </w:rPr>
        <w:t>48</w:t>
      </w:r>
      <w:r w:rsidRPr="00241959">
        <w:rPr>
          <w:rFonts w:cs="Times New Roman"/>
        </w:rPr>
        <w:fldChar w:fldCharType="end"/>
      </w:r>
      <w:r w:rsidRPr="00241959">
        <w:rPr>
          <w:rFonts w:cs="Times New Roman"/>
        </w:rPr>
        <w:t xml:space="preserve">). No visa finansējuma 41% jeb 16 milj. </w:t>
      </w:r>
      <w:r w:rsidRPr="00241959">
        <w:rPr>
          <w:rFonts w:cs="Times New Roman"/>
          <w:i/>
        </w:rPr>
        <w:t>euro</w:t>
      </w:r>
      <w:r w:rsidRPr="00241959">
        <w:rPr>
          <w:rFonts w:cs="Times New Roman"/>
        </w:rPr>
        <w:t xml:space="preserve"> tiek novirzīts kā līdzfinansējums profesionālās ievirzes sporta izglītības programmu pedagogu darba samaksai un valsts sociālās apdrošināšanas obligātajām iemaksām. Finansējums, kas lielāks par 5 milj. </w:t>
      </w:r>
      <w:r w:rsidRPr="00241959">
        <w:rPr>
          <w:rFonts w:cs="Times New Roman"/>
          <w:i/>
        </w:rPr>
        <w:t>euro</w:t>
      </w:r>
      <w:r w:rsidRPr="00241959">
        <w:rPr>
          <w:rFonts w:cs="Times New Roman"/>
        </w:rPr>
        <w:t xml:space="preserve"> tiek novirzīts gan augstas klases sasniegumu sportam, gan sporta būvēm.</w:t>
      </w:r>
    </w:p>
    <w:p w14:paraId="01436A1C" w14:textId="4137E03F" w:rsidR="00241959" w:rsidRPr="00241959" w:rsidRDefault="00241959" w:rsidP="00241959">
      <w:pPr>
        <w:spacing w:after="200" w:line="240" w:lineRule="auto"/>
        <w:jc w:val="right"/>
        <w:rPr>
          <w:rFonts w:cs="Times New Roman"/>
          <w:iCs/>
        </w:rPr>
      </w:pPr>
      <w:bookmarkStart w:id="141" w:name="_Ref42949342"/>
      <w:r w:rsidRPr="00241959">
        <w:rPr>
          <w:rFonts w:cs="Times New Roman"/>
          <w:iCs/>
        </w:rPr>
        <w:t xml:space="preserve">Attēls Nr. </w:t>
      </w:r>
      <w:r w:rsidRPr="00241959">
        <w:rPr>
          <w:rFonts w:cs="Times New Roman"/>
          <w:iCs/>
        </w:rPr>
        <w:fldChar w:fldCharType="begin"/>
      </w:r>
      <w:r w:rsidRPr="00241959">
        <w:rPr>
          <w:rFonts w:cs="Times New Roman"/>
          <w:iCs/>
        </w:rPr>
        <w:instrText xml:space="preserve"> SEQ Attēls_Nr. \* ARABIC </w:instrText>
      </w:r>
      <w:r w:rsidRPr="00241959">
        <w:rPr>
          <w:rFonts w:cs="Times New Roman"/>
          <w:iCs/>
        </w:rPr>
        <w:fldChar w:fldCharType="separate"/>
      </w:r>
      <w:r w:rsidR="00D96F20">
        <w:rPr>
          <w:rFonts w:cs="Times New Roman"/>
          <w:iCs/>
          <w:noProof/>
        </w:rPr>
        <w:t>48</w:t>
      </w:r>
      <w:r w:rsidRPr="00241959">
        <w:rPr>
          <w:rFonts w:cs="Times New Roman"/>
          <w:iCs/>
        </w:rPr>
        <w:fldChar w:fldCharType="end"/>
      </w:r>
      <w:bookmarkEnd w:id="141"/>
    </w:p>
    <w:p w14:paraId="124A52AC" w14:textId="77777777" w:rsidR="00241959" w:rsidRPr="00241959" w:rsidRDefault="00241959" w:rsidP="00241959">
      <w:pPr>
        <w:spacing w:line="240" w:lineRule="auto"/>
        <w:jc w:val="center"/>
        <w:rPr>
          <w:rFonts w:cs="Times New Roman"/>
          <w:szCs w:val="22"/>
        </w:rPr>
      </w:pPr>
      <w:r w:rsidRPr="00241959">
        <w:rPr>
          <w:rFonts w:cs="Times New Roman"/>
          <w:b/>
          <w:szCs w:val="22"/>
        </w:rPr>
        <w:t xml:space="preserve">Valsts budžeta finansējums pa programmas 09.00.00 “Sports” apakšprogrammām 2020. gadā, milj. </w:t>
      </w:r>
      <w:r w:rsidRPr="00241959">
        <w:rPr>
          <w:rFonts w:cs="Times New Roman"/>
          <w:b/>
          <w:i/>
          <w:szCs w:val="22"/>
        </w:rPr>
        <w:t>euro</w:t>
      </w:r>
    </w:p>
    <w:p w14:paraId="48524130" w14:textId="77777777" w:rsidR="00241959" w:rsidRPr="00241959" w:rsidRDefault="00241959" w:rsidP="00241959">
      <w:pPr>
        <w:jc w:val="center"/>
        <w:rPr>
          <w:rFonts w:cs="Times New Roman"/>
          <w:sz w:val="22"/>
          <w:szCs w:val="22"/>
        </w:rPr>
      </w:pPr>
      <w:r w:rsidRPr="00241959">
        <w:rPr>
          <w:rFonts w:cs="Times New Roman"/>
          <w:noProof/>
          <w:sz w:val="22"/>
          <w:szCs w:val="22"/>
          <w:lang w:eastAsia="lv-LV"/>
        </w:rPr>
        <w:drawing>
          <wp:inline distT="0" distB="0" distL="0" distR="0" wp14:anchorId="7CB7907A" wp14:editId="292E8245">
            <wp:extent cx="5508376" cy="296232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19048" cy="2968066"/>
                    </a:xfrm>
                    <a:prstGeom prst="rect">
                      <a:avLst/>
                    </a:prstGeom>
                    <a:noFill/>
                  </pic:spPr>
                </pic:pic>
              </a:graphicData>
            </a:graphic>
          </wp:inline>
        </w:drawing>
      </w:r>
    </w:p>
    <w:p w14:paraId="169BB654" w14:textId="77777777" w:rsidR="00241959" w:rsidRPr="00241959" w:rsidRDefault="00241959" w:rsidP="00464044">
      <w:pPr>
        <w:spacing w:after="120"/>
        <w:ind w:firstLine="709"/>
        <w:jc w:val="both"/>
        <w:rPr>
          <w:rFonts w:cs="Times New Roman"/>
        </w:rPr>
      </w:pPr>
      <w:r w:rsidRPr="00241959">
        <w:rPr>
          <w:rFonts w:cs="Times New Roman"/>
        </w:rPr>
        <w:t xml:space="preserve">Finansiāli ietilpīgākā sporta nozares valsts budžeta apakšprogramma paredz līdzfinansējuma piešķiršanu sporta skolām, kas ir tikai daļa no šīm iestādēm nepieciešamā finansējuma. Saskaņā ar IZM datiem pašvaldību finansējums sporta skolu funkcionēšanas nodrošināšanai ir 62% jeb nepilni 25 milj. </w:t>
      </w:r>
      <w:r w:rsidRPr="00241959">
        <w:rPr>
          <w:rFonts w:cs="Times New Roman"/>
          <w:i/>
        </w:rPr>
        <w:t>euro</w:t>
      </w:r>
      <w:r w:rsidRPr="00241959">
        <w:rPr>
          <w:rFonts w:cs="Times New Roman"/>
        </w:rPr>
        <w:t xml:space="preserve">. Arī sporta finansēšanas shēmā šī valsts budžeta apakšprogramma minama tikai pie viena naudas plūsmas virziena – finansējums no IZM ar konkrētu mērķi tiek novirzīts sporta skolām. Lai arī šī līdzfinansējuma apjoms ir palielinājies no 5,5 milj. </w:t>
      </w:r>
      <w:r w:rsidRPr="00241959">
        <w:rPr>
          <w:rFonts w:cs="Times New Roman"/>
          <w:i/>
        </w:rPr>
        <w:t>euro</w:t>
      </w:r>
      <w:r w:rsidRPr="00241959">
        <w:rPr>
          <w:rFonts w:cs="Times New Roman"/>
        </w:rPr>
        <w:t xml:space="preserve"> 2013. gada valsts budžetā līdz 16,1 milj. </w:t>
      </w:r>
      <w:r w:rsidRPr="00241959">
        <w:rPr>
          <w:rFonts w:cs="Times New Roman"/>
          <w:i/>
        </w:rPr>
        <w:t>euro</w:t>
      </w:r>
      <w:r w:rsidRPr="00241959">
        <w:rPr>
          <w:rFonts w:cs="Times New Roman"/>
        </w:rPr>
        <w:t xml:space="preserve"> 2020. gada un turpmāko divu gadu budžeta plānā, tas izskaidrojams arī ar darba samaksas pieaugumu sporta skolu treneriem. Tajā pašā laikā analizējama izlietotā finansējuma efektivitāte, sporta skolu treneru noslodze un nodarbības apmeklējušo bērnu un jauniešu skaits. Šis ir viens no jautājumiem, ko IZM skata izveidotajā Sporta nozares darba grupā, vērtējot gan nodarbību apmeklētības statistiku, gan pārskatot minimālo bērnu un jauniešu skaitu treniņu grupas nodrošināšanai, tādējādi mazinot iespēju veidot mazskaitlīgas grupas, kurās nav finansiāli lietderīgi nodrošināt treneru darbu un kuras arī neļauj nodrošināt attiecīgā sporta veida specifikai atbilstošus treniņu apstākļus.</w:t>
      </w:r>
    </w:p>
    <w:p w14:paraId="6EAE7540" w14:textId="77777777" w:rsidR="00241959" w:rsidRPr="00241959" w:rsidRDefault="00241959" w:rsidP="00464044">
      <w:pPr>
        <w:spacing w:after="120"/>
        <w:ind w:firstLine="709"/>
        <w:jc w:val="both"/>
        <w:rPr>
          <w:rFonts w:cs="Times New Roman"/>
        </w:rPr>
      </w:pPr>
      <w:r w:rsidRPr="00241959">
        <w:rPr>
          <w:rFonts w:cs="Times New Roman"/>
        </w:rPr>
        <w:t xml:space="preserve">Viena no budžeta apakšprogrammām, ko paredz pārskatīt iepriekšminētā IZM darba grupa, ir 09.21.00 “Augstas klases sasniegumu sports”. IZM ieskatā ir jāpārskata definīcija, nosakot, kas tiek saprasts ar augstas klases sasniegumu sportu. Tā rezultātā varētu arī tikt pārskatīts piešķiramā finansējuma apjoms atsevišķu sporta veidu federācijām. Potenciālas reformas šajā budžeta apakšprogrammā ieskicē arī fakts, ka 2020. gada plānotie izdevumi ir 7,4 </w:t>
      </w:r>
      <w:r w:rsidRPr="00241959">
        <w:rPr>
          <w:rFonts w:cs="Times New Roman"/>
        </w:rPr>
        <w:lastRenderedPageBreak/>
        <w:t xml:space="preserve">milj. </w:t>
      </w:r>
      <w:r w:rsidRPr="00241959">
        <w:rPr>
          <w:rFonts w:cs="Times New Roman"/>
          <w:i/>
        </w:rPr>
        <w:t>euro</w:t>
      </w:r>
      <w:r w:rsidRPr="00241959">
        <w:rPr>
          <w:rFonts w:cs="Times New Roman"/>
        </w:rPr>
        <w:t xml:space="preserve">, bet nākošo divu gadu plāns paredz 5,8 milj. </w:t>
      </w:r>
      <w:r w:rsidRPr="00241959">
        <w:rPr>
          <w:rFonts w:cs="Times New Roman"/>
          <w:i/>
        </w:rPr>
        <w:t>euro</w:t>
      </w:r>
      <w:r w:rsidRPr="00241959">
        <w:rPr>
          <w:rFonts w:cs="Times New Roman"/>
        </w:rPr>
        <w:t xml:space="preserve"> ik gadu. Saskaņā ar LNSP 2020. gada 23. janvāra sēdes protokolu Nr. 1</w:t>
      </w:r>
      <w:r w:rsidRPr="00241959">
        <w:rPr>
          <w:rFonts w:cs="Times New Roman"/>
          <w:vertAlign w:val="superscript"/>
        </w:rPr>
        <w:footnoteReference w:id="25"/>
      </w:r>
      <w:r w:rsidRPr="00241959">
        <w:rPr>
          <w:rFonts w:cs="Times New Roman"/>
        </w:rPr>
        <w:t xml:space="preserve"> (turpmāk – LNSP protokols Nr. 1) šīs apakšprogrammas finansējums galvenokārt tiek novirzīts trim lieliem finansējuma saņēmējiem: </w:t>
      </w:r>
    </w:p>
    <w:p w14:paraId="35D5160E" w14:textId="77777777" w:rsidR="00241959" w:rsidRPr="00241959" w:rsidRDefault="00241959" w:rsidP="006A15ED">
      <w:pPr>
        <w:numPr>
          <w:ilvl w:val="0"/>
          <w:numId w:val="24"/>
        </w:numPr>
        <w:spacing w:after="120"/>
        <w:ind w:left="1134"/>
        <w:jc w:val="both"/>
        <w:rPr>
          <w:rFonts w:eastAsia="Times New Roman" w:cs="Times New Roman"/>
          <w:lang w:eastAsia="lv-LV"/>
        </w:rPr>
      </w:pPr>
      <w:r w:rsidRPr="00241959">
        <w:rPr>
          <w:rFonts w:eastAsia="Times New Roman" w:cs="Times New Roman"/>
          <w:lang w:eastAsia="lv-LV"/>
        </w:rPr>
        <w:t xml:space="preserve">2,6 milj. </w:t>
      </w:r>
      <w:r w:rsidRPr="00241959">
        <w:rPr>
          <w:rFonts w:eastAsia="Times New Roman" w:cs="Times New Roman"/>
          <w:i/>
          <w:lang w:eastAsia="lv-LV"/>
        </w:rPr>
        <w:t>euro</w:t>
      </w:r>
      <w:r w:rsidRPr="00241959">
        <w:rPr>
          <w:rFonts w:eastAsia="Times New Roman" w:cs="Times New Roman"/>
          <w:lang w:eastAsia="lv-LV"/>
        </w:rPr>
        <w:t xml:space="preserve"> saņem LOV, kas galvenokārt rūpējas par medicīniskā atbalsta sniegšanu vadošajiem sportistiem; </w:t>
      </w:r>
    </w:p>
    <w:p w14:paraId="4ABBF007" w14:textId="77777777" w:rsidR="00241959" w:rsidRPr="00241959" w:rsidRDefault="00241959" w:rsidP="006A15ED">
      <w:pPr>
        <w:numPr>
          <w:ilvl w:val="0"/>
          <w:numId w:val="24"/>
        </w:numPr>
        <w:spacing w:after="120"/>
        <w:ind w:left="1134"/>
        <w:jc w:val="both"/>
        <w:rPr>
          <w:rFonts w:eastAsia="Times New Roman" w:cs="Times New Roman"/>
          <w:lang w:eastAsia="lv-LV"/>
        </w:rPr>
      </w:pPr>
      <w:r w:rsidRPr="00241959">
        <w:rPr>
          <w:rFonts w:eastAsia="Times New Roman" w:cs="Times New Roman"/>
          <w:lang w:eastAsia="lv-LV"/>
        </w:rPr>
        <w:t xml:space="preserve">2,5 milj. </w:t>
      </w:r>
      <w:r w:rsidRPr="00241959">
        <w:rPr>
          <w:rFonts w:eastAsia="Times New Roman" w:cs="Times New Roman"/>
          <w:i/>
          <w:lang w:eastAsia="lv-LV"/>
        </w:rPr>
        <w:t>euro</w:t>
      </w:r>
      <w:r w:rsidRPr="00241959">
        <w:rPr>
          <w:rFonts w:eastAsia="Times New Roman" w:cs="Times New Roman"/>
          <w:lang w:eastAsia="lv-LV"/>
        </w:rPr>
        <w:t xml:space="preserve"> saņem nodibinājums “Latvijas Olimpiešu sociālais fonds”, kas nodrošina sociālās palīdzības sniegšanu sporta veterāniem, kas izcīnījuši medaļas olimpiskajās spēlēs vai sasnieguši citus starptautiski augstvērtīgus rezultātus; </w:t>
      </w:r>
    </w:p>
    <w:p w14:paraId="26F40753" w14:textId="77777777" w:rsidR="00241959" w:rsidRPr="00241959" w:rsidRDefault="00241959" w:rsidP="006A15ED">
      <w:pPr>
        <w:numPr>
          <w:ilvl w:val="0"/>
          <w:numId w:val="24"/>
        </w:numPr>
        <w:spacing w:after="120"/>
        <w:ind w:left="1134"/>
        <w:jc w:val="both"/>
        <w:rPr>
          <w:rFonts w:eastAsia="Times New Roman" w:cs="Times New Roman"/>
          <w:lang w:eastAsia="lv-LV"/>
        </w:rPr>
      </w:pPr>
      <w:r w:rsidRPr="00241959">
        <w:rPr>
          <w:rFonts w:eastAsia="Times New Roman" w:cs="Times New Roman"/>
          <w:lang w:eastAsia="lv-LV"/>
        </w:rPr>
        <w:t xml:space="preserve">2,1 milj. </w:t>
      </w:r>
      <w:r w:rsidRPr="00241959">
        <w:rPr>
          <w:rFonts w:eastAsia="Times New Roman" w:cs="Times New Roman"/>
          <w:i/>
          <w:lang w:eastAsia="lv-LV"/>
        </w:rPr>
        <w:t>euro</w:t>
      </w:r>
      <w:r w:rsidRPr="00241959">
        <w:rPr>
          <w:rFonts w:eastAsia="Times New Roman" w:cs="Times New Roman"/>
          <w:lang w:eastAsia="lv-LV"/>
        </w:rPr>
        <w:t xml:space="preserve"> piešķirts LOK; </w:t>
      </w:r>
    </w:p>
    <w:p w14:paraId="7AC9B944" w14:textId="77777777" w:rsidR="00241959" w:rsidRPr="00241959" w:rsidRDefault="00241959" w:rsidP="006A15ED">
      <w:pPr>
        <w:numPr>
          <w:ilvl w:val="0"/>
          <w:numId w:val="24"/>
        </w:numPr>
        <w:spacing w:after="120"/>
        <w:ind w:left="1134" w:hanging="357"/>
        <w:jc w:val="both"/>
        <w:rPr>
          <w:rFonts w:eastAsia="Times New Roman" w:cs="Times New Roman"/>
          <w:lang w:eastAsia="lv-LV"/>
        </w:rPr>
      </w:pPr>
      <w:r w:rsidRPr="00241959">
        <w:rPr>
          <w:rFonts w:eastAsia="Times New Roman" w:cs="Times New Roman"/>
          <w:lang w:eastAsia="lv-LV"/>
        </w:rPr>
        <w:t xml:space="preserve">savukārt atlikušais finansējums (0,2 milj. </w:t>
      </w:r>
      <w:r w:rsidRPr="00241959">
        <w:rPr>
          <w:rFonts w:eastAsia="Times New Roman" w:cs="Times New Roman"/>
          <w:i/>
          <w:lang w:eastAsia="lv-LV"/>
        </w:rPr>
        <w:t>euro</w:t>
      </w:r>
      <w:r w:rsidRPr="00241959">
        <w:rPr>
          <w:rFonts w:eastAsia="Times New Roman" w:cs="Times New Roman"/>
          <w:lang w:eastAsia="lv-LV"/>
        </w:rPr>
        <w:t>) iedalīts četrām pašvaldībām augstas klases sportistu sagatavošanas centru darbības nodrošināšanai.</w:t>
      </w:r>
    </w:p>
    <w:p w14:paraId="27D555CC" w14:textId="2244A068" w:rsidR="00241959" w:rsidRPr="00241959" w:rsidRDefault="00241959" w:rsidP="00464044">
      <w:pPr>
        <w:spacing w:after="120"/>
        <w:ind w:firstLine="709"/>
        <w:jc w:val="both"/>
        <w:rPr>
          <w:rFonts w:cs="Times New Roman"/>
        </w:rPr>
      </w:pPr>
      <w:r w:rsidRPr="00241959">
        <w:rPr>
          <w:rFonts w:cs="Times New Roman"/>
        </w:rPr>
        <w:t>Īpaši liela dinamika novērojama izdevumos budžeta apakšprogrammā 09.04.00 “Sporta būves”. Desmit gadu periodā izdevumi svārstās no 0,6 milj</w:t>
      </w:r>
      <w:r w:rsidR="001E7155">
        <w:rPr>
          <w:rFonts w:cs="Times New Roman"/>
        </w:rPr>
        <w:t>.</w:t>
      </w:r>
      <w:r w:rsidRPr="00241959">
        <w:rPr>
          <w:rFonts w:cs="Times New Roman"/>
        </w:rPr>
        <w:t xml:space="preserve"> </w:t>
      </w:r>
      <w:r w:rsidRPr="00241959">
        <w:rPr>
          <w:rFonts w:cs="Times New Roman"/>
          <w:i/>
        </w:rPr>
        <w:t>euro</w:t>
      </w:r>
      <w:r w:rsidRPr="00241959">
        <w:rPr>
          <w:rFonts w:cs="Times New Roman"/>
        </w:rPr>
        <w:t xml:space="preserve"> līdz pat 19,4 milj. </w:t>
      </w:r>
      <w:r w:rsidRPr="00241959">
        <w:rPr>
          <w:rFonts w:cs="Times New Roman"/>
          <w:i/>
        </w:rPr>
        <w:t>euro</w:t>
      </w:r>
      <w:r w:rsidRPr="00241959">
        <w:rPr>
          <w:rFonts w:cs="Times New Roman"/>
        </w:rPr>
        <w:t xml:space="preserve"> (</w:t>
      </w:r>
      <w:r w:rsidRPr="00241959">
        <w:rPr>
          <w:rFonts w:cs="Times New Roman"/>
        </w:rPr>
        <w:fldChar w:fldCharType="begin"/>
      </w:r>
      <w:r w:rsidRPr="00241959">
        <w:rPr>
          <w:rFonts w:cs="Times New Roman"/>
        </w:rPr>
        <w:instrText xml:space="preserve"> REF _Ref43199060 \h  \* MERGEFORMAT </w:instrText>
      </w:r>
      <w:r w:rsidRPr="00241959">
        <w:rPr>
          <w:rFonts w:cs="Times New Roman"/>
        </w:rPr>
      </w:r>
      <w:r w:rsidRPr="00241959">
        <w:rPr>
          <w:rFonts w:cs="Times New Roman"/>
        </w:rPr>
        <w:fldChar w:fldCharType="separate"/>
      </w:r>
      <w:r w:rsidR="00D96F20" w:rsidRPr="00D96F20">
        <w:rPr>
          <w:rFonts w:cs="Times New Roman"/>
        </w:rPr>
        <w:t xml:space="preserve">Attēls Nr. </w:t>
      </w:r>
      <w:r w:rsidR="00D96F20" w:rsidRPr="00D96F20">
        <w:rPr>
          <w:rFonts w:cs="Times New Roman"/>
          <w:noProof/>
        </w:rPr>
        <w:t>49</w:t>
      </w:r>
      <w:r w:rsidRPr="00241959">
        <w:rPr>
          <w:rFonts w:cs="Times New Roman"/>
        </w:rPr>
        <w:fldChar w:fldCharType="end"/>
      </w:r>
      <w:r w:rsidRPr="00241959">
        <w:rPr>
          <w:rFonts w:cs="Times New Roman"/>
        </w:rPr>
        <w:t xml:space="preserve">). Redzams, ka īpaši izceļams ir 2017. un 2018. gadā piešķirtais finansējums, kas ir būtiski augstāks nekā pārējo gadu vidēji apgūtais finansējums sporta infrastruktūras celtniecībai un uzturēšanai. Apstiprinot šīs budžeta apakšprogrammas finansējumu 2020. gadam, LNSP protokolā Nr. 1 redzams, ka 627 957 tūkst. </w:t>
      </w:r>
      <w:r w:rsidRPr="00241959">
        <w:rPr>
          <w:rFonts w:cs="Times New Roman"/>
          <w:i/>
        </w:rPr>
        <w:t>euro</w:t>
      </w:r>
      <w:r w:rsidRPr="00241959">
        <w:rPr>
          <w:rFonts w:cs="Times New Roman"/>
        </w:rPr>
        <w:t xml:space="preserve"> paredzēti piecu valsts īpašumā esošo nacionālo sporta bāzu saimnieciskās darbības nodrošināšanai. 2020. gadā no šīs apakšprogrammas 2,5 milj. </w:t>
      </w:r>
      <w:r w:rsidRPr="00241959">
        <w:rPr>
          <w:rFonts w:cs="Times New Roman"/>
          <w:i/>
        </w:rPr>
        <w:t>euro</w:t>
      </w:r>
      <w:r w:rsidRPr="00241959">
        <w:rPr>
          <w:rFonts w:cs="Times New Roman"/>
        </w:rPr>
        <w:t xml:space="preserve"> ir atvēlēti atsevišķu sporta būvju celtniecībai, savukārt vēl 2,6 milj. </w:t>
      </w:r>
      <w:r w:rsidRPr="00241959">
        <w:rPr>
          <w:rFonts w:cs="Times New Roman"/>
          <w:i/>
        </w:rPr>
        <w:t>euro</w:t>
      </w:r>
      <w:r w:rsidRPr="00241959">
        <w:rPr>
          <w:rFonts w:cs="Times New Roman"/>
        </w:rPr>
        <w:t xml:space="preserve"> ir rezervēti papildus investīcijām sporta būvju projektu attīstīšanai, finansējumu konkrētiem projektiem novirzot ar atsevišķu MK rīkojumu.</w:t>
      </w:r>
    </w:p>
    <w:p w14:paraId="3E4942C2" w14:textId="09B29C5D" w:rsidR="00241959" w:rsidRPr="00241959" w:rsidRDefault="00241959" w:rsidP="00241959">
      <w:pPr>
        <w:spacing w:after="200" w:line="240" w:lineRule="auto"/>
        <w:jc w:val="right"/>
        <w:rPr>
          <w:rFonts w:cs="Times New Roman"/>
          <w:iCs/>
        </w:rPr>
      </w:pPr>
      <w:bookmarkStart w:id="142" w:name="_Ref43199060"/>
      <w:r w:rsidRPr="00241959">
        <w:rPr>
          <w:rFonts w:cs="Times New Roman"/>
          <w:iCs/>
        </w:rPr>
        <w:t xml:space="preserve">Attēls Nr. </w:t>
      </w:r>
      <w:r w:rsidRPr="00241959">
        <w:rPr>
          <w:rFonts w:cs="Times New Roman"/>
          <w:iCs/>
        </w:rPr>
        <w:fldChar w:fldCharType="begin"/>
      </w:r>
      <w:r w:rsidRPr="00241959">
        <w:rPr>
          <w:rFonts w:cs="Times New Roman"/>
          <w:iCs/>
        </w:rPr>
        <w:instrText xml:space="preserve"> SEQ Attēls_Nr. \* ARABIC </w:instrText>
      </w:r>
      <w:r w:rsidRPr="00241959">
        <w:rPr>
          <w:rFonts w:cs="Times New Roman"/>
          <w:iCs/>
        </w:rPr>
        <w:fldChar w:fldCharType="separate"/>
      </w:r>
      <w:r w:rsidR="00D96F20">
        <w:rPr>
          <w:rFonts w:cs="Times New Roman"/>
          <w:iCs/>
          <w:noProof/>
        </w:rPr>
        <w:t>49</w:t>
      </w:r>
      <w:r w:rsidRPr="00241959">
        <w:rPr>
          <w:rFonts w:cs="Times New Roman"/>
          <w:iCs/>
        </w:rPr>
        <w:fldChar w:fldCharType="end"/>
      </w:r>
      <w:bookmarkEnd w:id="142"/>
    </w:p>
    <w:p w14:paraId="1B92E98A" w14:textId="77777777" w:rsidR="00241959" w:rsidRPr="00241959" w:rsidRDefault="00241959" w:rsidP="00241959">
      <w:pPr>
        <w:spacing w:line="240" w:lineRule="auto"/>
        <w:jc w:val="center"/>
        <w:rPr>
          <w:rFonts w:cs="Times New Roman"/>
          <w:b/>
        </w:rPr>
      </w:pPr>
      <w:r w:rsidRPr="00241959">
        <w:rPr>
          <w:rFonts w:cs="Times New Roman"/>
          <w:b/>
        </w:rPr>
        <w:t xml:space="preserve">Valsts budžeta apakšprogrammas 09.04.00 “Sporta būves” finansējums 2013. – 2022. gadā, </w:t>
      </w:r>
      <w:r w:rsidRPr="00241959">
        <w:rPr>
          <w:rFonts w:cs="Times New Roman"/>
          <w:b/>
          <w:i/>
        </w:rPr>
        <w:t>euro</w:t>
      </w:r>
    </w:p>
    <w:p w14:paraId="6E161D89" w14:textId="77777777" w:rsidR="00241959" w:rsidRPr="00241959" w:rsidRDefault="00241959" w:rsidP="00241959">
      <w:pPr>
        <w:spacing w:line="240" w:lineRule="auto"/>
        <w:jc w:val="center"/>
        <w:rPr>
          <w:rFonts w:cs="Times New Roman"/>
        </w:rPr>
      </w:pPr>
      <w:r w:rsidRPr="00241959">
        <w:rPr>
          <w:rFonts w:cs="Times New Roman"/>
          <w:noProof/>
          <w:lang w:eastAsia="lv-LV"/>
        </w:rPr>
        <w:drawing>
          <wp:inline distT="0" distB="0" distL="0" distR="0" wp14:anchorId="784864E8" wp14:editId="0C54224D">
            <wp:extent cx="5064319" cy="2932981"/>
            <wp:effectExtent l="0" t="0" r="3175"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94379" cy="2950390"/>
                    </a:xfrm>
                    <a:prstGeom prst="rect">
                      <a:avLst/>
                    </a:prstGeom>
                    <a:noFill/>
                  </pic:spPr>
                </pic:pic>
              </a:graphicData>
            </a:graphic>
          </wp:inline>
        </w:drawing>
      </w:r>
    </w:p>
    <w:p w14:paraId="6177F8C5" w14:textId="5DA9C48A" w:rsidR="00241959" w:rsidRPr="00241959" w:rsidRDefault="00241959" w:rsidP="00464044">
      <w:pPr>
        <w:spacing w:after="120"/>
        <w:ind w:firstLine="709"/>
        <w:jc w:val="both"/>
        <w:rPr>
          <w:rFonts w:cs="Times New Roman"/>
        </w:rPr>
      </w:pPr>
      <w:r w:rsidRPr="00241959">
        <w:rPr>
          <w:rFonts w:cs="Times New Roman"/>
        </w:rPr>
        <w:lastRenderedPageBreak/>
        <w:t xml:space="preserve">Vēl viena no IZM Sporta nozares darba grupā apskatāmajām izmaiņām skar sporta federāciju skaitu Latvijā. Šobrīd valstī ir 95 atzītas sporta federācijas, bet IZM Sporta nozares darba grupas mērķis ir izvirzīt kritērijus </w:t>
      </w:r>
      <w:r w:rsidR="00A97BBA" w:rsidRPr="00FF0399">
        <w:rPr>
          <w:rFonts w:cs="Times New Roman"/>
        </w:rPr>
        <w:t>prioritāri finansējamo</w:t>
      </w:r>
      <w:r w:rsidR="00A97BBA">
        <w:rPr>
          <w:rFonts w:cs="Times New Roman"/>
        </w:rPr>
        <w:t xml:space="preserve"> </w:t>
      </w:r>
      <w:r w:rsidRPr="00241959">
        <w:rPr>
          <w:rFonts w:cs="Times New Roman"/>
        </w:rPr>
        <w:t xml:space="preserve">sporta veidu noteikšanai, tādējādi mainot arī finansējuma piešķiršanas kārtību federācijām. Finansējumu federācijām nodrošina LSFP, kam tiek piešķirts gandrīz viss budžeta apakšprogrammas 09.09.00 “Sporta federācijas un sporta pasākumi” budžets. 2019. gadā 88 federācijas izpildīja LSFP noteiktos kritērijus, tādējādi kvalificējoties finansējuma saņemšanai. Kritēriju dēļ piešķirtais finansējums federācijām ir atšķirīgs, taču vienlaikus jāņem vērā, ka, sadalot nepilnus 3 milj. </w:t>
      </w:r>
      <w:r w:rsidRPr="00241959">
        <w:rPr>
          <w:rFonts w:cs="Times New Roman"/>
          <w:i/>
        </w:rPr>
        <w:t>euro</w:t>
      </w:r>
      <w:r w:rsidRPr="00241959">
        <w:rPr>
          <w:rFonts w:cs="Times New Roman"/>
        </w:rPr>
        <w:t xml:space="preserve"> 88 federācijām, pat lielākās federācijas, kurām ir gan liels skaits augstas klases sportistu, gan šajos sporta veidos sporta skolās trenējas liels skaits bērnu un jauniešu, saņem samērā nelielu finansējuma daļu. 2019. gadā vislielāko LSFP finansējumu saņēma Latvijas Vieglatlētikas savienība (192 tūkst. </w:t>
      </w:r>
      <w:r w:rsidRPr="00241959">
        <w:rPr>
          <w:rFonts w:cs="Times New Roman"/>
          <w:i/>
        </w:rPr>
        <w:t>euro</w:t>
      </w:r>
      <w:r w:rsidRPr="00241959">
        <w:rPr>
          <w:rFonts w:cs="Times New Roman"/>
        </w:rPr>
        <w:t xml:space="preserve">), kamēr mazākais finansējums tika piešķirts Latvijas Beisbola federācijai (2,4 tūkst. </w:t>
      </w:r>
      <w:r w:rsidRPr="00241959">
        <w:rPr>
          <w:rFonts w:cs="Times New Roman"/>
          <w:i/>
        </w:rPr>
        <w:t>euro</w:t>
      </w:r>
      <w:r w:rsidRPr="00241959">
        <w:rPr>
          <w:rFonts w:cs="Times New Roman"/>
        </w:rPr>
        <w:t>). Nevienā no gadījumiem LSFP sniegtais finansējums nesniedz federācijām tādu budžeta apjomu, kas spētu nodrošināt kvalitatīvu federācijas darbu, sportistu treniņu iespējas, sporta bāzes īri treniņu nodrošināšanai un citus izdevumus, līdz ar to jāveicina esošā finansējuma sadale, nosakot prioritār</w:t>
      </w:r>
      <w:r w:rsidR="00A97BBA">
        <w:rPr>
          <w:rFonts w:cs="Times New Roman"/>
        </w:rPr>
        <w:t>i</w:t>
      </w:r>
      <w:r w:rsidRPr="00241959">
        <w:rPr>
          <w:rFonts w:cs="Times New Roman"/>
        </w:rPr>
        <w:t xml:space="preserve"> </w:t>
      </w:r>
      <w:r w:rsidR="00A97BBA">
        <w:rPr>
          <w:rFonts w:cs="Times New Roman"/>
        </w:rPr>
        <w:t xml:space="preserve">finansējamos </w:t>
      </w:r>
      <w:r w:rsidRPr="00241959">
        <w:rPr>
          <w:rFonts w:cs="Times New Roman"/>
        </w:rPr>
        <w:t>sporta veidus, lai nozarē neizveidotos situācija, kad minimāli atbalstot simts sporta veidus, tiek zaudētas iestrādnes sporta veidos, kuros tiek nodrošināti augstvērtīgi rezultāti un iesaistīti bērni un jaunieši.</w:t>
      </w:r>
    </w:p>
    <w:p w14:paraId="528F7BE6" w14:textId="58A45D3B" w:rsidR="00241959" w:rsidRPr="00241959" w:rsidRDefault="00241959" w:rsidP="00464044">
      <w:pPr>
        <w:spacing w:after="120"/>
        <w:ind w:firstLine="709"/>
        <w:jc w:val="both"/>
        <w:rPr>
          <w:rFonts w:cs="Times New Roman"/>
        </w:rPr>
      </w:pPr>
      <w:r w:rsidRPr="00241959">
        <w:rPr>
          <w:rFonts w:cs="Times New Roman"/>
        </w:rPr>
        <w:t>Izceļamas vēl divas budžeta apakšprogrammas, kurās teju ik gadu atkārtojas nesekmīga plānošana, proti, budžeta plāns pirms plāna precizēšanas turpmākā gada ietvaros ir mazāks nekā izpilde. Viena no tām ir budžeta apakšprogramma 09.16.00 “Dotācija nacionālas nozīmes starptautisku sporta pasākumu organizēšanai Latvijā”. Piecos no pēdējiem sešiem gadiem šajā budžeta apakšprogrammā netika ieplānots pietiekams finansējuma apjoms (</w:t>
      </w:r>
      <w:r w:rsidRPr="00241959">
        <w:rPr>
          <w:rFonts w:cs="Times New Roman"/>
        </w:rPr>
        <w:fldChar w:fldCharType="begin"/>
      </w:r>
      <w:r w:rsidRPr="00241959">
        <w:rPr>
          <w:rFonts w:cs="Times New Roman"/>
        </w:rPr>
        <w:instrText xml:space="preserve"> REF _Ref43289481 \h  \* MERGEFORMAT </w:instrText>
      </w:r>
      <w:r w:rsidRPr="00241959">
        <w:rPr>
          <w:rFonts w:cs="Times New Roman"/>
        </w:rPr>
      </w:r>
      <w:r w:rsidRPr="00241959">
        <w:rPr>
          <w:rFonts w:cs="Times New Roman"/>
        </w:rPr>
        <w:fldChar w:fldCharType="separate"/>
      </w:r>
      <w:r w:rsidR="00D96F20" w:rsidRPr="00D96F20">
        <w:rPr>
          <w:rFonts w:cs="Times New Roman"/>
        </w:rPr>
        <w:t xml:space="preserve">Attēls Nr. </w:t>
      </w:r>
      <w:r w:rsidR="00D96F20" w:rsidRPr="00D96F20">
        <w:rPr>
          <w:rFonts w:cs="Times New Roman"/>
          <w:noProof/>
        </w:rPr>
        <w:t>50</w:t>
      </w:r>
      <w:r w:rsidRPr="00241959">
        <w:rPr>
          <w:rFonts w:cs="Times New Roman"/>
        </w:rPr>
        <w:fldChar w:fldCharType="end"/>
      </w:r>
      <w:r w:rsidRPr="00241959">
        <w:rPr>
          <w:rFonts w:cs="Times New Roman"/>
        </w:rPr>
        <w:t>).</w:t>
      </w:r>
    </w:p>
    <w:p w14:paraId="65911AB1" w14:textId="13091253" w:rsidR="00241959" w:rsidRPr="00241959" w:rsidRDefault="00241959" w:rsidP="00241959">
      <w:pPr>
        <w:spacing w:after="200" w:line="240" w:lineRule="auto"/>
        <w:jc w:val="right"/>
        <w:rPr>
          <w:rFonts w:cs="Times New Roman"/>
          <w:iCs/>
        </w:rPr>
      </w:pPr>
      <w:bookmarkStart w:id="143" w:name="_Ref43289481"/>
      <w:r w:rsidRPr="00241959">
        <w:rPr>
          <w:rFonts w:cs="Times New Roman"/>
          <w:iCs/>
        </w:rPr>
        <w:t xml:space="preserve">Attēls Nr. </w:t>
      </w:r>
      <w:r w:rsidRPr="00241959">
        <w:rPr>
          <w:rFonts w:cs="Times New Roman"/>
          <w:iCs/>
        </w:rPr>
        <w:fldChar w:fldCharType="begin"/>
      </w:r>
      <w:r w:rsidRPr="00241959">
        <w:rPr>
          <w:rFonts w:cs="Times New Roman"/>
          <w:iCs/>
        </w:rPr>
        <w:instrText xml:space="preserve"> SEQ Attēls_Nr. \* ARABIC </w:instrText>
      </w:r>
      <w:r w:rsidRPr="00241959">
        <w:rPr>
          <w:rFonts w:cs="Times New Roman"/>
          <w:iCs/>
        </w:rPr>
        <w:fldChar w:fldCharType="separate"/>
      </w:r>
      <w:r w:rsidR="00D96F20">
        <w:rPr>
          <w:rFonts w:cs="Times New Roman"/>
          <w:iCs/>
          <w:noProof/>
        </w:rPr>
        <w:t>50</w:t>
      </w:r>
      <w:r w:rsidRPr="00241959">
        <w:rPr>
          <w:rFonts w:cs="Times New Roman"/>
          <w:iCs/>
        </w:rPr>
        <w:fldChar w:fldCharType="end"/>
      </w:r>
      <w:bookmarkEnd w:id="143"/>
    </w:p>
    <w:p w14:paraId="0AB9E6F9" w14:textId="77777777" w:rsidR="00241959" w:rsidRPr="00241959" w:rsidRDefault="00241959" w:rsidP="00241959">
      <w:pPr>
        <w:spacing w:line="240" w:lineRule="auto"/>
        <w:ind w:firstLine="709"/>
        <w:jc w:val="center"/>
        <w:rPr>
          <w:rFonts w:cs="Times New Roman"/>
        </w:rPr>
      </w:pPr>
      <w:r w:rsidRPr="00241959">
        <w:rPr>
          <w:rFonts w:cs="Times New Roman"/>
          <w:b/>
        </w:rPr>
        <w:t xml:space="preserve">Valsts budžeta apakšprogrammas 09.16.00 “Dotācija nacionālas nozīmes starptautisku sporta pasākumu organizēšanai Latvijā” finansējums 2013. – 2022. gadā, </w:t>
      </w:r>
      <w:r w:rsidRPr="00241959">
        <w:rPr>
          <w:rFonts w:cs="Times New Roman"/>
          <w:b/>
          <w:i/>
        </w:rPr>
        <w:t>euro</w:t>
      </w:r>
    </w:p>
    <w:p w14:paraId="18DE9CCD" w14:textId="77777777" w:rsidR="00241959" w:rsidRPr="00241959" w:rsidRDefault="00241959" w:rsidP="00241959">
      <w:pPr>
        <w:spacing w:line="240" w:lineRule="auto"/>
        <w:jc w:val="center"/>
        <w:rPr>
          <w:rFonts w:cs="Times New Roman"/>
        </w:rPr>
      </w:pPr>
      <w:r w:rsidRPr="00241959">
        <w:rPr>
          <w:rFonts w:cs="Times New Roman"/>
          <w:noProof/>
          <w:lang w:eastAsia="lv-LV"/>
        </w:rPr>
        <w:drawing>
          <wp:inline distT="0" distB="0" distL="0" distR="0" wp14:anchorId="12B4ADEE" wp14:editId="388141A7">
            <wp:extent cx="5547995" cy="3213100"/>
            <wp:effectExtent l="0" t="0" r="0" b="63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47995" cy="3213100"/>
                    </a:xfrm>
                    <a:prstGeom prst="rect">
                      <a:avLst/>
                    </a:prstGeom>
                    <a:noFill/>
                  </pic:spPr>
                </pic:pic>
              </a:graphicData>
            </a:graphic>
          </wp:inline>
        </w:drawing>
      </w:r>
    </w:p>
    <w:p w14:paraId="2F321CBF" w14:textId="7E55B852" w:rsidR="00241959" w:rsidRPr="00241959" w:rsidRDefault="00241959" w:rsidP="00464044">
      <w:pPr>
        <w:spacing w:after="120"/>
        <w:ind w:firstLine="709"/>
        <w:jc w:val="both"/>
        <w:rPr>
          <w:rFonts w:cs="Times New Roman"/>
        </w:rPr>
      </w:pPr>
      <w:r w:rsidRPr="00241959">
        <w:rPr>
          <w:rFonts w:cs="Times New Roman"/>
        </w:rPr>
        <w:lastRenderedPageBreak/>
        <w:t xml:space="preserve">Jāpiezīmē, ka šīs apakšprogrammas plānā finansējums lielākoties tiek paredzēts kādu sporta pasākumu organizēšanas daļai (2020. gadā nepilni 500 tūkst. </w:t>
      </w:r>
      <w:r w:rsidRPr="00241959">
        <w:rPr>
          <w:rFonts w:cs="Times New Roman"/>
          <w:i/>
        </w:rPr>
        <w:t>euro</w:t>
      </w:r>
      <w:r w:rsidRPr="00241959">
        <w:rPr>
          <w:rFonts w:cs="Times New Roman"/>
        </w:rPr>
        <w:t xml:space="preserve"> sadalīti starp astoņiem dažādiem pasākumiem), kamēr lielākais valsts budžeta finansējums ik gadu tiek pieprasīts, lai segtu sporta pasākumu licences maksājumus. Piemēram, ik gadu vairāki simti tūkstoši </w:t>
      </w:r>
      <w:r w:rsidRPr="00241959">
        <w:rPr>
          <w:rFonts w:cs="Times New Roman"/>
          <w:i/>
        </w:rPr>
        <w:t>euro</w:t>
      </w:r>
      <w:r w:rsidRPr="00241959">
        <w:rPr>
          <w:rFonts w:cs="Times New Roman"/>
        </w:rPr>
        <w:t xml:space="preserve"> tiek piešķirti rallijkrosa, rallija un motokrosa sacensību rīkošanai nepieciešamās licences iegādei. Turklāt, ņemot vērā to, ka licences maksa bieži vien jāiemaksā (vai vismaz jāsniedz garantijas par finansējuma piešķiršanu) aptuveni gadu pirms sacensību norises, tad šādus izdevumus nav iespējams iekļaut budžetā. Līdz ar to līdzekļi šādos gadījumos tiek piešķirti vai nu </w:t>
      </w:r>
      <w:r w:rsidR="001E7155">
        <w:rPr>
          <w:rFonts w:cs="Times New Roman"/>
        </w:rPr>
        <w:t>veicot pārdali</w:t>
      </w:r>
      <w:r w:rsidRPr="00241959">
        <w:rPr>
          <w:rFonts w:cs="Times New Roman"/>
        </w:rPr>
        <w:t>, vai arī ar atsevišķu MK lēmumu. Šāda situācija atkārtojas ik gadu, kā rezultātā jāvērtē iespējas uzlabot plānošanu. Sevišķi tas attiecināms uz gadījumiem, kad kāda sporta pasākuma rīkotājs ar starptautiskajiem organizatoriem noslēdzis vairāku gadu līgumu, kas paredz ikgadēju licences maksājumu vairāku gadu periodā. Iepriekšminēto iemeslu dēļ var rasties sarežģījumi ar finansējumu pirmā līguma gada licences nodrošināšanai, taču tas neliedz jau laicīgi ietvert šīs izmaksas līguma turpmākajiem gadiem attiecīgo gadu budžeta pieprasījumos.</w:t>
      </w:r>
    </w:p>
    <w:p w14:paraId="559BD8DC" w14:textId="77777777" w:rsidR="00241959" w:rsidRPr="00241959" w:rsidRDefault="00241959" w:rsidP="00464044">
      <w:pPr>
        <w:spacing w:after="120"/>
        <w:jc w:val="both"/>
        <w:rPr>
          <w:rFonts w:cs="Times New Roman"/>
          <w:b/>
          <w:i/>
        </w:rPr>
      </w:pPr>
      <w:r w:rsidRPr="00241959">
        <w:rPr>
          <w:rFonts w:cs="Times New Roman"/>
          <w:b/>
          <w:i/>
        </w:rPr>
        <w:t>Programmas 09.00.00 “Sports” finansējuma saņēmēji un izmantotāji</w:t>
      </w:r>
    </w:p>
    <w:p w14:paraId="56DB5C7E" w14:textId="5A2D812A" w:rsidR="00241959" w:rsidRPr="00241959" w:rsidRDefault="00241959" w:rsidP="00464044">
      <w:pPr>
        <w:spacing w:after="120"/>
        <w:ind w:firstLine="709"/>
        <w:jc w:val="both"/>
        <w:rPr>
          <w:rFonts w:cs="Times New Roman"/>
        </w:rPr>
      </w:pPr>
      <w:r w:rsidRPr="00241959">
        <w:rPr>
          <w:rFonts w:cs="Times New Roman"/>
        </w:rPr>
        <w:t>No sporta finansējuma shēmā iekļautajām organizācijām lielākais ikgadējais budžets ir LOK. 2019.</w:t>
      </w:r>
      <w:r w:rsidR="001E7155">
        <w:rPr>
          <w:rFonts w:cs="Times New Roman"/>
        </w:rPr>
        <w:t xml:space="preserve"> </w:t>
      </w:r>
      <w:r w:rsidRPr="00241959">
        <w:rPr>
          <w:rFonts w:cs="Times New Roman"/>
        </w:rPr>
        <w:t xml:space="preserve">gadā aptuveni 3,5 milj. </w:t>
      </w:r>
      <w:r w:rsidRPr="00241959">
        <w:rPr>
          <w:rFonts w:cs="Times New Roman"/>
          <w:i/>
        </w:rPr>
        <w:t>euro</w:t>
      </w:r>
      <w:r w:rsidRPr="00241959">
        <w:rPr>
          <w:rFonts w:cs="Times New Roman"/>
        </w:rPr>
        <w:t xml:space="preserve"> saņemti dotācijās no IZM trīs budžeta apakšprogrammu ietvaros, 752 tūkst. </w:t>
      </w:r>
      <w:r w:rsidRPr="00241959">
        <w:rPr>
          <w:rFonts w:cs="Times New Roman"/>
          <w:i/>
        </w:rPr>
        <w:t>euro</w:t>
      </w:r>
      <w:r w:rsidRPr="00241959">
        <w:rPr>
          <w:rFonts w:cs="Times New Roman"/>
        </w:rPr>
        <w:t xml:space="preserve"> iegūti no saimnieciskās darbības, nepilnu pusmiljons </w:t>
      </w:r>
      <w:r w:rsidRPr="00241959">
        <w:rPr>
          <w:rFonts w:cs="Times New Roman"/>
          <w:i/>
        </w:rPr>
        <w:t>euro</w:t>
      </w:r>
      <w:r w:rsidRPr="00241959">
        <w:rPr>
          <w:rFonts w:cs="Times New Roman"/>
        </w:rPr>
        <w:t xml:space="preserve"> nodrošina SOK finansējums, bet vēl 100 tūkst. </w:t>
      </w:r>
      <w:r w:rsidRPr="00241959">
        <w:rPr>
          <w:rFonts w:cs="Times New Roman"/>
          <w:i/>
        </w:rPr>
        <w:t>euro</w:t>
      </w:r>
      <w:r w:rsidRPr="00241959">
        <w:rPr>
          <w:rFonts w:cs="Times New Roman"/>
        </w:rPr>
        <w:t xml:space="preserve"> iegūti no ziedotāju sniegtā atbalsta. Izdevumu pozīcijās galvenie punkti ir 1,2 milj. </w:t>
      </w:r>
      <w:r w:rsidRPr="00241959">
        <w:rPr>
          <w:rFonts w:cs="Times New Roman"/>
          <w:i/>
        </w:rPr>
        <w:t>euro</w:t>
      </w:r>
      <w:r w:rsidRPr="00241959">
        <w:rPr>
          <w:rFonts w:cs="Times New Roman"/>
        </w:rPr>
        <w:t xml:space="preserve"> finansējums olimpisko sporta veidu federācijām, 1,4 milj. </w:t>
      </w:r>
      <w:r w:rsidRPr="00241959">
        <w:rPr>
          <w:rFonts w:cs="Times New Roman"/>
          <w:i/>
        </w:rPr>
        <w:t>euro</w:t>
      </w:r>
      <w:r w:rsidRPr="00241959">
        <w:rPr>
          <w:rFonts w:cs="Times New Roman"/>
        </w:rPr>
        <w:t xml:space="preserve"> saistību apmaksai LOK Reģionālās attīstības programmas ietvaros, 1,3 milj. </w:t>
      </w:r>
      <w:r w:rsidRPr="00241959">
        <w:rPr>
          <w:rFonts w:cs="Times New Roman"/>
          <w:i/>
        </w:rPr>
        <w:t>euro</w:t>
      </w:r>
      <w:r w:rsidRPr="00241959">
        <w:rPr>
          <w:rFonts w:cs="Times New Roman"/>
        </w:rPr>
        <w:t xml:space="preserve"> vairākiem īpašiem mērķiem, kuri LOK finanšu pārskatā nav specifiski atšifrēti un gandrīz 700 tūkst. </w:t>
      </w:r>
      <w:r w:rsidRPr="00241959">
        <w:rPr>
          <w:rFonts w:cs="Times New Roman"/>
          <w:i/>
        </w:rPr>
        <w:t>euro</w:t>
      </w:r>
      <w:r w:rsidRPr="00241959">
        <w:rPr>
          <w:rFonts w:cs="Times New Roman"/>
        </w:rPr>
        <w:t xml:space="preserve"> LOK administratīvo izmaksu segšanai.</w:t>
      </w:r>
    </w:p>
    <w:p w14:paraId="38782F2E" w14:textId="77777777" w:rsidR="00241959" w:rsidRPr="00241959" w:rsidRDefault="00241959" w:rsidP="00464044">
      <w:pPr>
        <w:spacing w:after="120"/>
        <w:ind w:firstLine="709"/>
        <w:jc w:val="both"/>
        <w:rPr>
          <w:rFonts w:cs="Times New Roman"/>
        </w:rPr>
      </w:pPr>
      <w:r w:rsidRPr="00241959">
        <w:rPr>
          <w:rFonts w:cs="Times New Roman"/>
        </w:rPr>
        <w:t xml:space="preserve">Finansējums 2,5 milj. </w:t>
      </w:r>
      <w:r w:rsidRPr="00241959">
        <w:rPr>
          <w:rFonts w:cs="Times New Roman"/>
          <w:i/>
        </w:rPr>
        <w:t>euro</w:t>
      </w:r>
      <w:r w:rsidRPr="00241959">
        <w:rPr>
          <w:rFonts w:cs="Times New Roman"/>
        </w:rPr>
        <w:t xml:space="preserve"> apmērā nonāk LOV rīcībā, kas pa aptuveni miljonam </w:t>
      </w:r>
      <w:r w:rsidRPr="00241959">
        <w:rPr>
          <w:rFonts w:cs="Times New Roman"/>
          <w:i/>
        </w:rPr>
        <w:t>euro</w:t>
      </w:r>
      <w:r w:rsidRPr="00241959">
        <w:rPr>
          <w:rFonts w:cs="Times New Roman"/>
        </w:rPr>
        <w:t xml:space="preserve"> novirza sporta darba izdevumiem un medikamentu iegādei, kā arī sporta nozarē iesaistīto medicīnas darbinieku un sporta speciālistu atalgojuma nodrošināšanai.</w:t>
      </w:r>
    </w:p>
    <w:p w14:paraId="75B6D6A4" w14:textId="4EB76442" w:rsidR="00241959" w:rsidRPr="00241959" w:rsidRDefault="00241959" w:rsidP="00464044">
      <w:pPr>
        <w:spacing w:after="120"/>
        <w:ind w:firstLine="709"/>
        <w:jc w:val="both"/>
        <w:rPr>
          <w:rFonts w:cs="Times New Roman"/>
        </w:rPr>
      </w:pPr>
      <w:r w:rsidRPr="00241959">
        <w:rPr>
          <w:rFonts w:cs="Times New Roman"/>
        </w:rPr>
        <w:t>Par LSFP finansējumu šajā nodaļā jau tika minēts, bet atsevišķu sporta federāciju kontekstā jāmin arī tāda organizācija kā LKSSA, kas apvieno 11 komandu sporta veidu federāciju intereses. LKSSA budžetu veido dotācija no budžeta apakšprogrammas 09.17.00 “Dotācija komandu sporta spēļu izlašu nodrošināšanai”, kā arī biedra naudas iemaksas no visām 11 federācijām, kā rezultātā var izteikt pieņēmumu, ka atsevišķas federācijas, kuru ienākumi ir tikai valsts budžeta finansējums (proti, tām nav ziedotāju vai finansējuma no starptautiskām organizācijām), biedra naudu iemaksā no šī finansējuma. Par LKSSA piešķirto valsts budžeta līdzekļu izlietojumu pārliecināties nav iespējams, jo šīs organizācijas tīmekļvietne</w:t>
      </w:r>
      <w:r w:rsidRPr="00241959">
        <w:rPr>
          <w:rFonts w:cs="Times New Roman"/>
          <w:vertAlign w:val="superscript"/>
        </w:rPr>
        <w:footnoteReference w:id="26"/>
      </w:r>
      <w:r w:rsidRPr="00241959">
        <w:rPr>
          <w:rFonts w:cs="Times New Roman"/>
        </w:rPr>
        <w:t xml:space="preserve"> nodrošina tikai iepazīšanos ar tās statūtiem un valdes sastāvu, kas turklāt nav aktualizēts. Arī LNSP protokola Nr. 1 2.8. punktā ir noteikts, ka sporta organizācijām, kas saņem finansējumu no šajā protokola punktā minētajām budžeta apakšprogrammām ir jānodrošina, ka to tīmekļvietnēs regulāri tiek publicēta pārskatāma informācija par saņemto valsts budžeta līdzekļu izlietojumu, tādējādi nodrošinot sabiedrības informēšanu. LKS</w:t>
      </w:r>
      <w:r w:rsidR="00A97BBA">
        <w:rPr>
          <w:rFonts w:cs="Times New Roman"/>
        </w:rPr>
        <w:t>S</w:t>
      </w:r>
      <w:r w:rsidRPr="00241959">
        <w:rPr>
          <w:rFonts w:cs="Times New Roman"/>
        </w:rPr>
        <w:t xml:space="preserve">A to nenodrošina vispār, bet vienlaikus arī pārējās organizācijas (LOK, LOV, </w:t>
      </w:r>
      <w:r w:rsidR="00A97BBA">
        <w:rPr>
          <w:rFonts w:cs="Times New Roman"/>
        </w:rPr>
        <w:t xml:space="preserve">nodibinājums </w:t>
      </w:r>
      <w:r w:rsidRPr="00241959">
        <w:rPr>
          <w:rFonts w:cs="Times New Roman"/>
        </w:rPr>
        <w:t>“Latvijas Olimpiešu sociālais fonds” utt.) šo informāciju varētu padarīt uzskatāmāku un pieejamāku. To pašu var attiecināt arī uz sporta federācijām, jo ne visu federāciju publiski pieejamos dokumentos ir skaidri saprotami visi finansējuma avoti un valsts budžeta finansējuma izlietojums.</w:t>
      </w:r>
    </w:p>
    <w:p w14:paraId="0255571B" w14:textId="77777777" w:rsidR="00241959" w:rsidRPr="00241959" w:rsidRDefault="00241959" w:rsidP="00464044">
      <w:pPr>
        <w:spacing w:after="120"/>
        <w:ind w:firstLine="709"/>
        <w:jc w:val="both"/>
        <w:rPr>
          <w:rFonts w:cs="Times New Roman"/>
        </w:rPr>
      </w:pPr>
      <w:r w:rsidRPr="00241959">
        <w:rPr>
          <w:rFonts w:cs="Times New Roman"/>
        </w:rPr>
        <w:lastRenderedPageBreak/>
        <w:t xml:space="preserve">Atsevišķi minams arī nodibinājums “Latvijas Olimpiešu sociālais fonds”. Tā mērķi ir sadarbībā ar sporta organizācijām, pašvaldībām un komersantiem risināt jautājumus par sporta veterānu sociālo un sadzīvisko apstākļu, kā arī veselības uzlabošanu, nodrošināt ar pabalstiem olimpiskās medaļas izcīnījušos sporta veterānus un citus izcilus sportistus un trenerus un popularizēt sabiedrībā šo sportistu sasniegumu vēsturisko nozīmīgumu. 2020. gadā pabalstu apmērs tika palielināts (piemēram, olimpiskie čempioni kopš 2020. gada saņem 600 </w:t>
      </w:r>
      <w:r w:rsidRPr="00241959">
        <w:rPr>
          <w:rFonts w:cs="Times New Roman"/>
          <w:i/>
        </w:rPr>
        <w:t>euro</w:t>
      </w:r>
      <w:r w:rsidRPr="00241959">
        <w:rPr>
          <w:rFonts w:cs="Times New Roman"/>
        </w:rPr>
        <w:t xml:space="preserve"> mēnesī iepriekšējo 450 </w:t>
      </w:r>
      <w:r w:rsidRPr="00241959">
        <w:rPr>
          <w:rFonts w:cs="Times New Roman"/>
          <w:i/>
        </w:rPr>
        <w:t>euro</w:t>
      </w:r>
      <w:r w:rsidRPr="00241959">
        <w:rPr>
          <w:rFonts w:cs="Times New Roman"/>
        </w:rPr>
        <w:t xml:space="preserve"> vietā). Lai nodrošinātu finansējumu sociālo pabalstu izmaksu pieaugumam jau 2020. gada sākumā no budžeta apakšprogrammas 09.09.00 tika pārdalīti papildus 150 tūkst. </w:t>
      </w:r>
      <w:r w:rsidRPr="00241959">
        <w:rPr>
          <w:rFonts w:cs="Times New Roman"/>
          <w:i/>
        </w:rPr>
        <w:t>euro</w:t>
      </w:r>
      <w:r w:rsidRPr="00241959">
        <w:rPr>
          <w:rFonts w:cs="Times New Roman"/>
        </w:rPr>
        <w:t>.</w:t>
      </w:r>
    </w:p>
    <w:p w14:paraId="1EFB4E4C" w14:textId="2F8CAFD8" w:rsidR="00241959" w:rsidRPr="00241959" w:rsidRDefault="00A97BBA" w:rsidP="00464044">
      <w:pPr>
        <w:spacing w:after="120"/>
        <w:ind w:firstLine="709"/>
        <w:jc w:val="both"/>
        <w:rPr>
          <w:rFonts w:cs="Times New Roman"/>
        </w:rPr>
      </w:pPr>
      <w:r>
        <w:rPr>
          <w:rFonts w:cs="Times New Roman"/>
        </w:rPr>
        <w:t>Nodibinājums</w:t>
      </w:r>
      <w:r w:rsidRPr="00241959">
        <w:rPr>
          <w:rFonts w:cs="Times New Roman"/>
        </w:rPr>
        <w:t xml:space="preserve"> </w:t>
      </w:r>
      <w:r w:rsidR="00241959" w:rsidRPr="00241959">
        <w:rPr>
          <w:rFonts w:cs="Times New Roman"/>
        </w:rPr>
        <w:t xml:space="preserve">“Latvijas Olimpiešu sociālais fonds” funkcionāli darbojas arī kā sporta nozares finansējuma izmaksātājs sportistiem. Proti, LOV A, B un C sastāvos ir iekļauti ziemas un vasaras olimpisko sporta veidu sportisti, kas saņem finansējumu par noteiktu kritēriju izpildi, kurus nosaka LOK. Tādējādi secināms, ka LOK nosaka kritērijus, pēc kuriem LOV piešķir naudu, kuru izmaksā </w:t>
      </w:r>
      <w:r>
        <w:rPr>
          <w:rFonts w:cs="Times New Roman"/>
        </w:rPr>
        <w:t>nodibinājums</w:t>
      </w:r>
      <w:r w:rsidRPr="00241959">
        <w:rPr>
          <w:rFonts w:cs="Times New Roman"/>
        </w:rPr>
        <w:t xml:space="preserve"> </w:t>
      </w:r>
      <w:r w:rsidR="00241959" w:rsidRPr="00241959">
        <w:rPr>
          <w:rFonts w:cs="Times New Roman"/>
        </w:rPr>
        <w:t xml:space="preserve">“Latvijas Olimpiešu sociālais fonds”. Katra no organizācijām uztur savu administrāciju – LOK 2019. gadā administrācijas izdevumos novirzīja 700 tūkst. </w:t>
      </w:r>
      <w:r w:rsidR="00241959" w:rsidRPr="00241959">
        <w:rPr>
          <w:rFonts w:cs="Times New Roman"/>
          <w:i/>
        </w:rPr>
        <w:t>euro</w:t>
      </w:r>
      <w:r w:rsidR="00241959" w:rsidRPr="00241959">
        <w:rPr>
          <w:rFonts w:cs="Times New Roman"/>
        </w:rPr>
        <w:t xml:space="preserve">, LOV administrācijas izdevumos izlietojuši 120 tūkst. </w:t>
      </w:r>
      <w:r w:rsidR="00241959" w:rsidRPr="00241959">
        <w:rPr>
          <w:rFonts w:cs="Times New Roman"/>
          <w:i/>
        </w:rPr>
        <w:t>euro</w:t>
      </w:r>
      <w:r w:rsidR="00241959" w:rsidRPr="00241959">
        <w:rPr>
          <w:rFonts w:cs="Times New Roman"/>
        </w:rPr>
        <w:t xml:space="preserve">, bet “Latvijas Olimpiešu sociālais fonds” administratīvās izmaksas ir 160 tūkst. </w:t>
      </w:r>
      <w:r w:rsidR="00241959" w:rsidRPr="00241959">
        <w:rPr>
          <w:rFonts w:cs="Times New Roman"/>
          <w:i/>
        </w:rPr>
        <w:t>euro</w:t>
      </w:r>
      <w:r w:rsidR="00241959" w:rsidRPr="00241959">
        <w:rPr>
          <w:rFonts w:cs="Times New Roman"/>
        </w:rPr>
        <w:t>. Secināms, ka būtu nepieciešams izvērtēt pienākumu sadalījumu starp iepriekšminētajām organizācijām, lai mazinātu administratīvās izmaksas visa veida sporta pabalstu izmaksāšanai.</w:t>
      </w:r>
    </w:p>
    <w:p w14:paraId="184B3DB1" w14:textId="77777777" w:rsidR="00241959" w:rsidRPr="00241959" w:rsidRDefault="00241959" w:rsidP="00464044">
      <w:pPr>
        <w:spacing w:after="120"/>
        <w:jc w:val="both"/>
        <w:rPr>
          <w:rFonts w:cs="Times New Roman"/>
        </w:rPr>
      </w:pPr>
      <w:r w:rsidRPr="00241959">
        <w:rPr>
          <w:rFonts w:cs="Times New Roman"/>
          <w:b/>
          <w:i/>
        </w:rPr>
        <w:t>Sporta nozares finansēšana ārvalstīs</w:t>
      </w:r>
    </w:p>
    <w:p w14:paraId="198A5EE2" w14:textId="0FFE9B9E" w:rsidR="00241959" w:rsidRPr="00241959" w:rsidRDefault="00241959" w:rsidP="00464044">
      <w:pPr>
        <w:spacing w:after="120"/>
        <w:ind w:firstLine="709"/>
        <w:jc w:val="both"/>
        <w:rPr>
          <w:rFonts w:cs="Times New Roman"/>
        </w:rPr>
      </w:pPr>
      <w:r w:rsidRPr="00241959">
        <w:rPr>
          <w:rFonts w:cs="Times New Roman"/>
        </w:rPr>
        <w:t xml:space="preserve">Liela daļa Eiropas valstu (Lielbritānija, Somija, Norvēģija, Dānija, Rumānija u.c.) finansējumu sporta nozarei iegūst no Nacionālās loterijas ietvaros gūtajiem ienākumiem. Ekvivalenti Latvijā tie būtu ienākumi no VAS “Latvijas Loto” organizētajām izlozēm, kas ar mērķfinansējuma palīdzību tiktu novirzīti sporta nozares attīstībai. </w:t>
      </w:r>
    </w:p>
    <w:p w14:paraId="6C66C4B0" w14:textId="77777777" w:rsidR="00241959" w:rsidRPr="00241959" w:rsidRDefault="00241959" w:rsidP="00464044">
      <w:pPr>
        <w:spacing w:after="120"/>
        <w:ind w:firstLine="709"/>
        <w:jc w:val="both"/>
        <w:rPr>
          <w:rFonts w:cs="Times New Roman"/>
        </w:rPr>
      </w:pPr>
      <w:r w:rsidRPr="00241959">
        <w:rPr>
          <w:rFonts w:cs="Times New Roman"/>
        </w:rPr>
        <w:t xml:space="preserve">Atsevišķās Eiropas valstīs (Somija, Dānija, Igaunija u.c.) sporta nozare tiek finansēta arī no azartspēļu nodokļa ieņēmumiem. Piemēram, Latvijā tie būtu ieņēmumi no izložu un azartspēļu nodevas un nodokļa. Ieņēmumi no šī nodokļa ir pieaugoši ik gadu un 2019. gadā sasniedza 40,9 milj. </w:t>
      </w:r>
      <w:r w:rsidRPr="00241959">
        <w:rPr>
          <w:rFonts w:cs="Times New Roman"/>
          <w:i/>
        </w:rPr>
        <w:t>euro</w:t>
      </w:r>
      <w:r w:rsidRPr="00241959">
        <w:rPr>
          <w:rFonts w:cs="Times New Roman"/>
        </w:rPr>
        <w:t>, kas ir mazliet vairāk nekā 2020. gada valsts budžeta finansējums visai sporta nozarei.</w:t>
      </w:r>
    </w:p>
    <w:p w14:paraId="3D9483CE" w14:textId="77777777" w:rsidR="00241959" w:rsidRPr="00241959" w:rsidRDefault="00241959" w:rsidP="00464044">
      <w:pPr>
        <w:spacing w:after="120"/>
        <w:ind w:firstLine="709"/>
        <w:jc w:val="both"/>
        <w:rPr>
          <w:rFonts w:cs="Times New Roman"/>
        </w:rPr>
      </w:pPr>
      <w:r w:rsidRPr="00241959">
        <w:rPr>
          <w:rFonts w:cs="Times New Roman"/>
        </w:rPr>
        <w:t>Tāpat arī nozari pārraugošās ministrijas Eiropā ir atšķirīgas. Lielākoties arī citviet Eiropā sporta nozare tiek pievienota kādai nozares ministrijai. Tā ir vai nu par izglītības nozari atbildīgā ministrija vai arī ministrija, kas ir atbildīga par iekšlietu un aizsardzības jautājumiem. Savukārt Zviedrijā sporta nozares pārvaldībai ir izveidota atsevišķa atbildīgā iestāde “Swedish Sports Confederation”.</w:t>
      </w:r>
    </w:p>
    <w:p w14:paraId="05915706" w14:textId="5199B25F" w:rsidR="00241959" w:rsidRPr="00241959" w:rsidRDefault="00241959" w:rsidP="00464044">
      <w:pPr>
        <w:spacing w:after="120"/>
        <w:jc w:val="both"/>
        <w:rPr>
          <w:rFonts w:cs="Times New Roman"/>
          <w:b/>
          <w:i/>
        </w:rPr>
      </w:pPr>
      <w:r w:rsidRPr="00241959">
        <w:rPr>
          <w:rFonts w:cs="Times New Roman"/>
          <w:b/>
          <w:i/>
        </w:rPr>
        <w:t>Secinājumi un ieteikumi</w:t>
      </w:r>
      <w:r w:rsidR="00F17C94">
        <w:rPr>
          <w:rFonts w:cs="Times New Roman"/>
          <w:b/>
          <w:i/>
        </w:rPr>
        <w:t>:</w:t>
      </w:r>
    </w:p>
    <w:p w14:paraId="33C424D9" w14:textId="6969B3C3" w:rsidR="00241959" w:rsidRPr="00241959" w:rsidRDefault="00241959" w:rsidP="006A15ED">
      <w:pPr>
        <w:numPr>
          <w:ilvl w:val="0"/>
          <w:numId w:val="23"/>
        </w:numPr>
        <w:spacing w:after="120"/>
        <w:jc w:val="both"/>
        <w:rPr>
          <w:rFonts w:eastAsia="Times New Roman" w:cs="Times New Roman"/>
          <w:lang w:eastAsia="lv-LV"/>
        </w:rPr>
      </w:pPr>
      <w:r w:rsidRPr="00241959">
        <w:rPr>
          <w:rFonts w:eastAsia="Times New Roman" w:cs="Times New Roman"/>
          <w:lang w:eastAsia="lv-LV"/>
        </w:rPr>
        <w:t xml:space="preserve">Sporta nozares finansēšanas </w:t>
      </w:r>
      <w:r w:rsidR="00464044">
        <w:rPr>
          <w:rFonts w:eastAsia="Times New Roman" w:cs="Times New Roman"/>
          <w:lang w:eastAsia="lv-LV"/>
        </w:rPr>
        <w:t>organizācijā ir redzama sadrumstalotība</w:t>
      </w:r>
      <w:r w:rsidRPr="00241959">
        <w:rPr>
          <w:rFonts w:eastAsia="Times New Roman" w:cs="Times New Roman"/>
          <w:lang w:eastAsia="lv-LV"/>
        </w:rPr>
        <w:t xml:space="preserve"> valsts budžeta līdzekļu </w:t>
      </w:r>
      <w:r w:rsidR="00464044">
        <w:rPr>
          <w:rFonts w:eastAsia="Times New Roman" w:cs="Times New Roman"/>
          <w:lang w:eastAsia="lv-LV"/>
        </w:rPr>
        <w:t>sadalē un izlietošanā</w:t>
      </w:r>
      <w:r w:rsidRPr="00241959">
        <w:rPr>
          <w:rFonts w:eastAsia="Times New Roman" w:cs="Times New Roman"/>
          <w:lang w:eastAsia="lv-LV"/>
        </w:rPr>
        <w:t xml:space="preserve">. Finansējums tiek novirzīts lielam organizāciju skaitam, kas saņemtos līdzekļus tālāk pārvirza vēl citām organizatoriskām struktūrām. Lai arī IZM izveidotā Sporta nozares darba grupa plāno pārskatīt nozares politiku, tomēr šīs darbības galvenokārt vērstas uz tādu finansēšanas modeļa maiņu, kas paredz efektīvāku budžeta izlietojumu, piemēram, nosakot prioritāros sporta veidus (federācijas), kas saņem finansējumu. Tajā pašā laikā IZM kā nozari uzraugošajai ministrijai jāizvērtē iespējas samazināt </w:t>
      </w:r>
      <w:r w:rsidR="00A97BBA" w:rsidRPr="0012520A">
        <w:rPr>
          <w:rFonts w:eastAsia="Times New Roman" w:cs="Times New Roman"/>
          <w:lang w:eastAsia="lv-LV"/>
        </w:rPr>
        <w:t xml:space="preserve">sporta nozarei paredzēto </w:t>
      </w:r>
      <w:r w:rsidRPr="00241959">
        <w:rPr>
          <w:rFonts w:eastAsia="Times New Roman" w:cs="Times New Roman"/>
          <w:lang w:eastAsia="lv-LV"/>
        </w:rPr>
        <w:t xml:space="preserve">valsts budžeta līdzekļu </w:t>
      </w:r>
      <w:r w:rsidR="00A97BBA">
        <w:rPr>
          <w:rFonts w:eastAsia="Times New Roman" w:cs="Times New Roman"/>
          <w:lang w:eastAsia="lv-LV"/>
        </w:rPr>
        <w:t xml:space="preserve">administrēšanā un </w:t>
      </w:r>
      <w:r w:rsidRPr="00241959">
        <w:rPr>
          <w:rFonts w:eastAsia="Times New Roman" w:cs="Times New Roman"/>
          <w:lang w:eastAsia="lv-LV"/>
        </w:rPr>
        <w:t xml:space="preserve">apgūšanā iesaistīto organizāciju skaitu, lai uzlabotu budžeta plānošanu un padarītu </w:t>
      </w:r>
      <w:r w:rsidRPr="00241959">
        <w:rPr>
          <w:rFonts w:eastAsia="Times New Roman" w:cs="Times New Roman"/>
          <w:lang w:eastAsia="lv-LV"/>
        </w:rPr>
        <w:lastRenderedPageBreak/>
        <w:t>izsekojamāku un saprotamāku valsts budžeta finansējuma izlietojum</w:t>
      </w:r>
      <w:r w:rsidR="00A97BBA">
        <w:rPr>
          <w:rFonts w:eastAsia="Times New Roman" w:cs="Times New Roman"/>
          <w:lang w:eastAsia="lv-LV"/>
        </w:rPr>
        <w:t>u</w:t>
      </w:r>
      <w:r w:rsidRPr="00241959">
        <w:rPr>
          <w:rFonts w:eastAsia="Times New Roman" w:cs="Times New Roman"/>
          <w:lang w:eastAsia="lv-LV"/>
        </w:rPr>
        <w:t>, jo, piemēram, LKSSA budžeta</w:t>
      </w:r>
      <w:r w:rsidR="00464044">
        <w:rPr>
          <w:rFonts w:eastAsia="Times New Roman" w:cs="Times New Roman"/>
          <w:lang w:eastAsia="lv-LV"/>
        </w:rPr>
        <w:t xml:space="preserve"> pārskatu</w:t>
      </w:r>
      <w:r w:rsidRPr="00241959">
        <w:rPr>
          <w:rFonts w:eastAsia="Times New Roman" w:cs="Times New Roman"/>
          <w:lang w:eastAsia="lv-LV"/>
        </w:rPr>
        <w:t xml:space="preserve"> sadaļa nav </w:t>
      </w:r>
      <w:r w:rsidR="00464044">
        <w:rPr>
          <w:rFonts w:eastAsia="Times New Roman" w:cs="Times New Roman"/>
          <w:lang w:eastAsia="lv-LV"/>
        </w:rPr>
        <w:t xml:space="preserve">publiski </w:t>
      </w:r>
      <w:r w:rsidRPr="00241959">
        <w:rPr>
          <w:rFonts w:eastAsia="Times New Roman" w:cs="Times New Roman"/>
          <w:lang w:eastAsia="lv-LV"/>
        </w:rPr>
        <w:t>pieejama vispār un arī LOK, LOV vai lielāko sporta federāciju tīmekļvietnēs publiski pieejamie finanšu pārskati nesniedz viegli uztveramu, saprotamu un analizējamu informāciju par finansējuma izlietojumu.</w:t>
      </w:r>
    </w:p>
    <w:p w14:paraId="2EED3E60" w14:textId="64552DF9" w:rsidR="00083858" w:rsidRDefault="00A97BBA" w:rsidP="00400BA5">
      <w:pPr>
        <w:numPr>
          <w:ilvl w:val="0"/>
          <w:numId w:val="23"/>
        </w:numPr>
        <w:spacing w:after="120"/>
        <w:jc w:val="both"/>
        <w:rPr>
          <w:rFonts w:eastAsia="Times New Roman" w:cs="Times New Roman"/>
          <w:lang w:eastAsia="lv-LV"/>
        </w:rPr>
      </w:pPr>
      <w:r>
        <w:rPr>
          <w:rFonts w:eastAsia="Times New Roman" w:cs="Times New Roman"/>
          <w:lang w:eastAsia="lv-LV"/>
        </w:rPr>
        <w:t xml:space="preserve">Nodibinājuma </w:t>
      </w:r>
      <w:r w:rsidR="00241959" w:rsidRPr="00241959">
        <w:rPr>
          <w:rFonts w:eastAsia="Times New Roman" w:cs="Times New Roman"/>
          <w:lang w:eastAsia="lv-LV"/>
        </w:rPr>
        <w:t xml:space="preserve">“Latvijas Olimpiešu sociālais fonds” kā LOK </w:t>
      </w:r>
      <w:r>
        <w:rPr>
          <w:rFonts w:eastAsia="Times New Roman" w:cs="Times New Roman"/>
          <w:lang w:eastAsia="lv-LV"/>
        </w:rPr>
        <w:t xml:space="preserve">dibināta un faktiskā tā </w:t>
      </w:r>
      <w:r w:rsidR="00241959" w:rsidRPr="00241959">
        <w:rPr>
          <w:rFonts w:eastAsia="Times New Roman" w:cs="Times New Roman"/>
          <w:lang w:eastAsia="lv-LV"/>
        </w:rPr>
        <w:t xml:space="preserve">pakļautībā esoša organizācija nodarbojas ar pabalstu izmaksu sporta veterāniem, izskatot iesniegumus par pabalsta piešķiršanu un veicot šīs summas izmaksu. Tāpat organizācija izmaksā finansējumu LOV sastāvā esošajiem augstas klases sportistiem. Pēc būtības organizācija veic grāmatvedības funkciju, kuras administrēšana 2019. gada 4. ceturksnī izmaksājusi nepilnus 100 tūkst. </w:t>
      </w:r>
      <w:r w:rsidR="00241959" w:rsidRPr="00241959">
        <w:rPr>
          <w:rFonts w:eastAsia="Times New Roman" w:cs="Times New Roman"/>
          <w:i/>
          <w:lang w:eastAsia="lv-LV"/>
        </w:rPr>
        <w:t>euro</w:t>
      </w:r>
      <w:r w:rsidR="00241959" w:rsidRPr="00241959">
        <w:rPr>
          <w:rFonts w:eastAsia="Times New Roman" w:cs="Times New Roman"/>
          <w:lang w:eastAsia="lv-LV"/>
        </w:rPr>
        <w:t xml:space="preserve">. Vienlaikus arī LOK un LOV ir savi administratīvie izdevumi, kas kopumā gada ietvaros ir gandrīz miljons </w:t>
      </w:r>
      <w:r w:rsidR="00241959" w:rsidRPr="00241959">
        <w:rPr>
          <w:rFonts w:eastAsia="Times New Roman" w:cs="Times New Roman"/>
          <w:i/>
          <w:lang w:eastAsia="lv-LV"/>
        </w:rPr>
        <w:t>euro</w:t>
      </w:r>
      <w:r w:rsidR="00241959" w:rsidRPr="00241959">
        <w:rPr>
          <w:rFonts w:eastAsia="Times New Roman" w:cs="Times New Roman"/>
          <w:lang w:eastAsia="lv-LV"/>
        </w:rPr>
        <w:t xml:space="preserve">. IZM nepieciešams izvērtēt “Latvijas Olimpiešu sociālā fonda” </w:t>
      </w:r>
      <w:r w:rsidR="00464044">
        <w:rPr>
          <w:rFonts w:eastAsia="Times New Roman" w:cs="Times New Roman"/>
          <w:lang w:eastAsia="lv-LV"/>
        </w:rPr>
        <w:t>darbību valsts budžeta līdzekļu administrēšanas kontekstā</w:t>
      </w:r>
      <w:r w:rsidR="00241959" w:rsidRPr="00241959">
        <w:rPr>
          <w:rFonts w:eastAsia="Times New Roman" w:cs="Times New Roman"/>
          <w:lang w:eastAsia="lv-LV"/>
        </w:rPr>
        <w:t>, jo šīs organizācijas veiktos pienākumus (dokumenta apstrādi un finansējuma pārskaitīšanu) būtu iespējams veikt pašam LOK vai LOV.</w:t>
      </w:r>
    </w:p>
    <w:p w14:paraId="32D19CC6" w14:textId="77777777" w:rsidR="00400BA5" w:rsidRPr="00400BA5" w:rsidRDefault="00400BA5" w:rsidP="00400BA5">
      <w:pPr>
        <w:spacing w:after="120"/>
        <w:ind w:left="720"/>
        <w:jc w:val="both"/>
        <w:rPr>
          <w:rFonts w:eastAsia="Times New Roman" w:cs="Times New Roman"/>
          <w:lang w:eastAsia="lv-LV"/>
        </w:rPr>
      </w:pPr>
    </w:p>
    <w:p w14:paraId="26930648" w14:textId="77777777" w:rsidR="00B27399" w:rsidRDefault="00136CAF" w:rsidP="006A15ED">
      <w:pPr>
        <w:pStyle w:val="Heading2"/>
        <w:numPr>
          <w:ilvl w:val="1"/>
          <w:numId w:val="2"/>
        </w:numPr>
      </w:pPr>
      <w:bookmarkStart w:id="144" w:name="_Toc48200654"/>
      <w:r>
        <w:t>Iekšlietu nozares budžeta analīze</w:t>
      </w:r>
      <w:bookmarkEnd w:id="144"/>
    </w:p>
    <w:p w14:paraId="022088AE" w14:textId="77777777" w:rsidR="00763A63" w:rsidRDefault="00763A63" w:rsidP="00763A63">
      <w:pPr>
        <w:spacing w:line="254" w:lineRule="auto"/>
        <w:ind w:firstLine="720"/>
        <w:jc w:val="both"/>
        <w:rPr>
          <w:rFonts w:cs="Times New Roman"/>
        </w:rPr>
      </w:pPr>
      <w:r w:rsidRPr="003C18E8">
        <w:rPr>
          <w:rFonts w:cs="Times New Roman"/>
        </w:rPr>
        <w:t>IeM ir vadošā valsts pārvaldes iestāde iekšlietu nozarē, kas ietver noziedzības apkarošanas, sabiedriskās kārtības un drošības aizsardzības, personas tiesību un likumīgo interešu aizsardzības, valsts robežas drošības, ugunsdrošības, ugunsdzēsības, glābšanas, civilās aizsardzības, iedzīvotāju uzskaites un dokumentēšanas, kā arī migrācijas un pilsonības jautājumu apakšnozares.</w:t>
      </w:r>
    </w:p>
    <w:p w14:paraId="35283BBA" w14:textId="7D3F4D15" w:rsidR="00605F2A" w:rsidRDefault="00605F2A" w:rsidP="00605F2A">
      <w:pPr>
        <w:pStyle w:val="Caption"/>
      </w:pPr>
      <w:bookmarkStart w:id="145" w:name="_Ref47099446"/>
      <w:r>
        <w:t xml:space="preserve">Attēls Nr. </w:t>
      </w:r>
      <w:fldSimple w:instr=" SEQ Attēls_Nr. \* ARABIC ">
        <w:r w:rsidR="00D96F20">
          <w:rPr>
            <w:noProof/>
          </w:rPr>
          <w:t>51</w:t>
        </w:r>
      </w:fldSimple>
      <w:bookmarkEnd w:id="145"/>
    </w:p>
    <w:p w14:paraId="6388111B" w14:textId="77777777" w:rsidR="00605F2A" w:rsidRPr="003C18E8" w:rsidRDefault="00605F2A" w:rsidP="00605F2A">
      <w:pPr>
        <w:spacing w:line="254" w:lineRule="auto"/>
        <w:ind w:firstLine="720"/>
        <w:jc w:val="center"/>
        <w:rPr>
          <w:rFonts w:cs="Times New Roman"/>
          <w:b/>
        </w:rPr>
      </w:pPr>
      <w:r w:rsidRPr="003C18E8">
        <w:rPr>
          <w:rFonts w:cs="Times New Roman"/>
          <w:b/>
        </w:rPr>
        <w:t xml:space="preserve">Ministriju pamatbudžeta izdevumi </w:t>
      </w:r>
      <w:r w:rsidRPr="003C18E8">
        <w:rPr>
          <w:rFonts w:cs="Times New Roman"/>
        </w:rPr>
        <w:t xml:space="preserve">(bruto milj. </w:t>
      </w:r>
      <w:r w:rsidRPr="005732B9">
        <w:rPr>
          <w:rFonts w:cs="Times New Roman"/>
          <w:i/>
        </w:rPr>
        <w:t>euro</w:t>
      </w:r>
      <w:r w:rsidRPr="003C18E8">
        <w:rPr>
          <w:rFonts w:cs="Times New Roman"/>
        </w:rPr>
        <w:t>)</w:t>
      </w:r>
      <w:r w:rsidRPr="003C18E8">
        <w:rPr>
          <w:rFonts w:cs="Times New Roman"/>
          <w:b/>
        </w:rPr>
        <w:t xml:space="preserve"> un to īpatsvars kopējos ministriju valsts pamatbudžeta izdevumos 2020.gadā </w:t>
      </w:r>
      <w:r w:rsidRPr="003C18E8">
        <w:rPr>
          <w:rFonts w:cs="Times New Roman"/>
        </w:rPr>
        <w:t>(%)</w:t>
      </w:r>
    </w:p>
    <w:p w14:paraId="76053509" w14:textId="78D06BD2" w:rsidR="00605F2A" w:rsidRPr="00605F2A" w:rsidRDefault="00406D3B" w:rsidP="00605F2A">
      <w:pPr>
        <w:jc w:val="center"/>
      </w:pPr>
      <w:r>
        <w:rPr>
          <w:noProof/>
          <w:lang w:eastAsia="lv-LV"/>
        </w:rPr>
        <w:drawing>
          <wp:inline distT="0" distB="0" distL="0" distR="0" wp14:anchorId="6EC56114" wp14:editId="1BE0FBCF">
            <wp:extent cx="5760085" cy="2652765"/>
            <wp:effectExtent l="0" t="0" r="12065" b="14605"/>
            <wp:docPr id="124" name="Chart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AC2EF59" w14:textId="645DCB1B" w:rsidR="00E413F7" w:rsidRPr="004B7D98" w:rsidRDefault="00605F2A" w:rsidP="004B7D98">
      <w:pPr>
        <w:spacing w:line="254" w:lineRule="auto"/>
        <w:ind w:firstLine="720"/>
        <w:jc w:val="both"/>
        <w:rPr>
          <w:rFonts w:cs="Times New Roman"/>
        </w:rPr>
      </w:pPr>
      <w:r w:rsidRPr="00605F2A">
        <w:rPr>
          <w:rFonts w:cs="Times New Roman"/>
        </w:rPr>
        <w:t>Izvērtējot ministriju 2020.</w:t>
      </w:r>
      <w:r w:rsidR="00BB7980">
        <w:rPr>
          <w:rFonts w:cs="Times New Roman"/>
        </w:rPr>
        <w:t xml:space="preserve"> </w:t>
      </w:r>
      <w:r w:rsidRPr="00605F2A">
        <w:rPr>
          <w:rFonts w:cs="Times New Roman"/>
        </w:rPr>
        <w:t>gada plānotos pamatb</w:t>
      </w:r>
      <w:r>
        <w:rPr>
          <w:rFonts w:cs="Times New Roman"/>
        </w:rPr>
        <w:t>udžeta izdevumus (</w:t>
      </w:r>
      <w:r>
        <w:rPr>
          <w:rFonts w:cs="Times New Roman"/>
        </w:rPr>
        <w:fldChar w:fldCharType="begin"/>
      </w:r>
      <w:r>
        <w:rPr>
          <w:rFonts w:cs="Times New Roman"/>
        </w:rPr>
        <w:instrText xml:space="preserve"> REF _Ref47099446 \h </w:instrText>
      </w:r>
      <w:r>
        <w:rPr>
          <w:rFonts w:cs="Times New Roman"/>
        </w:rPr>
      </w:r>
      <w:r>
        <w:rPr>
          <w:rFonts w:cs="Times New Roman"/>
        </w:rPr>
        <w:fldChar w:fldCharType="separate"/>
      </w:r>
      <w:r w:rsidR="00D96F20">
        <w:t xml:space="preserve">Attēls Nr. </w:t>
      </w:r>
      <w:r w:rsidR="00D96F20">
        <w:rPr>
          <w:noProof/>
        </w:rPr>
        <w:t>51</w:t>
      </w:r>
      <w:r>
        <w:rPr>
          <w:rFonts w:cs="Times New Roman"/>
        </w:rPr>
        <w:fldChar w:fldCharType="end"/>
      </w:r>
      <w:r w:rsidRPr="00605F2A">
        <w:rPr>
          <w:rFonts w:cs="Times New Roman"/>
        </w:rPr>
        <w:t>), redzams, ka IeM plānotie pamatbudžeta izdevumi 2020.</w:t>
      </w:r>
      <w:r w:rsidR="00BB7980">
        <w:rPr>
          <w:rFonts w:cs="Times New Roman"/>
        </w:rPr>
        <w:t xml:space="preserve"> </w:t>
      </w:r>
      <w:r w:rsidRPr="00605F2A">
        <w:rPr>
          <w:rFonts w:cs="Times New Roman"/>
        </w:rPr>
        <w:t xml:space="preserve">gadam ir 415 milj. </w:t>
      </w:r>
      <w:r w:rsidRPr="00605F2A">
        <w:rPr>
          <w:rFonts w:cs="Times New Roman"/>
          <w:i/>
        </w:rPr>
        <w:t>euro</w:t>
      </w:r>
      <w:r w:rsidRPr="00605F2A">
        <w:rPr>
          <w:rFonts w:cs="Times New Roman"/>
        </w:rPr>
        <w:t>, un ministrija ierindojas vidusdaļā pēc pamatbudžeta apjoma. IeM izdevumi 2020.</w:t>
      </w:r>
      <w:r w:rsidR="00BB7980">
        <w:rPr>
          <w:rFonts w:cs="Times New Roman"/>
        </w:rPr>
        <w:t xml:space="preserve"> </w:t>
      </w:r>
      <w:r w:rsidRPr="00605F2A">
        <w:rPr>
          <w:rFonts w:cs="Times New Roman"/>
        </w:rPr>
        <w:t xml:space="preserve">gadam veido 6,3% no kopējā </w:t>
      </w:r>
      <w:r w:rsidR="00BB7980">
        <w:rPr>
          <w:rFonts w:cs="Times New Roman"/>
        </w:rPr>
        <w:t xml:space="preserve">ministrijām </w:t>
      </w:r>
      <w:r w:rsidRPr="00605F2A">
        <w:rPr>
          <w:rFonts w:cs="Times New Roman"/>
        </w:rPr>
        <w:t xml:space="preserve">plānotā </w:t>
      </w:r>
      <w:r w:rsidR="00BB7980" w:rsidRPr="00605F2A">
        <w:rPr>
          <w:rFonts w:cs="Times New Roman"/>
        </w:rPr>
        <w:t>pamatbudžet</w:t>
      </w:r>
      <w:r w:rsidR="00BB7980">
        <w:rPr>
          <w:rFonts w:cs="Times New Roman"/>
        </w:rPr>
        <w:t>u</w:t>
      </w:r>
      <w:r w:rsidR="00BB7980" w:rsidRPr="00605F2A">
        <w:rPr>
          <w:rFonts w:cs="Times New Roman"/>
        </w:rPr>
        <w:t xml:space="preserve"> </w:t>
      </w:r>
      <w:r w:rsidRPr="00605F2A">
        <w:rPr>
          <w:rFonts w:cs="Times New Roman"/>
        </w:rPr>
        <w:t xml:space="preserve">apjoma. </w:t>
      </w:r>
      <w:bookmarkStart w:id="146" w:name="_Ref47099552"/>
    </w:p>
    <w:p w14:paraId="2E553421" w14:textId="5889A419" w:rsidR="00605F2A" w:rsidRDefault="00605F2A" w:rsidP="00605F2A">
      <w:pPr>
        <w:pStyle w:val="Caption"/>
      </w:pPr>
      <w:bookmarkStart w:id="147" w:name="_Ref47963218"/>
      <w:r>
        <w:lastRenderedPageBreak/>
        <w:t xml:space="preserve">Attēls Nr. </w:t>
      </w:r>
      <w:fldSimple w:instr=" SEQ Attēls_Nr. \* ARABIC ">
        <w:r w:rsidR="00D96F20">
          <w:rPr>
            <w:noProof/>
          </w:rPr>
          <w:t>52</w:t>
        </w:r>
      </w:fldSimple>
      <w:bookmarkEnd w:id="146"/>
      <w:bookmarkEnd w:id="147"/>
    </w:p>
    <w:p w14:paraId="15BD94A2" w14:textId="7D1B8EB1" w:rsidR="00605F2A" w:rsidRPr="003C18E8" w:rsidRDefault="00F05913" w:rsidP="00605F2A">
      <w:pPr>
        <w:spacing w:line="254" w:lineRule="auto"/>
        <w:ind w:firstLine="720"/>
        <w:jc w:val="center"/>
        <w:rPr>
          <w:rFonts w:cs="Times New Roman"/>
          <w:b/>
        </w:rPr>
      </w:pPr>
      <w:r>
        <w:rPr>
          <w:rFonts w:cs="Times New Roman"/>
          <w:b/>
        </w:rPr>
        <w:t>IeM</w:t>
      </w:r>
      <w:r w:rsidR="00605F2A" w:rsidRPr="003C18E8">
        <w:rPr>
          <w:rFonts w:cs="Times New Roman"/>
          <w:b/>
        </w:rPr>
        <w:t xml:space="preserve"> pamatbudžeta izdevumu </w:t>
      </w:r>
      <w:r w:rsidR="007D0CCF">
        <w:rPr>
          <w:rFonts w:cs="Times New Roman"/>
          <w:b/>
        </w:rPr>
        <w:t>dinamika par laika posmu no 2014</w:t>
      </w:r>
      <w:r w:rsidR="00605F2A" w:rsidRPr="003C18E8">
        <w:rPr>
          <w:rFonts w:cs="Times New Roman"/>
          <w:b/>
        </w:rPr>
        <w:t>.gada līdz 20</w:t>
      </w:r>
      <w:r w:rsidR="00605F2A">
        <w:rPr>
          <w:rFonts w:cs="Times New Roman"/>
          <w:b/>
        </w:rPr>
        <w:t>22</w:t>
      </w:r>
      <w:r w:rsidR="00605F2A" w:rsidRPr="003C18E8">
        <w:rPr>
          <w:rFonts w:cs="Times New Roman"/>
          <w:b/>
        </w:rPr>
        <w:t>.gadam</w:t>
      </w:r>
      <w:r w:rsidR="00605F2A">
        <w:rPr>
          <w:rFonts w:cs="Times New Roman"/>
          <w:b/>
        </w:rPr>
        <w:t xml:space="preserve">, milj. </w:t>
      </w:r>
      <w:r w:rsidR="00605F2A" w:rsidRPr="00AD6C0C">
        <w:rPr>
          <w:rFonts w:cs="Times New Roman"/>
          <w:b/>
          <w:i/>
        </w:rPr>
        <w:t>euro</w:t>
      </w:r>
    </w:p>
    <w:p w14:paraId="24FBB8A2" w14:textId="45284CC5" w:rsidR="00605F2A" w:rsidRDefault="007D0CCF" w:rsidP="00605F2A">
      <w:r>
        <w:rPr>
          <w:noProof/>
          <w:lang w:eastAsia="lv-LV"/>
        </w:rPr>
        <w:drawing>
          <wp:inline distT="0" distB="0" distL="0" distR="0" wp14:anchorId="3615F4F6" wp14:editId="13626E98">
            <wp:extent cx="5760085" cy="2267712"/>
            <wp:effectExtent l="0" t="0" r="12065" b="1841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7E6F804" w14:textId="2F0367E8" w:rsidR="00605F2A" w:rsidRDefault="00605F2A" w:rsidP="00E413F7">
      <w:pPr>
        <w:pStyle w:val="Caption"/>
        <w:ind w:firstLine="720"/>
        <w:jc w:val="both"/>
        <w:rPr>
          <w:rFonts w:cs="Times New Roman"/>
        </w:rPr>
      </w:pPr>
      <w:r w:rsidRPr="00605F2A">
        <w:rPr>
          <w:rFonts w:cs="Times New Roman"/>
        </w:rPr>
        <w:t>Aplūkojot IeM pamatbudžeta izdevumu dinamiku</w:t>
      </w:r>
      <w:r>
        <w:rPr>
          <w:rFonts w:cs="Times New Roman"/>
        </w:rPr>
        <w:t xml:space="preserve"> (</w:t>
      </w:r>
      <w:r w:rsidR="00E413F7">
        <w:rPr>
          <w:rFonts w:cs="Times New Roman"/>
        </w:rPr>
        <w:fldChar w:fldCharType="begin"/>
      </w:r>
      <w:r w:rsidR="00E413F7">
        <w:rPr>
          <w:rFonts w:cs="Times New Roman"/>
        </w:rPr>
        <w:instrText xml:space="preserve"> REF _Ref47963218 \h </w:instrText>
      </w:r>
      <w:r w:rsidR="00E413F7">
        <w:rPr>
          <w:rFonts w:cs="Times New Roman"/>
        </w:rPr>
      </w:r>
      <w:r w:rsidR="00E413F7">
        <w:rPr>
          <w:rFonts w:cs="Times New Roman"/>
        </w:rPr>
        <w:fldChar w:fldCharType="separate"/>
      </w:r>
      <w:r w:rsidR="00D96F20">
        <w:t xml:space="preserve">Attēls Nr. </w:t>
      </w:r>
      <w:r w:rsidR="00D96F20">
        <w:rPr>
          <w:noProof/>
        </w:rPr>
        <w:t>52</w:t>
      </w:r>
      <w:r w:rsidR="00E413F7">
        <w:rPr>
          <w:rFonts w:cs="Times New Roman"/>
        </w:rPr>
        <w:fldChar w:fldCharType="end"/>
      </w:r>
      <w:r>
        <w:rPr>
          <w:rFonts w:cs="Times New Roman"/>
        </w:rPr>
        <w:t>)</w:t>
      </w:r>
      <w:r w:rsidRPr="00605F2A">
        <w:rPr>
          <w:rFonts w:cs="Times New Roman"/>
        </w:rPr>
        <w:t xml:space="preserve"> </w:t>
      </w:r>
      <w:r w:rsidR="007D0CCF">
        <w:rPr>
          <w:rFonts w:cs="Times New Roman"/>
        </w:rPr>
        <w:t xml:space="preserve">par </w:t>
      </w:r>
      <w:r w:rsidR="007D0CCF" w:rsidRPr="007D0CCF">
        <w:rPr>
          <w:rFonts w:cs="Times New Roman"/>
        </w:rPr>
        <w:t xml:space="preserve">laika posmu no 2014.gada līdz 2022.gadam, redzams, ka pamatbudžeta izdevumi pamatfunkciju īstenošanai IeM 2020.gadā salīdzinot ar 2014.gadu ir pieauguši par 106,7 milj. </w:t>
      </w:r>
      <w:r w:rsidR="007D0CCF" w:rsidRPr="007D0CCF">
        <w:rPr>
          <w:rFonts w:cs="Times New Roman"/>
          <w:i/>
        </w:rPr>
        <w:t>euro</w:t>
      </w:r>
      <w:r w:rsidR="007D0CCF" w:rsidRPr="007D0CCF">
        <w:rPr>
          <w:rFonts w:cs="Times New Roman"/>
        </w:rPr>
        <w:t xml:space="preserve"> jeb 40,8%. Vērts pieminēt, ka 2019.gadā IeM tika piešķirti kopumā 34,2 milj. </w:t>
      </w:r>
      <w:r w:rsidR="007D0CCF" w:rsidRPr="007D0CCF">
        <w:rPr>
          <w:rFonts w:cs="Times New Roman"/>
          <w:i/>
        </w:rPr>
        <w:t>euro</w:t>
      </w:r>
      <w:r w:rsidR="007D0CCF" w:rsidRPr="007D0CCF">
        <w:rPr>
          <w:rFonts w:cs="Times New Roman"/>
        </w:rPr>
        <w:t xml:space="preserve"> pabalstu izmaksai IeM amatpersonām </w:t>
      </w:r>
      <w:r w:rsidR="00C93791">
        <w:rPr>
          <w:rFonts w:cs="Times New Roman"/>
        </w:rPr>
        <w:t>ar speciālajām dienesta pakāpēm</w:t>
      </w:r>
      <w:r w:rsidR="00C93791" w:rsidRPr="007D0CCF">
        <w:rPr>
          <w:rFonts w:cs="Times New Roman"/>
        </w:rPr>
        <w:t xml:space="preserve"> </w:t>
      </w:r>
      <w:r w:rsidR="007D0CCF" w:rsidRPr="007D0CCF">
        <w:rPr>
          <w:rFonts w:cs="Times New Roman"/>
        </w:rPr>
        <w:t>3 mēnešalgu apmēra pēc katriem 5 nepārtrauktas izdienas gadiem.</w:t>
      </w:r>
    </w:p>
    <w:p w14:paraId="22C59123" w14:textId="442E9EB8" w:rsidR="00605F2A" w:rsidRDefault="00605F2A" w:rsidP="00605F2A">
      <w:pPr>
        <w:pStyle w:val="Caption"/>
      </w:pPr>
      <w:bookmarkStart w:id="148" w:name="_Ref47099654"/>
      <w:r>
        <w:t xml:space="preserve">Attēls Nr. </w:t>
      </w:r>
      <w:fldSimple w:instr=" SEQ Attēls_Nr. \* ARABIC ">
        <w:r w:rsidR="00D96F20">
          <w:rPr>
            <w:noProof/>
          </w:rPr>
          <w:t>53</w:t>
        </w:r>
      </w:fldSimple>
      <w:bookmarkEnd w:id="148"/>
    </w:p>
    <w:p w14:paraId="105DC3D5" w14:textId="77777777" w:rsidR="00605F2A" w:rsidRPr="003C18E8" w:rsidRDefault="00605F2A" w:rsidP="00605F2A">
      <w:pPr>
        <w:spacing w:line="254" w:lineRule="auto"/>
        <w:ind w:firstLine="720"/>
        <w:jc w:val="center"/>
        <w:rPr>
          <w:rFonts w:cs="Times New Roman"/>
          <w:b/>
        </w:rPr>
      </w:pPr>
      <w:r w:rsidRPr="003C18E8">
        <w:rPr>
          <w:rFonts w:cs="Times New Roman"/>
          <w:b/>
        </w:rPr>
        <w:t>Ministriju budžeta izdevumu neizpilde 2019.gadā (%)</w:t>
      </w:r>
    </w:p>
    <w:p w14:paraId="782E8D3B" w14:textId="77777777" w:rsidR="00605F2A" w:rsidRPr="00034664" w:rsidRDefault="00605F2A" w:rsidP="00AB5226">
      <w:pPr>
        <w:spacing w:line="254" w:lineRule="auto"/>
        <w:rPr>
          <w:rFonts w:cs="Times New Roman"/>
          <w:b/>
        </w:rPr>
      </w:pPr>
      <w:r>
        <w:rPr>
          <w:noProof/>
          <w:lang w:eastAsia="lv-LV"/>
        </w:rPr>
        <w:drawing>
          <wp:inline distT="0" distB="0" distL="0" distR="0" wp14:anchorId="323F5719" wp14:editId="07A0DE07">
            <wp:extent cx="5732780" cy="2305879"/>
            <wp:effectExtent l="0" t="0" r="1270" b="18415"/>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89D7D00" w14:textId="6718024D" w:rsidR="00083858" w:rsidRPr="00DB45EE" w:rsidRDefault="00605F2A" w:rsidP="00DB45EE">
      <w:pPr>
        <w:spacing w:line="254" w:lineRule="auto"/>
        <w:ind w:firstLine="720"/>
        <w:jc w:val="both"/>
        <w:rPr>
          <w:rFonts w:cs="Times New Roman"/>
        </w:rPr>
      </w:pPr>
      <w:r w:rsidRPr="003C18E8">
        <w:rPr>
          <w:rFonts w:cs="Times New Roman"/>
        </w:rPr>
        <w:t xml:space="preserve">Attēlā </w:t>
      </w:r>
      <w:r>
        <w:rPr>
          <w:rFonts w:cs="Times New Roman"/>
        </w:rPr>
        <w:t>(</w:t>
      </w:r>
      <w:r>
        <w:rPr>
          <w:rFonts w:cs="Times New Roman"/>
        </w:rPr>
        <w:fldChar w:fldCharType="begin"/>
      </w:r>
      <w:r>
        <w:rPr>
          <w:rFonts w:cs="Times New Roman"/>
        </w:rPr>
        <w:instrText xml:space="preserve"> REF _Ref47099654 \h </w:instrText>
      </w:r>
      <w:r>
        <w:rPr>
          <w:rFonts w:cs="Times New Roman"/>
        </w:rPr>
      </w:r>
      <w:r>
        <w:rPr>
          <w:rFonts w:cs="Times New Roman"/>
        </w:rPr>
        <w:fldChar w:fldCharType="separate"/>
      </w:r>
      <w:r w:rsidR="00D96F20">
        <w:t xml:space="preserve">Attēls Nr. </w:t>
      </w:r>
      <w:r w:rsidR="00D96F20">
        <w:rPr>
          <w:noProof/>
        </w:rPr>
        <w:t>53</w:t>
      </w:r>
      <w:r>
        <w:rPr>
          <w:rFonts w:cs="Times New Roman"/>
        </w:rPr>
        <w:fldChar w:fldCharType="end"/>
      </w:r>
      <w:r>
        <w:rPr>
          <w:rFonts w:cs="Times New Roman"/>
        </w:rPr>
        <w:t xml:space="preserve">) </w:t>
      </w:r>
      <w:r w:rsidRPr="003C18E8">
        <w:rPr>
          <w:rFonts w:cs="Times New Roman"/>
        </w:rPr>
        <w:t>atspoguļota ministriju budžeta izdevumu neizpilde 2019.</w:t>
      </w:r>
      <w:r w:rsidR="00E413F7">
        <w:rPr>
          <w:rFonts w:cs="Times New Roman"/>
        </w:rPr>
        <w:t xml:space="preserve"> </w:t>
      </w:r>
      <w:r w:rsidRPr="003C18E8">
        <w:rPr>
          <w:rFonts w:cs="Times New Roman"/>
        </w:rPr>
        <w:t>gadā. IeM neizpilde 2019.</w:t>
      </w:r>
      <w:r w:rsidR="00E413F7">
        <w:rPr>
          <w:rFonts w:cs="Times New Roman"/>
        </w:rPr>
        <w:t xml:space="preserve"> </w:t>
      </w:r>
      <w:r w:rsidRPr="003C18E8">
        <w:rPr>
          <w:rFonts w:cs="Times New Roman"/>
        </w:rPr>
        <w:t>gadā veido</w:t>
      </w:r>
      <w:r>
        <w:rPr>
          <w:rFonts w:cs="Times New Roman"/>
        </w:rPr>
        <w:t xml:space="preserve"> 2,2% jeb</w:t>
      </w:r>
      <w:r w:rsidRPr="003C18E8">
        <w:rPr>
          <w:rFonts w:cs="Times New Roman"/>
        </w:rPr>
        <w:t xml:space="preserve"> 9,9 milj. </w:t>
      </w:r>
      <w:r w:rsidRPr="005732B9">
        <w:rPr>
          <w:rFonts w:cs="Times New Roman"/>
          <w:i/>
        </w:rPr>
        <w:t>euro</w:t>
      </w:r>
      <w:r w:rsidRPr="003C18E8">
        <w:rPr>
          <w:rFonts w:cs="Times New Roman"/>
        </w:rPr>
        <w:t xml:space="preserve"> un</w:t>
      </w:r>
      <w:r>
        <w:rPr>
          <w:rFonts w:cs="Times New Roman"/>
        </w:rPr>
        <w:t>, līdzīgi kā ministriju budžeta izdevumu apmēra, starp ministrijām ierindojoties vidējā pozīcijā</w:t>
      </w:r>
      <w:r w:rsidRPr="003C18E8">
        <w:rPr>
          <w:rFonts w:cs="Times New Roman"/>
        </w:rPr>
        <w:t>.</w:t>
      </w:r>
      <w:r>
        <w:rPr>
          <w:rFonts w:cs="Times New Roman"/>
        </w:rPr>
        <w:t xml:space="preserve"> </w:t>
      </w:r>
      <w:r w:rsidRPr="003C18E8">
        <w:rPr>
          <w:rFonts w:cs="Times New Roman"/>
        </w:rPr>
        <w:t xml:space="preserve">Ņemot vērā šos rādītājus, </w:t>
      </w:r>
      <w:r>
        <w:rPr>
          <w:rFonts w:cs="Times New Roman"/>
        </w:rPr>
        <w:t>tiks</w:t>
      </w:r>
      <w:r w:rsidRPr="003C18E8">
        <w:rPr>
          <w:rFonts w:cs="Times New Roman"/>
        </w:rPr>
        <w:t xml:space="preserve"> detalizētāk izpētīt</w:t>
      </w:r>
      <w:r>
        <w:rPr>
          <w:rFonts w:cs="Times New Roman"/>
        </w:rPr>
        <w:t>a</w:t>
      </w:r>
      <w:r w:rsidRPr="003C18E8">
        <w:rPr>
          <w:rFonts w:cs="Times New Roman"/>
        </w:rPr>
        <w:t xml:space="preserve"> IeM budžeta izdevumu neizpildes dinamik</w:t>
      </w:r>
      <w:r>
        <w:rPr>
          <w:rFonts w:cs="Times New Roman"/>
        </w:rPr>
        <w:t>a</w:t>
      </w:r>
      <w:r w:rsidRPr="003C18E8">
        <w:rPr>
          <w:rFonts w:cs="Times New Roman"/>
        </w:rPr>
        <w:t xml:space="preserve"> un tās iespējamos cēloņ</w:t>
      </w:r>
      <w:r>
        <w:rPr>
          <w:rFonts w:cs="Times New Roman"/>
        </w:rPr>
        <w:t>i</w:t>
      </w:r>
      <w:r w:rsidRPr="003C18E8">
        <w:rPr>
          <w:rFonts w:cs="Times New Roman"/>
        </w:rPr>
        <w:t>.</w:t>
      </w:r>
      <w:bookmarkStart w:id="149" w:name="_Ref47100394"/>
      <w:bookmarkStart w:id="150" w:name="_Ref47963293"/>
    </w:p>
    <w:p w14:paraId="57B6AFDF" w14:textId="4520D8E5" w:rsidR="00083858" w:rsidRDefault="00083858" w:rsidP="00605F2A">
      <w:pPr>
        <w:pStyle w:val="Caption"/>
      </w:pPr>
    </w:p>
    <w:p w14:paraId="182DA009" w14:textId="08B03F47" w:rsidR="00DB45EE" w:rsidRDefault="00DB45EE" w:rsidP="00DB45EE"/>
    <w:p w14:paraId="6C782BA8" w14:textId="77777777" w:rsidR="00DB45EE" w:rsidRPr="00DB45EE" w:rsidRDefault="00DB45EE" w:rsidP="00DB45EE"/>
    <w:p w14:paraId="1A87D2DD" w14:textId="6CD81E7C" w:rsidR="00605F2A" w:rsidRDefault="00605F2A" w:rsidP="00605F2A">
      <w:pPr>
        <w:pStyle w:val="Caption"/>
      </w:pPr>
      <w:r>
        <w:lastRenderedPageBreak/>
        <w:t xml:space="preserve">Attēls Nr. </w:t>
      </w:r>
      <w:fldSimple w:instr=" SEQ Attēls_Nr. \* ARABIC ">
        <w:r w:rsidR="00D96F20">
          <w:rPr>
            <w:noProof/>
          </w:rPr>
          <w:t>54</w:t>
        </w:r>
      </w:fldSimple>
      <w:bookmarkEnd w:id="149"/>
      <w:bookmarkEnd w:id="150"/>
    </w:p>
    <w:p w14:paraId="51D55711" w14:textId="77777777" w:rsidR="00BF1D9A" w:rsidRDefault="000F4160" w:rsidP="00BF1D9A">
      <w:pPr>
        <w:pStyle w:val="Caption"/>
        <w:jc w:val="center"/>
        <w:rPr>
          <w:rFonts w:cs="Times New Roman"/>
          <w:b/>
          <w:i/>
        </w:rPr>
      </w:pPr>
      <w:r>
        <w:rPr>
          <w:rFonts w:cs="Times New Roman"/>
          <w:b/>
        </w:rPr>
        <w:t>IeM</w:t>
      </w:r>
      <w:r w:rsidR="00605F2A" w:rsidRPr="00605F2A">
        <w:rPr>
          <w:rFonts w:cs="Times New Roman"/>
          <w:b/>
        </w:rPr>
        <w:t xml:space="preserve"> budžeta pamatfunkciju izdevumu dinamika 2015-1019.gads, milj. </w:t>
      </w:r>
      <w:r w:rsidR="00605F2A" w:rsidRPr="00605F2A">
        <w:rPr>
          <w:rFonts w:cs="Times New Roman"/>
          <w:b/>
          <w:i/>
        </w:rPr>
        <w:t>euro</w:t>
      </w:r>
    </w:p>
    <w:p w14:paraId="77507D63" w14:textId="49F1E379" w:rsidR="00DB45EE" w:rsidRPr="006B27BA" w:rsidRDefault="00BF1D9A" w:rsidP="00DB45EE">
      <w:pPr>
        <w:pStyle w:val="Caption"/>
        <w:rPr>
          <w:rFonts w:cs="Times New Roman"/>
        </w:rPr>
      </w:pPr>
      <w:r>
        <w:rPr>
          <w:rFonts w:cs="Times New Roman"/>
          <w:noProof/>
          <w:lang w:eastAsia="lv-LV"/>
        </w:rPr>
        <w:drawing>
          <wp:inline distT="0" distB="0" distL="0" distR="0" wp14:anchorId="7797C542" wp14:editId="5611DD4E">
            <wp:extent cx="5292090" cy="2341245"/>
            <wp:effectExtent l="0" t="0" r="381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92090" cy="2341245"/>
                    </a:xfrm>
                    <a:prstGeom prst="rect">
                      <a:avLst/>
                    </a:prstGeom>
                    <a:noFill/>
                  </pic:spPr>
                </pic:pic>
              </a:graphicData>
            </a:graphic>
          </wp:inline>
        </w:drawing>
      </w:r>
    </w:p>
    <w:p w14:paraId="38000FF7" w14:textId="1D13A4C0" w:rsidR="006B27BA" w:rsidRPr="006B27BA" w:rsidRDefault="00DB45EE" w:rsidP="00406D3B">
      <w:pPr>
        <w:spacing w:before="240" w:line="254" w:lineRule="auto"/>
        <w:ind w:firstLine="720"/>
        <w:jc w:val="both"/>
        <w:rPr>
          <w:rFonts w:cs="Times New Roman"/>
        </w:rPr>
      </w:pPr>
      <w:r>
        <w:rPr>
          <w:rFonts w:cs="Times New Roman"/>
        </w:rPr>
        <w:t xml:space="preserve"> IeM budžeta dinamikā</w:t>
      </w:r>
      <w:r w:rsidR="006B27BA" w:rsidRPr="006B27BA">
        <w:rPr>
          <w:rFonts w:cs="Times New Roman"/>
        </w:rPr>
        <w:t xml:space="preserve"> pamatfunkcijām laikp</w:t>
      </w:r>
      <w:r>
        <w:rPr>
          <w:rFonts w:cs="Times New Roman"/>
        </w:rPr>
        <w:t>osmā no 2015. līdz 2019.gadam r</w:t>
      </w:r>
      <w:r w:rsidR="006B27BA" w:rsidRPr="006B27BA">
        <w:rPr>
          <w:rFonts w:cs="Times New Roman"/>
        </w:rPr>
        <w:t xml:space="preserve">edzams, ka ik gadu veidojas plāna neizpilde, kas robežojas 0,9% - 1,8% apmērā. 2019.gadā budžeta neizpilde bija 1,5% jeb 6,0 milj. </w:t>
      </w:r>
      <w:r w:rsidR="006B27BA" w:rsidRPr="006B27BA">
        <w:rPr>
          <w:rFonts w:cs="Times New Roman"/>
          <w:i/>
        </w:rPr>
        <w:t>euro</w:t>
      </w:r>
      <w:r w:rsidR="006B27BA" w:rsidRPr="006B27BA">
        <w:rPr>
          <w:rFonts w:cs="Times New Roman"/>
        </w:rPr>
        <w:t xml:space="preserve">. Salīdzinājumam – 2015. gadā neizpilde bija 1,4% no kopējā izdevumu apjoma jeb 3,9 milj. </w:t>
      </w:r>
      <w:r w:rsidR="006B27BA" w:rsidRPr="006B27BA">
        <w:rPr>
          <w:rFonts w:cs="Times New Roman"/>
          <w:i/>
        </w:rPr>
        <w:t>euro</w:t>
      </w:r>
      <w:r w:rsidR="006B27BA" w:rsidRPr="006B27BA">
        <w:rPr>
          <w:rFonts w:cs="Times New Roman"/>
        </w:rPr>
        <w:t xml:space="preserve">. Savukārt, izdevumu ārvalstu finanšu palīdzības līdzfinansēto projektu īstenošanai 2019.gadā netika apgūti 3,9 milj. </w:t>
      </w:r>
      <w:r w:rsidR="006B27BA" w:rsidRPr="006B27BA">
        <w:rPr>
          <w:rFonts w:cs="Times New Roman"/>
          <w:i/>
        </w:rPr>
        <w:t>euro</w:t>
      </w:r>
      <w:r w:rsidR="006B27BA" w:rsidRPr="006B27BA">
        <w:rPr>
          <w:rFonts w:cs="Times New Roman"/>
        </w:rPr>
        <w:t xml:space="preserve"> jeb 11,3% no plānotā apmēra. </w:t>
      </w:r>
    </w:p>
    <w:p w14:paraId="7571598F" w14:textId="65A61456" w:rsidR="00605F2A" w:rsidRDefault="006B27BA" w:rsidP="006B27BA">
      <w:pPr>
        <w:pStyle w:val="Caption"/>
      </w:pPr>
      <w:bookmarkStart w:id="151" w:name="_Ref47100508"/>
      <w:r>
        <w:t xml:space="preserve">Attēls Nr. </w:t>
      </w:r>
      <w:fldSimple w:instr=" SEQ Attēls_Nr. \* ARABIC ">
        <w:r w:rsidR="00D96F20">
          <w:rPr>
            <w:noProof/>
          </w:rPr>
          <w:t>55</w:t>
        </w:r>
      </w:fldSimple>
      <w:bookmarkEnd w:id="151"/>
    </w:p>
    <w:p w14:paraId="1885B332" w14:textId="77777777" w:rsidR="006B27BA" w:rsidRPr="006B27BA" w:rsidRDefault="006B27BA" w:rsidP="006B27BA">
      <w:pPr>
        <w:spacing w:line="254" w:lineRule="auto"/>
        <w:ind w:firstLine="720"/>
        <w:jc w:val="center"/>
        <w:rPr>
          <w:rFonts w:cs="Times New Roman"/>
          <w:b/>
        </w:rPr>
      </w:pPr>
      <w:r w:rsidRPr="006B27BA">
        <w:rPr>
          <w:rFonts w:cs="Times New Roman"/>
          <w:b/>
        </w:rPr>
        <w:t>IeM izdevumi pamatfunkcijām 2019.gadā pēc likuma griezuma EKK</w:t>
      </w:r>
    </w:p>
    <w:tbl>
      <w:tblPr>
        <w:tblW w:w="8921" w:type="dxa"/>
        <w:tblLook w:val="04A0" w:firstRow="1" w:lastRow="0" w:firstColumn="1" w:lastColumn="0" w:noHBand="0" w:noVBand="1"/>
      </w:tblPr>
      <w:tblGrid>
        <w:gridCol w:w="3818"/>
        <w:gridCol w:w="1275"/>
        <w:gridCol w:w="1276"/>
        <w:gridCol w:w="1418"/>
        <w:gridCol w:w="1134"/>
      </w:tblGrid>
      <w:tr w:rsidR="006B27BA" w:rsidRPr="006B27BA" w14:paraId="4D84D5DC" w14:textId="77777777" w:rsidTr="006B27BA">
        <w:trPr>
          <w:trHeight w:val="765"/>
        </w:trPr>
        <w:tc>
          <w:tcPr>
            <w:tcW w:w="3818" w:type="dxa"/>
            <w:tcBorders>
              <w:top w:val="single" w:sz="8" w:space="0" w:color="auto"/>
              <w:left w:val="single" w:sz="8" w:space="0" w:color="auto"/>
              <w:bottom w:val="single" w:sz="4" w:space="0" w:color="auto"/>
              <w:right w:val="single" w:sz="4" w:space="0" w:color="auto"/>
            </w:tcBorders>
            <w:shd w:val="clear" w:color="DDEBF7" w:fill="70AD47"/>
            <w:vAlign w:val="center"/>
            <w:hideMark/>
          </w:tcPr>
          <w:p w14:paraId="5C383C89" w14:textId="77777777" w:rsidR="006B27BA" w:rsidRPr="006B27BA" w:rsidRDefault="006B27BA" w:rsidP="006B27BA">
            <w:pPr>
              <w:spacing w:after="0" w:line="240" w:lineRule="auto"/>
              <w:jc w:val="center"/>
              <w:rPr>
                <w:rFonts w:eastAsia="Times New Roman" w:cs="Times New Roman"/>
                <w:b/>
                <w:bCs/>
                <w:color w:val="000000"/>
                <w:sz w:val="20"/>
                <w:szCs w:val="20"/>
                <w:lang w:eastAsia="lv-LV"/>
              </w:rPr>
            </w:pPr>
            <w:r w:rsidRPr="006B27BA">
              <w:rPr>
                <w:rFonts w:eastAsia="Times New Roman" w:cs="Times New Roman"/>
                <w:b/>
                <w:bCs/>
                <w:color w:val="000000"/>
                <w:sz w:val="20"/>
                <w:szCs w:val="20"/>
                <w:lang w:eastAsia="lv-LV"/>
              </w:rPr>
              <w:t> </w:t>
            </w:r>
          </w:p>
        </w:tc>
        <w:tc>
          <w:tcPr>
            <w:tcW w:w="1275" w:type="dxa"/>
            <w:tcBorders>
              <w:top w:val="single" w:sz="8" w:space="0" w:color="auto"/>
              <w:left w:val="nil"/>
              <w:bottom w:val="single" w:sz="4" w:space="0" w:color="auto"/>
              <w:right w:val="single" w:sz="4" w:space="0" w:color="auto"/>
            </w:tcBorders>
            <w:shd w:val="clear" w:color="DDEBF7" w:fill="70AD47"/>
            <w:vAlign w:val="center"/>
            <w:hideMark/>
          </w:tcPr>
          <w:p w14:paraId="74773686" w14:textId="77777777" w:rsidR="006B27BA" w:rsidRPr="006B27BA" w:rsidRDefault="006B27BA" w:rsidP="006B27BA">
            <w:pPr>
              <w:spacing w:after="0" w:line="240" w:lineRule="auto"/>
              <w:jc w:val="center"/>
              <w:rPr>
                <w:rFonts w:eastAsia="Times New Roman" w:cs="Times New Roman"/>
                <w:b/>
                <w:bCs/>
                <w:color w:val="000000"/>
                <w:sz w:val="20"/>
                <w:szCs w:val="20"/>
                <w:lang w:eastAsia="lv-LV"/>
              </w:rPr>
            </w:pPr>
            <w:r w:rsidRPr="006B27BA">
              <w:rPr>
                <w:rFonts w:eastAsia="Times New Roman" w:cs="Times New Roman"/>
                <w:b/>
                <w:bCs/>
                <w:color w:val="000000"/>
                <w:sz w:val="20"/>
                <w:szCs w:val="20"/>
                <w:lang w:eastAsia="lv-LV"/>
              </w:rPr>
              <w:t xml:space="preserve">Plāns, </w:t>
            </w:r>
            <w:r w:rsidRPr="006B27BA">
              <w:rPr>
                <w:rFonts w:eastAsia="Times New Roman" w:cs="Times New Roman"/>
                <w:b/>
                <w:bCs/>
                <w:i/>
                <w:color w:val="000000"/>
                <w:sz w:val="20"/>
                <w:szCs w:val="20"/>
                <w:lang w:eastAsia="lv-LV"/>
              </w:rPr>
              <w:t>euro</w:t>
            </w:r>
          </w:p>
        </w:tc>
        <w:tc>
          <w:tcPr>
            <w:tcW w:w="1276" w:type="dxa"/>
            <w:tcBorders>
              <w:top w:val="single" w:sz="8" w:space="0" w:color="auto"/>
              <w:left w:val="nil"/>
              <w:bottom w:val="single" w:sz="4" w:space="0" w:color="auto"/>
              <w:right w:val="single" w:sz="4" w:space="0" w:color="auto"/>
            </w:tcBorders>
            <w:shd w:val="clear" w:color="DDEBF7" w:fill="70AD47"/>
            <w:vAlign w:val="center"/>
            <w:hideMark/>
          </w:tcPr>
          <w:p w14:paraId="1C739BF5" w14:textId="77777777" w:rsidR="006B27BA" w:rsidRPr="006B27BA" w:rsidRDefault="006B27BA" w:rsidP="006B27BA">
            <w:pPr>
              <w:spacing w:after="0" w:line="240" w:lineRule="auto"/>
              <w:jc w:val="center"/>
              <w:rPr>
                <w:rFonts w:eastAsia="Times New Roman" w:cs="Times New Roman"/>
                <w:b/>
                <w:bCs/>
                <w:color w:val="000000"/>
                <w:sz w:val="20"/>
                <w:szCs w:val="20"/>
                <w:lang w:eastAsia="lv-LV"/>
              </w:rPr>
            </w:pPr>
            <w:r w:rsidRPr="006B27BA">
              <w:rPr>
                <w:rFonts w:eastAsia="Times New Roman" w:cs="Times New Roman"/>
                <w:b/>
                <w:bCs/>
                <w:color w:val="000000"/>
                <w:sz w:val="20"/>
                <w:szCs w:val="20"/>
                <w:lang w:eastAsia="lv-LV"/>
              </w:rPr>
              <w:t xml:space="preserve">Izpilde, </w:t>
            </w:r>
            <w:r w:rsidRPr="006B27BA">
              <w:rPr>
                <w:rFonts w:eastAsia="Times New Roman" w:cs="Times New Roman"/>
                <w:b/>
                <w:bCs/>
                <w:i/>
                <w:color w:val="000000"/>
                <w:sz w:val="20"/>
                <w:szCs w:val="20"/>
                <w:lang w:eastAsia="lv-LV"/>
              </w:rPr>
              <w:t>euro</w:t>
            </w:r>
          </w:p>
        </w:tc>
        <w:tc>
          <w:tcPr>
            <w:tcW w:w="1418" w:type="dxa"/>
            <w:tcBorders>
              <w:top w:val="single" w:sz="8" w:space="0" w:color="auto"/>
              <w:left w:val="nil"/>
              <w:bottom w:val="single" w:sz="4" w:space="0" w:color="auto"/>
              <w:right w:val="single" w:sz="4" w:space="0" w:color="auto"/>
            </w:tcBorders>
            <w:shd w:val="clear" w:color="000000" w:fill="70AD47"/>
            <w:vAlign w:val="center"/>
            <w:hideMark/>
          </w:tcPr>
          <w:p w14:paraId="1A32C16D" w14:textId="77777777" w:rsidR="006B27BA" w:rsidRPr="006B27BA" w:rsidRDefault="006B27BA" w:rsidP="006B27BA">
            <w:pPr>
              <w:spacing w:after="0" w:line="240" w:lineRule="auto"/>
              <w:jc w:val="center"/>
              <w:rPr>
                <w:rFonts w:eastAsia="Times New Roman" w:cs="Times New Roman"/>
                <w:b/>
                <w:bCs/>
                <w:color w:val="000000"/>
                <w:sz w:val="20"/>
                <w:szCs w:val="20"/>
                <w:lang w:eastAsia="lv-LV"/>
              </w:rPr>
            </w:pPr>
            <w:r w:rsidRPr="006B27BA">
              <w:rPr>
                <w:rFonts w:eastAsia="Times New Roman" w:cs="Times New Roman"/>
                <w:b/>
                <w:bCs/>
                <w:color w:val="000000"/>
                <w:sz w:val="20"/>
                <w:szCs w:val="20"/>
                <w:lang w:eastAsia="lv-LV"/>
              </w:rPr>
              <w:t xml:space="preserve">Neizpilde, </w:t>
            </w:r>
            <w:r w:rsidRPr="006B27BA">
              <w:rPr>
                <w:rFonts w:eastAsia="Times New Roman" w:cs="Times New Roman"/>
                <w:b/>
                <w:bCs/>
                <w:i/>
                <w:color w:val="000000"/>
                <w:sz w:val="20"/>
                <w:szCs w:val="20"/>
                <w:lang w:eastAsia="lv-LV"/>
              </w:rPr>
              <w:t>euro</w:t>
            </w:r>
          </w:p>
        </w:tc>
        <w:tc>
          <w:tcPr>
            <w:tcW w:w="1134" w:type="dxa"/>
            <w:tcBorders>
              <w:top w:val="single" w:sz="8" w:space="0" w:color="auto"/>
              <w:left w:val="nil"/>
              <w:bottom w:val="single" w:sz="4" w:space="0" w:color="auto"/>
              <w:right w:val="single" w:sz="8" w:space="0" w:color="auto"/>
            </w:tcBorders>
            <w:shd w:val="clear" w:color="DDEBF7" w:fill="70AD47"/>
            <w:vAlign w:val="center"/>
            <w:hideMark/>
          </w:tcPr>
          <w:p w14:paraId="283327A6" w14:textId="77777777" w:rsidR="006B27BA" w:rsidRPr="006B27BA" w:rsidRDefault="006B27BA" w:rsidP="006B27BA">
            <w:pPr>
              <w:spacing w:after="0" w:line="240" w:lineRule="auto"/>
              <w:jc w:val="center"/>
              <w:rPr>
                <w:rFonts w:eastAsia="Times New Roman" w:cs="Times New Roman"/>
                <w:b/>
                <w:bCs/>
                <w:color w:val="000000"/>
                <w:sz w:val="20"/>
                <w:szCs w:val="20"/>
                <w:lang w:eastAsia="lv-LV"/>
              </w:rPr>
            </w:pPr>
            <w:r w:rsidRPr="006B27BA">
              <w:rPr>
                <w:rFonts w:eastAsia="Times New Roman" w:cs="Times New Roman"/>
                <w:b/>
                <w:bCs/>
                <w:color w:val="000000"/>
                <w:sz w:val="20"/>
                <w:szCs w:val="20"/>
                <w:lang w:eastAsia="lv-LV"/>
              </w:rPr>
              <w:t>% no kopējās neizpildes</w:t>
            </w:r>
          </w:p>
        </w:tc>
      </w:tr>
      <w:tr w:rsidR="006B27BA" w:rsidRPr="006B27BA" w14:paraId="2EF7A98E" w14:textId="77777777" w:rsidTr="006B27BA">
        <w:trPr>
          <w:trHeight w:val="315"/>
        </w:trPr>
        <w:tc>
          <w:tcPr>
            <w:tcW w:w="3818" w:type="dxa"/>
            <w:tcBorders>
              <w:top w:val="nil"/>
              <w:left w:val="single" w:sz="8" w:space="0" w:color="auto"/>
              <w:bottom w:val="single" w:sz="4" w:space="0" w:color="auto"/>
              <w:right w:val="single" w:sz="4" w:space="0" w:color="auto"/>
            </w:tcBorders>
            <w:shd w:val="clear" w:color="auto" w:fill="auto"/>
            <w:noWrap/>
            <w:vAlign w:val="bottom"/>
            <w:hideMark/>
          </w:tcPr>
          <w:p w14:paraId="7C0D287E" w14:textId="77777777" w:rsidR="006B27BA" w:rsidRPr="006B27BA" w:rsidRDefault="006B27BA" w:rsidP="006B27BA">
            <w:pPr>
              <w:spacing w:after="0" w:line="240" w:lineRule="auto"/>
              <w:ind w:firstLineChars="100" w:firstLine="200"/>
              <w:rPr>
                <w:rFonts w:eastAsia="Times New Roman" w:cs="Times New Roman"/>
                <w:color w:val="000000"/>
                <w:sz w:val="20"/>
                <w:szCs w:val="20"/>
                <w:lang w:eastAsia="lv-LV"/>
              </w:rPr>
            </w:pPr>
            <w:r w:rsidRPr="006B27BA">
              <w:rPr>
                <w:rFonts w:eastAsia="Times New Roman" w:cs="Times New Roman"/>
                <w:color w:val="000000"/>
                <w:sz w:val="20"/>
                <w:szCs w:val="20"/>
                <w:lang w:eastAsia="lv-LV"/>
              </w:rPr>
              <w:t>1000 Atlīdzība</w:t>
            </w:r>
          </w:p>
        </w:tc>
        <w:tc>
          <w:tcPr>
            <w:tcW w:w="1275" w:type="dxa"/>
            <w:tcBorders>
              <w:top w:val="nil"/>
              <w:left w:val="nil"/>
              <w:bottom w:val="single" w:sz="4" w:space="0" w:color="auto"/>
              <w:right w:val="single" w:sz="4" w:space="0" w:color="auto"/>
            </w:tcBorders>
            <w:shd w:val="clear" w:color="auto" w:fill="auto"/>
            <w:noWrap/>
            <w:vAlign w:val="bottom"/>
            <w:hideMark/>
          </w:tcPr>
          <w:p w14:paraId="1FD7663B"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270 565 744</w:t>
            </w:r>
          </w:p>
        </w:tc>
        <w:tc>
          <w:tcPr>
            <w:tcW w:w="1276" w:type="dxa"/>
            <w:tcBorders>
              <w:top w:val="nil"/>
              <w:left w:val="nil"/>
              <w:bottom w:val="single" w:sz="4" w:space="0" w:color="auto"/>
              <w:right w:val="single" w:sz="4" w:space="0" w:color="auto"/>
            </w:tcBorders>
            <w:shd w:val="clear" w:color="auto" w:fill="auto"/>
            <w:noWrap/>
            <w:vAlign w:val="bottom"/>
            <w:hideMark/>
          </w:tcPr>
          <w:p w14:paraId="2579B409"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269 698 072</w:t>
            </w:r>
          </w:p>
        </w:tc>
        <w:tc>
          <w:tcPr>
            <w:tcW w:w="1418" w:type="dxa"/>
            <w:tcBorders>
              <w:top w:val="nil"/>
              <w:left w:val="nil"/>
              <w:bottom w:val="single" w:sz="4" w:space="0" w:color="auto"/>
              <w:right w:val="single" w:sz="4" w:space="0" w:color="auto"/>
            </w:tcBorders>
            <w:shd w:val="clear" w:color="auto" w:fill="auto"/>
            <w:noWrap/>
            <w:vAlign w:val="bottom"/>
            <w:hideMark/>
          </w:tcPr>
          <w:p w14:paraId="48FC8580" w14:textId="77777777" w:rsidR="006B27BA" w:rsidRPr="006B27BA" w:rsidRDefault="006B27BA" w:rsidP="006B27BA">
            <w:pPr>
              <w:spacing w:after="0" w:line="240" w:lineRule="auto"/>
              <w:jc w:val="right"/>
              <w:rPr>
                <w:rFonts w:eastAsia="Times New Roman" w:cs="Times New Roman"/>
                <w:color w:val="FF0000"/>
                <w:sz w:val="20"/>
                <w:szCs w:val="20"/>
                <w:lang w:eastAsia="lv-LV"/>
              </w:rPr>
            </w:pPr>
            <w:r w:rsidRPr="006B27BA">
              <w:rPr>
                <w:rFonts w:eastAsia="Times New Roman" w:cs="Times New Roman"/>
                <w:color w:val="FF0000"/>
                <w:sz w:val="20"/>
                <w:szCs w:val="20"/>
                <w:lang w:eastAsia="lv-LV"/>
              </w:rPr>
              <w:t>867 672</w:t>
            </w:r>
          </w:p>
        </w:tc>
        <w:tc>
          <w:tcPr>
            <w:tcW w:w="1134" w:type="dxa"/>
            <w:tcBorders>
              <w:top w:val="nil"/>
              <w:left w:val="nil"/>
              <w:bottom w:val="single" w:sz="4" w:space="0" w:color="auto"/>
              <w:right w:val="single" w:sz="8" w:space="0" w:color="auto"/>
            </w:tcBorders>
            <w:shd w:val="clear" w:color="auto" w:fill="auto"/>
            <w:noWrap/>
            <w:vAlign w:val="bottom"/>
            <w:hideMark/>
          </w:tcPr>
          <w:p w14:paraId="1A9A5D3D"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14,4%</w:t>
            </w:r>
          </w:p>
        </w:tc>
      </w:tr>
      <w:tr w:rsidR="006B27BA" w:rsidRPr="006B27BA" w14:paraId="03DA7A8C" w14:textId="77777777" w:rsidTr="006B27BA">
        <w:trPr>
          <w:trHeight w:val="315"/>
        </w:trPr>
        <w:tc>
          <w:tcPr>
            <w:tcW w:w="3818" w:type="dxa"/>
            <w:tcBorders>
              <w:top w:val="nil"/>
              <w:left w:val="single" w:sz="8" w:space="0" w:color="auto"/>
              <w:bottom w:val="single" w:sz="4" w:space="0" w:color="auto"/>
              <w:right w:val="single" w:sz="4" w:space="0" w:color="auto"/>
            </w:tcBorders>
            <w:shd w:val="clear" w:color="auto" w:fill="auto"/>
            <w:noWrap/>
            <w:vAlign w:val="bottom"/>
            <w:hideMark/>
          </w:tcPr>
          <w:p w14:paraId="6E306F7F" w14:textId="77777777" w:rsidR="006B27BA" w:rsidRPr="006B27BA" w:rsidRDefault="006B27BA" w:rsidP="006B27BA">
            <w:pPr>
              <w:spacing w:after="0" w:line="240" w:lineRule="auto"/>
              <w:ind w:firstLineChars="100" w:firstLine="200"/>
              <w:rPr>
                <w:rFonts w:eastAsia="Times New Roman" w:cs="Times New Roman"/>
                <w:color w:val="000000"/>
                <w:sz w:val="20"/>
                <w:szCs w:val="20"/>
                <w:lang w:eastAsia="lv-LV"/>
              </w:rPr>
            </w:pPr>
            <w:r w:rsidRPr="006B27BA">
              <w:rPr>
                <w:rFonts w:eastAsia="Times New Roman" w:cs="Times New Roman"/>
                <w:color w:val="000000"/>
                <w:sz w:val="20"/>
                <w:szCs w:val="20"/>
                <w:lang w:eastAsia="lv-LV"/>
              </w:rPr>
              <w:t>2000 Preces un pakalpojumi</w:t>
            </w:r>
          </w:p>
        </w:tc>
        <w:tc>
          <w:tcPr>
            <w:tcW w:w="1275" w:type="dxa"/>
            <w:tcBorders>
              <w:top w:val="nil"/>
              <w:left w:val="nil"/>
              <w:bottom w:val="single" w:sz="4" w:space="0" w:color="auto"/>
              <w:right w:val="single" w:sz="4" w:space="0" w:color="auto"/>
            </w:tcBorders>
            <w:shd w:val="clear" w:color="auto" w:fill="auto"/>
            <w:noWrap/>
            <w:vAlign w:val="bottom"/>
            <w:hideMark/>
          </w:tcPr>
          <w:p w14:paraId="53323CD8"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104 685 583</w:t>
            </w:r>
          </w:p>
        </w:tc>
        <w:tc>
          <w:tcPr>
            <w:tcW w:w="1276" w:type="dxa"/>
            <w:tcBorders>
              <w:top w:val="nil"/>
              <w:left w:val="nil"/>
              <w:bottom w:val="single" w:sz="4" w:space="0" w:color="auto"/>
              <w:right w:val="single" w:sz="4" w:space="0" w:color="auto"/>
            </w:tcBorders>
            <w:shd w:val="clear" w:color="auto" w:fill="auto"/>
            <w:noWrap/>
            <w:vAlign w:val="bottom"/>
            <w:hideMark/>
          </w:tcPr>
          <w:p w14:paraId="4954FEEA"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102 699 800</w:t>
            </w:r>
          </w:p>
        </w:tc>
        <w:tc>
          <w:tcPr>
            <w:tcW w:w="1418" w:type="dxa"/>
            <w:tcBorders>
              <w:top w:val="nil"/>
              <w:left w:val="nil"/>
              <w:bottom w:val="single" w:sz="4" w:space="0" w:color="auto"/>
              <w:right w:val="single" w:sz="4" w:space="0" w:color="auto"/>
            </w:tcBorders>
            <w:shd w:val="clear" w:color="auto" w:fill="auto"/>
            <w:noWrap/>
            <w:vAlign w:val="bottom"/>
            <w:hideMark/>
          </w:tcPr>
          <w:p w14:paraId="5CC425AE" w14:textId="77777777" w:rsidR="006B27BA" w:rsidRPr="006B27BA" w:rsidRDefault="006B27BA" w:rsidP="006B27BA">
            <w:pPr>
              <w:spacing w:after="0" w:line="240" w:lineRule="auto"/>
              <w:jc w:val="right"/>
              <w:rPr>
                <w:rFonts w:eastAsia="Times New Roman" w:cs="Times New Roman"/>
                <w:color w:val="FF0000"/>
                <w:sz w:val="20"/>
                <w:szCs w:val="20"/>
                <w:lang w:eastAsia="lv-LV"/>
              </w:rPr>
            </w:pPr>
            <w:r w:rsidRPr="006B27BA">
              <w:rPr>
                <w:rFonts w:eastAsia="Times New Roman" w:cs="Times New Roman"/>
                <w:color w:val="FF0000"/>
                <w:sz w:val="20"/>
                <w:szCs w:val="20"/>
                <w:lang w:eastAsia="lv-LV"/>
              </w:rPr>
              <w:t>1 985 783</w:t>
            </w:r>
          </w:p>
        </w:tc>
        <w:tc>
          <w:tcPr>
            <w:tcW w:w="1134" w:type="dxa"/>
            <w:tcBorders>
              <w:top w:val="nil"/>
              <w:left w:val="nil"/>
              <w:bottom w:val="single" w:sz="4" w:space="0" w:color="auto"/>
              <w:right w:val="single" w:sz="8" w:space="0" w:color="auto"/>
            </w:tcBorders>
            <w:shd w:val="clear" w:color="auto" w:fill="auto"/>
            <w:noWrap/>
            <w:vAlign w:val="bottom"/>
            <w:hideMark/>
          </w:tcPr>
          <w:p w14:paraId="6BE679C5"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32,9%</w:t>
            </w:r>
          </w:p>
        </w:tc>
      </w:tr>
      <w:tr w:rsidR="006B27BA" w:rsidRPr="006B27BA" w14:paraId="69A2352A" w14:textId="77777777" w:rsidTr="006B27BA">
        <w:trPr>
          <w:trHeight w:val="315"/>
        </w:trPr>
        <w:tc>
          <w:tcPr>
            <w:tcW w:w="3818" w:type="dxa"/>
            <w:tcBorders>
              <w:top w:val="nil"/>
              <w:left w:val="single" w:sz="8" w:space="0" w:color="auto"/>
              <w:bottom w:val="single" w:sz="4" w:space="0" w:color="auto"/>
              <w:right w:val="single" w:sz="4" w:space="0" w:color="auto"/>
            </w:tcBorders>
            <w:shd w:val="clear" w:color="auto" w:fill="auto"/>
            <w:noWrap/>
            <w:vAlign w:val="bottom"/>
            <w:hideMark/>
          </w:tcPr>
          <w:p w14:paraId="6F9C09A0" w14:textId="77777777" w:rsidR="006B27BA" w:rsidRPr="006B27BA" w:rsidRDefault="006B27BA" w:rsidP="006B27BA">
            <w:pPr>
              <w:spacing w:after="0" w:line="240" w:lineRule="auto"/>
              <w:ind w:firstLineChars="100" w:firstLine="200"/>
              <w:rPr>
                <w:rFonts w:eastAsia="Times New Roman" w:cs="Times New Roman"/>
                <w:color w:val="000000"/>
                <w:sz w:val="20"/>
                <w:szCs w:val="20"/>
                <w:lang w:eastAsia="lv-LV"/>
              </w:rPr>
            </w:pPr>
            <w:r w:rsidRPr="006B27BA">
              <w:rPr>
                <w:rFonts w:eastAsia="Times New Roman" w:cs="Times New Roman"/>
                <w:color w:val="000000"/>
                <w:sz w:val="20"/>
                <w:szCs w:val="20"/>
                <w:lang w:eastAsia="lv-LV"/>
              </w:rPr>
              <w:t>3000 Subsīdijas un dotācijas</w:t>
            </w:r>
          </w:p>
        </w:tc>
        <w:tc>
          <w:tcPr>
            <w:tcW w:w="1275" w:type="dxa"/>
            <w:tcBorders>
              <w:top w:val="nil"/>
              <w:left w:val="nil"/>
              <w:bottom w:val="single" w:sz="4" w:space="0" w:color="auto"/>
              <w:right w:val="single" w:sz="4" w:space="0" w:color="auto"/>
            </w:tcBorders>
            <w:shd w:val="clear" w:color="auto" w:fill="auto"/>
            <w:noWrap/>
            <w:vAlign w:val="bottom"/>
            <w:hideMark/>
          </w:tcPr>
          <w:p w14:paraId="502A24E1"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5 141 247</w:t>
            </w:r>
          </w:p>
        </w:tc>
        <w:tc>
          <w:tcPr>
            <w:tcW w:w="1276" w:type="dxa"/>
            <w:tcBorders>
              <w:top w:val="nil"/>
              <w:left w:val="nil"/>
              <w:bottom w:val="single" w:sz="4" w:space="0" w:color="auto"/>
              <w:right w:val="single" w:sz="4" w:space="0" w:color="auto"/>
            </w:tcBorders>
            <w:shd w:val="clear" w:color="auto" w:fill="auto"/>
            <w:noWrap/>
            <w:vAlign w:val="bottom"/>
            <w:hideMark/>
          </w:tcPr>
          <w:p w14:paraId="7BD598FC"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4 358 671</w:t>
            </w:r>
          </w:p>
        </w:tc>
        <w:tc>
          <w:tcPr>
            <w:tcW w:w="1418" w:type="dxa"/>
            <w:tcBorders>
              <w:top w:val="nil"/>
              <w:left w:val="nil"/>
              <w:bottom w:val="single" w:sz="4" w:space="0" w:color="auto"/>
              <w:right w:val="single" w:sz="4" w:space="0" w:color="auto"/>
            </w:tcBorders>
            <w:shd w:val="clear" w:color="auto" w:fill="auto"/>
            <w:noWrap/>
            <w:vAlign w:val="bottom"/>
            <w:hideMark/>
          </w:tcPr>
          <w:p w14:paraId="4C5B062A" w14:textId="77777777" w:rsidR="006B27BA" w:rsidRPr="006B27BA" w:rsidRDefault="006B27BA" w:rsidP="006B27BA">
            <w:pPr>
              <w:spacing w:after="0" w:line="240" w:lineRule="auto"/>
              <w:jc w:val="right"/>
              <w:rPr>
                <w:rFonts w:eastAsia="Times New Roman" w:cs="Times New Roman"/>
                <w:color w:val="FF0000"/>
                <w:sz w:val="20"/>
                <w:szCs w:val="20"/>
                <w:lang w:eastAsia="lv-LV"/>
              </w:rPr>
            </w:pPr>
            <w:r w:rsidRPr="006B27BA">
              <w:rPr>
                <w:rFonts w:eastAsia="Times New Roman" w:cs="Times New Roman"/>
                <w:color w:val="FF0000"/>
                <w:sz w:val="20"/>
                <w:szCs w:val="20"/>
                <w:lang w:eastAsia="lv-LV"/>
              </w:rPr>
              <w:t>782 576</w:t>
            </w:r>
          </w:p>
        </w:tc>
        <w:tc>
          <w:tcPr>
            <w:tcW w:w="1134" w:type="dxa"/>
            <w:tcBorders>
              <w:top w:val="nil"/>
              <w:left w:val="nil"/>
              <w:bottom w:val="single" w:sz="4" w:space="0" w:color="auto"/>
              <w:right w:val="single" w:sz="8" w:space="0" w:color="auto"/>
            </w:tcBorders>
            <w:shd w:val="clear" w:color="auto" w:fill="auto"/>
            <w:noWrap/>
            <w:vAlign w:val="bottom"/>
            <w:hideMark/>
          </w:tcPr>
          <w:p w14:paraId="5B085498"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13,0%</w:t>
            </w:r>
          </w:p>
        </w:tc>
      </w:tr>
      <w:tr w:rsidR="006B27BA" w:rsidRPr="006B27BA" w14:paraId="4DFD37EB" w14:textId="77777777" w:rsidTr="006B27BA">
        <w:trPr>
          <w:trHeight w:val="315"/>
        </w:trPr>
        <w:tc>
          <w:tcPr>
            <w:tcW w:w="3818" w:type="dxa"/>
            <w:tcBorders>
              <w:top w:val="nil"/>
              <w:left w:val="single" w:sz="8" w:space="0" w:color="auto"/>
              <w:bottom w:val="single" w:sz="4" w:space="0" w:color="auto"/>
              <w:right w:val="single" w:sz="4" w:space="0" w:color="auto"/>
            </w:tcBorders>
            <w:shd w:val="clear" w:color="auto" w:fill="auto"/>
            <w:noWrap/>
            <w:vAlign w:val="bottom"/>
            <w:hideMark/>
          </w:tcPr>
          <w:p w14:paraId="0EDE8652" w14:textId="77777777" w:rsidR="006B27BA" w:rsidRPr="006B27BA" w:rsidRDefault="006B27BA" w:rsidP="006B27BA">
            <w:pPr>
              <w:spacing w:after="0" w:line="240" w:lineRule="auto"/>
              <w:ind w:firstLineChars="100" w:firstLine="200"/>
              <w:rPr>
                <w:rFonts w:eastAsia="Times New Roman" w:cs="Times New Roman"/>
                <w:color w:val="000000"/>
                <w:sz w:val="20"/>
                <w:szCs w:val="20"/>
                <w:lang w:eastAsia="lv-LV"/>
              </w:rPr>
            </w:pPr>
            <w:r w:rsidRPr="006B27BA">
              <w:rPr>
                <w:rFonts w:eastAsia="Times New Roman" w:cs="Times New Roman"/>
                <w:color w:val="000000"/>
                <w:sz w:val="20"/>
                <w:szCs w:val="20"/>
                <w:lang w:eastAsia="lv-LV"/>
              </w:rPr>
              <w:t>5000 Pamatkapitāla veidošana</w:t>
            </w:r>
          </w:p>
        </w:tc>
        <w:tc>
          <w:tcPr>
            <w:tcW w:w="1275" w:type="dxa"/>
            <w:tcBorders>
              <w:top w:val="nil"/>
              <w:left w:val="nil"/>
              <w:bottom w:val="single" w:sz="4" w:space="0" w:color="auto"/>
              <w:right w:val="single" w:sz="4" w:space="0" w:color="auto"/>
            </w:tcBorders>
            <w:shd w:val="clear" w:color="auto" w:fill="auto"/>
            <w:noWrap/>
            <w:vAlign w:val="bottom"/>
            <w:hideMark/>
          </w:tcPr>
          <w:p w14:paraId="09D3A726"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26 583 293</w:t>
            </w:r>
          </w:p>
        </w:tc>
        <w:tc>
          <w:tcPr>
            <w:tcW w:w="1276" w:type="dxa"/>
            <w:tcBorders>
              <w:top w:val="nil"/>
              <w:left w:val="nil"/>
              <w:bottom w:val="single" w:sz="4" w:space="0" w:color="auto"/>
              <w:right w:val="single" w:sz="4" w:space="0" w:color="auto"/>
            </w:tcBorders>
            <w:shd w:val="clear" w:color="auto" w:fill="auto"/>
            <w:noWrap/>
            <w:vAlign w:val="bottom"/>
            <w:hideMark/>
          </w:tcPr>
          <w:p w14:paraId="17C0087E"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24 219 915</w:t>
            </w:r>
          </w:p>
        </w:tc>
        <w:tc>
          <w:tcPr>
            <w:tcW w:w="1418" w:type="dxa"/>
            <w:tcBorders>
              <w:top w:val="nil"/>
              <w:left w:val="nil"/>
              <w:bottom w:val="single" w:sz="4" w:space="0" w:color="auto"/>
              <w:right w:val="single" w:sz="4" w:space="0" w:color="auto"/>
            </w:tcBorders>
            <w:shd w:val="clear" w:color="auto" w:fill="auto"/>
            <w:noWrap/>
            <w:vAlign w:val="bottom"/>
            <w:hideMark/>
          </w:tcPr>
          <w:p w14:paraId="3D127947" w14:textId="77777777" w:rsidR="006B27BA" w:rsidRPr="006B27BA" w:rsidRDefault="006B27BA" w:rsidP="006B27BA">
            <w:pPr>
              <w:spacing w:after="0" w:line="240" w:lineRule="auto"/>
              <w:jc w:val="right"/>
              <w:rPr>
                <w:rFonts w:eastAsia="Times New Roman" w:cs="Times New Roman"/>
                <w:color w:val="FF0000"/>
                <w:sz w:val="20"/>
                <w:szCs w:val="20"/>
                <w:lang w:eastAsia="lv-LV"/>
              </w:rPr>
            </w:pPr>
            <w:r w:rsidRPr="006B27BA">
              <w:rPr>
                <w:rFonts w:eastAsia="Times New Roman" w:cs="Times New Roman"/>
                <w:color w:val="FF0000"/>
                <w:sz w:val="20"/>
                <w:szCs w:val="20"/>
                <w:lang w:eastAsia="lv-LV"/>
              </w:rPr>
              <w:t>2 363 378</w:t>
            </w:r>
          </w:p>
        </w:tc>
        <w:tc>
          <w:tcPr>
            <w:tcW w:w="1134" w:type="dxa"/>
            <w:tcBorders>
              <w:top w:val="nil"/>
              <w:left w:val="nil"/>
              <w:bottom w:val="single" w:sz="4" w:space="0" w:color="auto"/>
              <w:right w:val="single" w:sz="8" w:space="0" w:color="auto"/>
            </w:tcBorders>
            <w:shd w:val="clear" w:color="auto" w:fill="auto"/>
            <w:noWrap/>
            <w:vAlign w:val="bottom"/>
            <w:hideMark/>
          </w:tcPr>
          <w:p w14:paraId="08C378C8"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39,1%</w:t>
            </w:r>
          </w:p>
        </w:tc>
      </w:tr>
      <w:tr w:rsidR="006B27BA" w:rsidRPr="006B27BA" w14:paraId="305DF664" w14:textId="77777777" w:rsidTr="006B27BA">
        <w:trPr>
          <w:trHeight w:val="315"/>
        </w:trPr>
        <w:tc>
          <w:tcPr>
            <w:tcW w:w="3818" w:type="dxa"/>
            <w:tcBorders>
              <w:top w:val="nil"/>
              <w:left w:val="single" w:sz="8" w:space="0" w:color="auto"/>
              <w:bottom w:val="single" w:sz="4" w:space="0" w:color="auto"/>
              <w:right w:val="single" w:sz="4" w:space="0" w:color="auto"/>
            </w:tcBorders>
            <w:shd w:val="clear" w:color="auto" w:fill="auto"/>
            <w:noWrap/>
            <w:vAlign w:val="bottom"/>
            <w:hideMark/>
          </w:tcPr>
          <w:p w14:paraId="0657131B" w14:textId="77777777" w:rsidR="006B27BA" w:rsidRPr="006B27BA" w:rsidRDefault="006B27BA" w:rsidP="006B27BA">
            <w:pPr>
              <w:spacing w:after="0" w:line="240" w:lineRule="auto"/>
              <w:ind w:firstLineChars="100" w:firstLine="200"/>
              <w:rPr>
                <w:rFonts w:eastAsia="Times New Roman" w:cs="Times New Roman"/>
                <w:color w:val="000000"/>
                <w:sz w:val="20"/>
                <w:szCs w:val="20"/>
                <w:lang w:eastAsia="lv-LV"/>
              </w:rPr>
            </w:pPr>
            <w:r w:rsidRPr="006B27BA">
              <w:rPr>
                <w:rFonts w:eastAsia="Times New Roman" w:cs="Times New Roman"/>
                <w:color w:val="000000"/>
                <w:sz w:val="20"/>
                <w:szCs w:val="20"/>
                <w:lang w:eastAsia="lv-LV"/>
              </w:rPr>
              <w:t>6000 Sociālie pabalsti</w:t>
            </w:r>
          </w:p>
        </w:tc>
        <w:tc>
          <w:tcPr>
            <w:tcW w:w="1275" w:type="dxa"/>
            <w:tcBorders>
              <w:top w:val="nil"/>
              <w:left w:val="nil"/>
              <w:bottom w:val="single" w:sz="4" w:space="0" w:color="auto"/>
              <w:right w:val="single" w:sz="4" w:space="0" w:color="auto"/>
            </w:tcBorders>
            <w:shd w:val="clear" w:color="auto" w:fill="auto"/>
            <w:noWrap/>
            <w:vAlign w:val="bottom"/>
            <w:hideMark/>
          </w:tcPr>
          <w:p w14:paraId="5584B964"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527 852</w:t>
            </w:r>
          </w:p>
        </w:tc>
        <w:tc>
          <w:tcPr>
            <w:tcW w:w="1276" w:type="dxa"/>
            <w:tcBorders>
              <w:top w:val="nil"/>
              <w:left w:val="nil"/>
              <w:bottom w:val="single" w:sz="4" w:space="0" w:color="auto"/>
              <w:right w:val="single" w:sz="4" w:space="0" w:color="auto"/>
            </w:tcBorders>
            <w:shd w:val="clear" w:color="auto" w:fill="auto"/>
            <w:noWrap/>
            <w:vAlign w:val="bottom"/>
            <w:hideMark/>
          </w:tcPr>
          <w:p w14:paraId="5FC90F36"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507 502</w:t>
            </w:r>
          </w:p>
        </w:tc>
        <w:tc>
          <w:tcPr>
            <w:tcW w:w="1418" w:type="dxa"/>
            <w:tcBorders>
              <w:top w:val="nil"/>
              <w:left w:val="nil"/>
              <w:bottom w:val="single" w:sz="4" w:space="0" w:color="auto"/>
              <w:right w:val="single" w:sz="4" w:space="0" w:color="auto"/>
            </w:tcBorders>
            <w:shd w:val="clear" w:color="auto" w:fill="auto"/>
            <w:noWrap/>
            <w:vAlign w:val="bottom"/>
            <w:hideMark/>
          </w:tcPr>
          <w:p w14:paraId="3F597B4F" w14:textId="77777777" w:rsidR="006B27BA" w:rsidRPr="006B27BA" w:rsidRDefault="006B27BA" w:rsidP="006B27BA">
            <w:pPr>
              <w:spacing w:after="0" w:line="240" w:lineRule="auto"/>
              <w:jc w:val="right"/>
              <w:rPr>
                <w:rFonts w:eastAsia="Times New Roman" w:cs="Times New Roman"/>
                <w:color w:val="FF0000"/>
                <w:sz w:val="20"/>
                <w:szCs w:val="20"/>
                <w:lang w:eastAsia="lv-LV"/>
              </w:rPr>
            </w:pPr>
            <w:r w:rsidRPr="006B27BA">
              <w:rPr>
                <w:rFonts w:eastAsia="Times New Roman" w:cs="Times New Roman"/>
                <w:color w:val="FF0000"/>
                <w:sz w:val="20"/>
                <w:szCs w:val="20"/>
                <w:lang w:eastAsia="lv-LV"/>
              </w:rPr>
              <w:t>20 350</w:t>
            </w:r>
          </w:p>
        </w:tc>
        <w:tc>
          <w:tcPr>
            <w:tcW w:w="1134" w:type="dxa"/>
            <w:tcBorders>
              <w:top w:val="nil"/>
              <w:left w:val="nil"/>
              <w:bottom w:val="single" w:sz="4" w:space="0" w:color="auto"/>
              <w:right w:val="single" w:sz="8" w:space="0" w:color="auto"/>
            </w:tcBorders>
            <w:shd w:val="clear" w:color="auto" w:fill="auto"/>
            <w:noWrap/>
            <w:vAlign w:val="bottom"/>
            <w:hideMark/>
          </w:tcPr>
          <w:p w14:paraId="66DC66BB"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0,3%</w:t>
            </w:r>
          </w:p>
        </w:tc>
      </w:tr>
      <w:tr w:rsidR="006B27BA" w:rsidRPr="006B27BA" w14:paraId="3EA6DC3C" w14:textId="77777777" w:rsidTr="006B27BA">
        <w:trPr>
          <w:trHeight w:val="315"/>
        </w:trPr>
        <w:tc>
          <w:tcPr>
            <w:tcW w:w="3818" w:type="dxa"/>
            <w:tcBorders>
              <w:top w:val="nil"/>
              <w:left w:val="single" w:sz="8" w:space="0" w:color="auto"/>
              <w:bottom w:val="single" w:sz="4" w:space="0" w:color="auto"/>
              <w:right w:val="single" w:sz="4" w:space="0" w:color="auto"/>
            </w:tcBorders>
            <w:shd w:val="clear" w:color="auto" w:fill="auto"/>
            <w:vAlign w:val="bottom"/>
            <w:hideMark/>
          </w:tcPr>
          <w:p w14:paraId="1FC227BB" w14:textId="77777777" w:rsidR="006B27BA" w:rsidRPr="006B27BA" w:rsidRDefault="006B27BA" w:rsidP="006B27BA">
            <w:pPr>
              <w:spacing w:after="0" w:line="240" w:lineRule="auto"/>
              <w:ind w:firstLineChars="100" w:firstLine="200"/>
              <w:rPr>
                <w:rFonts w:eastAsia="Times New Roman" w:cs="Times New Roman"/>
                <w:color w:val="000000"/>
                <w:sz w:val="20"/>
                <w:szCs w:val="20"/>
                <w:lang w:eastAsia="lv-LV"/>
              </w:rPr>
            </w:pPr>
            <w:r w:rsidRPr="006B27BA">
              <w:rPr>
                <w:rFonts w:eastAsia="Times New Roman" w:cs="Times New Roman"/>
                <w:color w:val="000000"/>
                <w:sz w:val="20"/>
                <w:szCs w:val="20"/>
                <w:lang w:eastAsia="lv-LV"/>
              </w:rPr>
              <w:t>7100 Valsts budžeta uzturēšanas izdevumu transferti</w:t>
            </w:r>
          </w:p>
        </w:tc>
        <w:tc>
          <w:tcPr>
            <w:tcW w:w="1275" w:type="dxa"/>
            <w:tcBorders>
              <w:top w:val="nil"/>
              <w:left w:val="nil"/>
              <w:bottom w:val="single" w:sz="4" w:space="0" w:color="auto"/>
              <w:right w:val="single" w:sz="4" w:space="0" w:color="auto"/>
            </w:tcBorders>
            <w:shd w:val="clear" w:color="auto" w:fill="auto"/>
            <w:noWrap/>
            <w:vAlign w:val="bottom"/>
            <w:hideMark/>
          </w:tcPr>
          <w:p w14:paraId="767AFCC2"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553 631</w:t>
            </w:r>
          </w:p>
        </w:tc>
        <w:tc>
          <w:tcPr>
            <w:tcW w:w="1276" w:type="dxa"/>
            <w:tcBorders>
              <w:top w:val="nil"/>
              <w:left w:val="nil"/>
              <w:bottom w:val="single" w:sz="4" w:space="0" w:color="auto"/>
              <w:right w:val="single" w:sz="4" w:space="0" w:color="auto"/>
            </w:tcBorders>
            <w:shd w:val="clear" w:color="auto" w:fill="auto"/>
            <w:noWrap/>
            <w:vAlign w:val="bottom"/>
            <w:hideMark/>
          </w:tcPr>
          <w:p w14:paraId="673F97C9"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547 152</w:t>
            </w:r>
          </w:p>
        </w:tc>
        <w:tc>
          <w:tcPr>
            <w:tcW w:w="1418" w:type="dxa"/>
            <w:tcBorders>
              <w:top w:val="nil"/>
              <w:left w:val="nil"/>
              <w:bottom w:val="single" w:sz="4" w:space="0" w:color="auto"/>
              <w:right w:val="single" w:sz="4" w:space="0" w:color="auto"/>
            </w:tcBorders>
            <w:shd w:val="clear" w:color="auto" w:fill="auto"/>
            <w:noWrap/>
            <w:vAlign w:val="bottom"/>
            <w:hideMark/>
          </w:tcPr>
          <w:p w14:paraId="0DAED6DC" w14:textId="77777777" w:rsidR="006B27BA" w:rsidRPr="006B27BA" w:rsidRDefault="006B27BA" w:rsidP="006B27BA">
            <w:pPr>
              <w:spacing w:after="0" w:line="240" w:lineRule="auto"/>
              <w:jc w:val="right"/>
              <w:rPr>
                <w:rFonts w:eastAsia="Times New Roman" w:cs="Times New Roman"/>
                <w:color w:val="FF0000"/>
                <w:sz w:val="20"/>
                <w:szCs w:val="20"/>
                <w:lang w:eastAsia="lv-LV"/>
              </w:rPr>
            </w:pPr>
            <w:r w:rsidRPr="006B27BA">
              <w:rPr>
                <w:rFonts w:eastAsia="Times New Roman" w:cs="Times New Roman"/>
                <w:color w:val="FF0000"/>
                <w:sz w:val="20"/>
                <w:szCs w:val="20"/>
                <w:lang w:eastAsia="lv-LV"/>
              </w:rPr>
              <w:t>6 479</w:t>
            </w:r>
          </w:p>
        </w:tc>
        <w:tc>
          <w:tcPr>
            <w:tcW w:w="1134" w:type="dxa"/>
            <w:tcBorders>
              <w:top w:val="nil"/>
              <w:left w:val="nil"/>
              <w:bottom w:val="single" w:sz="4" w:space="0" w:color="auto"/>
              <w:right w:val="single" w:sz="8" w:space="0" w:color="auto"/>
            </w:tcBorders>
            <w:shd w:val="clear" w:color="auto" w:fill="auto"/>
            <w:noWrap/>
            <w:vAlign w:val="bottom"/>
            <w:hideMark/>
          </w:tcPr>
          <w:p w14:paraId="07756B6D"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0,1%</w:t>
            </w:r>
          </w:p>
        </w:tc>
      </w:tr>
      <w:tr w:rsidR="006B27BA" w:rsidRPr="006B27BA" w14:paraId="25BF89B3" w14:textId="77777777" w:rsidTr="006B27BA">
        <w:trPr>
          <w:trHeight w:val="780"/>
        </w:trPr>
        <w:tc>
          <w:tcPr>
            <w:tcW w:w="3818" w:type="dxa"/>
            <w:tcBorders>
              <w:top w:val="nil"/>
              <w:left w:val="single" w:sz="8" w:space="0" w:color="auto"/>
              <w:bottom w:val="single" w:sz="4" w:space="0" w:color="auto"/>
              <w:right w:val="single" w:sz="4" w:space="0" w:color="auto"/>
            </w:tcBorders>
            <w:shd w:val="clear" w:color="auto" w:fill="auto"/>
            <w:vAlign w:val="bottom"/>
            <w:hideMark/>
          </w:tcPr>
          <w:p w14:paraId="225BC703" w14:textId="77777777" w:rsidR="006B27BA" w:rsidRPr="006B27BA" w:rsidRDefault="006B27BA" w:rsidP="006B27BA">
            <w:pPr>
              <w:spacing w:after="0" w:line="240" w:lineRule="auto"/>
              <w:ind w:firstLineChars="100" w:firstLine="200"/>
              <w:rPr>
                <w:rFonts w:eastAsia="Times New Roman" w:cs="Times New Roman"/>
                <w:color w:val="000000"/>
                <w:sz w:val="20"/>
                <w:szCs w:val="20"/>
                <w:lang w:eastAsia="lv-LV"/>
              </w:rPr>
            </w:pPr>
            <w:r w:rsidRPr="006B27BA">
              <w:rPr>
                <w:rFonts w:eastAsia="Times New Roman" w:cs="Times New Roman"/>
                <w:color w:val="000000"/>
                <w:sz w:val="20"/>
                <w:szCs w:val="20"/>
                <w:lang w:eastAsia="lv-LV"/>
              </w:rPr>
              <w:t>7470 Pārējie valsts budžeta uzturēšanas izdevumu transferti valsts budžeta daļēji finansētām atvasinātām publiskām personām un budžeta nefinansētām iestādēm</w:t>
            </w:r>
          </w:p>
        </w:tc>
        <w:tc>
          <w:tcPr>
            <w:tcW w:w="1275" w:type="dxa"/>
            <w:tcBorders>
              <w:top w:val="nil"/>
              <w:left w:val="nil"/>
              <w:bottom w:val="single" w:sz="4" w:space="0" w:color="auto"/>
              <w:right w:val="single" w:sz="4" w:space="0" w:color="auto"/>
            </w:tcBorders>
            <w:shd w:val="clear" w:color="auto" w:fill="auto"/>
            <w:noWrap/>
            <w:vAlign w:val="bottom"/>
            <w:hideMark/>
          </w:tcPr>
          <w:p w14:paraId="35EE7011"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125 351</w:t>
            </w:r>
          </w:p>
        </w:tc>
        <w:tc>
          <w:tcPr>
            <w:tcW w:w="1276" w:type="dxa"/>
            <w:tcBorders>
              <w:top w:val="nil"/>
              <w:left w:val="nil"/>
              <w:bottom w:val="single" w:sz="4" w:space="0" w:color="auto"/>
              <w:right w:val="single" w:sz="4" w:space="0" w:color="auto"/>
            </w:tcBorders>
            <w:shd w:val="clear" w:color="auto" w:fill="auto"/>
            <w:noWrap/>
            <w:vAlign w:val="bottom"/>
            <w:hideMark/>
          </w:tcPr>
          <w:p w14:paraId="174E1BF0"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124 626</w:t>
            </w:r>
          </w:p>
        </w:tc>
        <w:tc>
          <w:tcPr>
            <w:tcW w:w="1418" w:type="dxa"/>
            <w:tcBorders>
              <w:top w:val="nil"/>
              <w:left w:val="nil"/>
              <w:bottom w:val="single" w:sz="4" w:space="0" w:color="auto"/>
              <w:right w:val="single" w:sz="4" w:space="0" w:color="auto"/>
            </w:tcBorders>
            <w:shd w:val="clear" w:color="auto" w:fill="auto"/>
            <w:noWrap/>
            <w:vAlign w:val="bottom"/>
            <w:hideMark/>
          </w:tcPr>
          <w:p w14:paraId="2A927EE9" w14:textId="77777777" w:rsidR="006B27BA" w:rsidRPr="006B27BA" w:rsidRDefault="006B27BA" w:rsidP="006B27BA">
            <w:pPr>
              <w:spacing w:after="0" w:line="240" w:lineRule="auto"/>
              <w:jc w:val="right"/>
              <w:rPr>
                <w:rFonts w:eastAsia="Times New Roman" w:cs="Times New Roman"/>
                <w:color w:val="FF0000"/>
                <w:sz w:val="20"/>
                <w:szCs w:val="20"/>
                <w:lang w:eastAsia="lv-LV"/>
              </w:rPr>
            </w:pPr>
            <w:r w:rsidRPr="006B27BA">
              <w:rPr>
                <w:rFonts w:eastAsia="Times New Roman" w:cs="Times New Roman"/>
                <w:color w:val="FF0000"/>
                <w:sz w:val="20"/>
                <w:szCs w:val="20"/>
                <w:lang w:eastAsia="lv-LV"/>
              </w:rPr>
              <w:t>725</w:t>
            </w:r>
          </w:p>
        </w:tc>
        <w:tc>
          <w:tcPr>
            <w:tcW w:w="1134" w:type="dxa"/>
            <w:tcBorders>
              <w:top w:val="nil"/>
              <w:left w:val="nil"/>
              <w:bottom w:val="single" w:sz="4" w:space="0" w:color="auto"/>
              <w:right w:val="single" w:sz="8" w:space="0" w:color="auto"/>
            </w:tcBorders>
            <w:shd w:val="clear" w:color="auto" w:fill="auto"/>
            <w:noWrap/>
            <w:vAlign w:val="bottom"/>
            <w:hideMark/>
          </w:tcPr>
          <w:p w14:paraId="511B7760"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0,0%</w:t>
            </w:r>
          </w:p>
        </w:tc>
      </w:tr>
      <w:tr w:rsidR="006B27BA" w:rsidRPr="006B27BA" w14:paraId="56546E0E" w14:textId="77777777" w:rsidTr="006B27BA">
        <w:trPr>
          <w:trHeight w:val="315"/>
        </w:trPr>
        <w:tc>
          <w:tcPr>
            <w:tcW w:w="3818" w:type="dxa"/>
            <w:tcBorders>
              <w:top w:val="nil"/>
              <w:left w:val="single" w:sz="8" w:space="0" w:color="auto"/>
              <w:bottom w:val="single" w:sz="4" w:space="0" w:color="auto"/>
              <w:right w:val="single" w:sz="4" w:space="0" w:color="auto"/>
            </w:tcBorders>
            <w:shd w:val="clear" w:color="auto" w:fill="auto"/>
            <w:noWrap/>
            <w:vAlign w:val="bottom"/>
            <w:hideMark/>
          </w:tcPr>
          <w:p w14:paraId="40125A1D" w14:textId="77777777" w:rsidR="006B27BA" w:rsidRPr="006B27BA" w:rsidRDefault="006B27BA" w:rsidP="006B27BA">
            <w:pPr>
              <w:spacing w:after="0" w:line="240" w:lineRule="auto"/>
              <w:ind w:firstLineChars="100" w:firstLine="200"/>
              <w:rPr>
                <w:rFonts w:eastAsia="Times New Roman" w:cs="Times New Roman"/>
                <w:color w:val="000000"/>
                <w:sz w:val="20"/>
                <w:szCs w:val="20"/>
                <w:lang w:eastAsia="lv-LV"/>
              </w:rPr>
            </w:pPr>
            <w:r w:rsidRPr="006B27BA">
              <w:rPr>
                <w:rFonts w:eastAsia="Times New Roman" w:cs="Times New Roman"/>
                <w:color w:val="000000"/>
                <w:sz w:val="20"/>
                <w:szCs w:val="20"/>
                <w:lang w:eastAsia="lv-LV"/>
              </w:rPr>
              <w:t>7700 Starptautiskā sadarbība</w:t>
            </w:r>
          </w:p>
        </w:tc>
        <w:tc>
          <w:tcPr>
            <w:tcW w:w="1275" w:type="dxa"/>
            <w:tcBorders>
              <w:top w:val="nil"/>
              <w:left w:val="nil"/>
              <w:bottom w:val="single" w:sz="4" w:space="0" w:color="auto"/>
              <w:right w:val="single" w:sz="4" w:space="0" w:color="auto"/>
            </w:tcBorders>
            <w:shd w:val="clear" w:color="auto" w:fill="auto"/>
            <w:noWrap/>
            <w:vAlign w:val="bottom"/>
            <w:hideMark/>
          </w:tcPr>
          <w:p w14:paraId="1B17EC52"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120 413</w:t>
            </w:r>
          </w:p>
        </w:tc>
        <w:tc>
          <w:tcPr>
            <w:tcW w:w="1276" w:type="dxa"/>
            <w:tcBorders>
              <w:top w:val="nil"/>
              <w:left w:val="nil"/>
              <w:bottom w:val="single" w:sz="4" w:space="0" w:color="auto"/>
              <w:right w:val="single" w:sz="4" w:space="0" w:color="auto"/>
            </w:tcBorders>
            <w:shd w:val="clear" w:color="auto" w:fill="auto"/>
            <w:noWrap/>
            <w:vAlign w:val="bottom"/>
            <w:hideMark/>
          </w:tcPr>
          <w:p w14:paraId="7FD1BAD6"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109 489</w:t>
            </w:r>
          </w:p>
        </w:tc>
        <w:tc>
          <w:tcPr>
            <w:tcW w:w="1418" w:type="dxa"/>
            <w:tcBorders>
              <w:top w:val="nil"/>
              <w:left w:val="nil"/>
              <w:bottom w:val="single" w:sz="4" w:space="0" w:color="auto"/>
              <w:right w:val="single" w:sz="4" w:space="0" w:color="auto"/>
            </w:tcBorders>
            <w:shd w:val="clear" w:color="auto" w:fill="auto"/>
            <w:noWrap/>
            <w:vAlign w:val="bottom"/>
            <w:hideMark/>
          </w:tcPr>
          <w:p w14:paraId="2BF994A9" w14:textId="77777777" w:rsidR="006B27BA" w:rsidRPr="006B27BA" w:rsidRDefault="006B27BA" w:rsidP="006B27BA">
            <w:pPr>
              <w:spacing w:after="0" w:line="240" w:lineRule="auto"/>
              <w:jc w:val="right"/>
              <w:rPr>
                <w:rFonts w:eastAsia="Times New Roman" w:cs="Times New Roman"/>
                <w:color w:val="FF0000"/>
                <w:sz w:val="20"/>
                <w:szCs w:val="20"/>
                <w:lang w:eastAsia="lv-LV"/>
              </w:rPr>
            </w:pPr>
            <w:r w:rsidRPr="006B27BA">
              <w:rPr>
                <w:rFonts w:eastAsia="Times New Roman" w:cs="Times New Roman"/>
                <w:color w:val="FF0000"/>
                <w:sz w:val="20"/>
                <w:szCs w:val="20"/>
                <w:lang w:eastAsia="lv-LV"/>
              </w:rPr>
              <w:t>10 924</w:t>
            </w:r>
          </w:p>
        </w:tc>
        <w:tc>
          <w:tcPr>
            <w:tcW w:w="1134" w:type="dxa"/>
            <w:tcBorders>
              <w:top w:val="nil"/>
              <w:left w:val="nil"/>
              <w:bottom w:val="single" w:sz="4" w:space="0" w:color="auto"/>
              <w:right w:val="single" w:sz="8" w:space="0" w:color="auto"/>
            </w:tcBorders>
            <w:shd w:val="clear" w:color="auto" w:fill="auto"/>
            <w:noWrap/>
            <w:vAlign w:val="bottom"/>
            <w:hideMark/>
          </w:tcPr>
          <w:p w14:paraId="20C8E70C"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0,2%</w:t>
            </w:r>
          </w:p>
        </w:tc>
      </w:tr>
      <w:tr w:rsidR="006B27BA" w:rsidRPr="006B27BA" w14:paraId="4C98E5E3" w14:textId="77777777" w:rsidTr="006B27BA">
        <w:trPr>
          <w:trHeight w:val="330"/>
        </w:trPr>
        <w:tc>
          <w:tcPr>
            <w:tcW w:w="3818" w:type="dxa"/>
            <w:tcBorders>
              <w:top w:val="nil"/>
              <w:left w:val="single" w:sz="8" w:space="0" w:color="auto"/>
              <w:bottom w:val="single" w:sz="8" w:space="0" w:color="auto"/>
              <w:right w:val="single" w:sz="4" w:space="0" w:color="auto"/>
            </w:tcBorders>
            <w:shd w:val="clear" w:color="auto" w:fill="auto"/>
            <w:noWrap/>
            <w:vAlign w:val="bottom"/>
            <w:hideMark/>
          </w:tcPr>
          <w:p w14:paraId="000EFFDB" w14:textId="77777777" w:rsidR="006B27BA" w:rsidRPr="006B27BA" w:rsidRDefault="006B27BA" w:rsidP="006B27BA">
            <w:pPr>
              <w:spacing w:after="0" w:line="240" w:lineRule="auto"/>
              <w:ind w:firstLineChars="100" w:firstLine="200"/>
              <w:jc w:val="right"/>
              <w:rPr>
                <w:rFonts w:eastAsia="Times New Roman" w:cs="Times New Roman"/>
                <w:b/>
                <w:bCs/>
                <w:color w:val="000000"/>
                <w:sz w:val="20"/>
                <w:szCs w:val="20"/>
                <w:lang w:eastAsia="lv-LV"/>
              </w:rPr>
            </w:pPr>
            <w:r w:rsidRPr="006B27BA">
              <w:rPr>
                <w:rFonts w:eastAsia="Times New Roman" w:cs="Times New Roman"/>
                <w:b/>
                <w:bCs/>
                <w:color w:val="000000"/>
                <w:sz w:val="20"/>
                <w:szCs w:val="20"/>
                <w:lang w:eastAsia="lv-LV"/>
              </w:rPr>
              <w:t>Kopā</w:t>
            </w:r>
          </w:p>
        </w:tc>
        <w:tc>
          <w:tcPr>
            <w:tcW w:w="1275" w:type="dxa"/>
            <w:tcBorders>
              <w:top w:val="nil"/>
              <w:left w:val="nil"/>
              <w:bottom w:val="single" w:sz="8" w:space="0" w:color="auto"/>
              <w:right w:val="single" w:sz="4" w:space="0" w:color="auto"/>
            </w:tcBorders>
            <w:shd w:val="clear" w:color="auto" w:fill="auto"/>
            <w:noWrap/>
            <w:vAlign w:val="bottom"/>
            <w:hideMark/>
          </w:tcPr>
          <w:p w14:paraId="5A7A3632"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408 303 114</w:t>
            </w:r>
          </w:p>
        </w:tc>
        <w:tc>
          <w:tcPr>
            <w:tcW w:w="1276" w:type="dxa"/>
            <w:tcBorders>
              <w:top w:val="nil"/>
              <w:left w:val="nil"/>
              <w:bottom w:val="single" w:sz="8" w:space="0" w:color="auto"/>
              <w:right w:val="single" w:sz="4" w:space="0" w:color="auto"/>
            </w:tcBorders>
            <w:shd w:val="clear" w:color="auto" w:fill="auto"/>
            <w:noWrap/>
            <w:vAlign w:val="bottom"/>
            <w:hideMark/>
          </w:tcPr>
          <w:p w14:paraId="1D7DFA81" w14:textId="77777777" w:rsidR="006B27BA" w:rsidRPr="006B27BA" w:rsidRDefault="006B27BA" w:rsidP="006B27BA">
            <w:pPr>
              <w:spacing w:after="0" w:line="240" w:lineRule="auto"/>
              <w:jc w:val="right"/>
              <w:rPr>
                <w:rFonts w:eastAsia="Times New Roman" w:cs="Times New Roman"/>
                <w:color w:val="000000"/>
                <w:sz w:val="20"/>
                <w:szCs w:val="20"/>
                <w:lang w:eastAsia="lv-LV"/>
              </w:rPr>
            </w:pPr>
            <w:r w:rsidRPr="006B27BA">
              <w:rPr>
                <w:rFonts w:eastAsia="Times New Roman" w:cs="Times New Roman"/>
                <w:color w:val="000000"/>
                <w:sz w:val="20"/>
                <w:szCs w:val="20"/>
                <w:lang w:eastAsia="lv-LV"/>
              </w:rPr>
              <w:t>402 265 226</w:t>
            </w:r>
          </w:p>
        </w:tc>
        <w:tc>
          <w:tcPr>
            <w:tcW w:w="1418" w:type="dxa"/>
            <w:tcBorders>
              <w:top w:val="nil"/>
              <w:left w:val="nil"/>
              <w:bottom w:val="single" w:sz="8" w:space="0" w:color="auto"/>
              <w:right w:val="single" w:sz="4" w:space="0" w:color="auto"/>
            </w:tcBorders>
            <w:shd w:val="clear" w:color="auto" w:fill="auto"/>
            <w:noWrap/>
            <w:vAlign w:val="bottom"/>
            <w:hideMark/>
          </w:tcPr>
          <w:p w14:paraId="04FFDBEB" w14:textId="77777777" w:rsidR="006B27BA" w:rsidRPr="006B27BA" w:rsidRDefault="006B27BA" w:rsidP="006B27BA">
            <w:pPr>
              <w:spacing w:after="0" w:line="240" w:lineRule="auto"/>
              <w:jc w:val="right"/>
              <w:rPr>
                <w:rFonts w:eastAsia="Times New Roman" w:cs="Times New Roman"/>
                <w:color w:val="FF0000"/>
                <w:sz w:val="20"/>
                <w:szCs w:val="20"/>
                <w:lang w:eastAsia="lv-LV"/>
              </w:rPr>
            </w:pPr>
            <w:r w:rsidRPr="006B27BA">
              <w:rPr>
                <w:rFonts w:eastAsia="Times New Roman" w:cs="Times New Roman"/>
                <w:color w:val="FF0000"/>
                <w:sz w:val="20"/>
                <w:szCs w:val="20"/>
                <w:lang w:eastAsia="lv-LV"/>
              </w:rPr>
              <w:t>6 037 888</w:t>
            </w:r>
          </w:p>
        </w:tc>
        <w:tc>
          <w:tcPr>
            <w:tcW w:w="1134" w:type="dxa"/>
            <w:tcBorders>
              <w:top w:val="nil"/>
              <w:left w:val="nil"/>
              <w:bottom w:val="single" w:sz="8" w:space="0" w:color="auto"/>
              <w:right w:val="single" w:sz="8" w:space="0" w:color="auto"/>
            </w:tcBorders>
            <w:shd w:val="clear" w:color="auto" w:fill="auto"/>
            <w:noWrap/>
            <w:vAlign w:val="bottom"/>
            <w:hideMark/>
          </w:tcPr>
          <w:p w14:paraId="66A46A8F" w14:textId="77777777" w:rsidR="006B27BA" w:rsidRPr="006B27BA" w:rsidRDefault="006B27BA" w:rsidP="006B27BA">
            <w:pPr>
              <w:spacing w:after="0" w:line="240" w:lineRule="auto"/>
              <w:rPr>
                <w:rFonts w:eastAsia="Times New Roman" w:cs="Times New Roman"/>
                <w:color w:val="000000"/>
                <w:sz w:val="20"/>
                <w:szCs w:val="20"/>
                <w:lang w:eastAsia="lv-LV"/>
              </w:rPr>
            </w:pPr>
            <w:r w:rsidRPr="006B27BA">
              <w:rPr>
                <w:rFonts w:eastAsia="Times New Roman" w:cs="Times New Roman"/>
                <w:color w:val="000000"/>
                <w:sz w:val="20"/>
                <w:szCs w:val="20"/>
                <w:lang w:eastAsia="lv-LV"/>
              </w:rPr>
              <w:t> </w:t>
            </w:r>
          </w:p>
        </w:tc>
      </w:tr>
    </w:tbl>
    <w:p w14:paraId="30174101" w14:textId="77777777" w:rsidR="0021601A" w:rsidRDefault="0021601A" w:rsidP="0021601A">
      <w:pPr>
        <w:spacing w:after="0"/>
        <w:ind w:firstLine="720"/>
        <w:jc w:val="both"/>
        <w:rPr>
          <w:rFonts w:cs="Times New Roman"/>
        </w:rPr>
      </w:pPr>
    </w:p>
    <w:p w14:paraId="20B80B8F" w14:textId="50A34E0B" w:rsidR="006B27BA" w:rsidRPr="003C18E8" w:rsidRDefault="006B27BA" w:rsidP="006B27BA">
      <w:pPr>
        <w:ind w:firstLine="720"/>
        <w:jc w:val="both"/>
        <w:rPr>
          <w:rFonts w:cs="Times New Roman"/>
        </w:rPr>
      </w:pPr>
      <w:r>
        <w:rPr>
          <w:rFonts w:cs="Times New Roman"/>
        </w:rPr>
        <w:fldChar w:fldCharType="begin"/>
      </w:r>
      <w:r>
        <w:rPr>
          <w:rFonts w:cs="Times New Roman"/>
        </w:rPr>
        <w:instrText xml:space="preserve"> REF _Ref47100508 \h </w:instrText>
      </w:r>
      <w:r>
        <w:rPr>
          <w:rFonts w:cs="Times New Roman"/>
        </w:rPr>
      </w:r>
      <w:r>
        <w:rPr>
          <w:rFonts w:cs="Times New Roman"/>
        </w:rPr>
        <w:fldChar w:fldCharType="separate"/>
      </w:r>
      <w:r w:rsidR="00D96F20">
        <w:t xml:space="preserve">Attēls Nr. </w:t>
      </w:r>
      <w:r w:rsidR="00D96F20">
        <w:rPr>
          <w:noProof/>
        </w:rPr>
        <w:t>55</w:t>
      </w:r>
      <w:r>
        <w:rPr>
          <w:rFonts w:cs="Times New Roman"/>
        </w:rPr>
        <w:fldChar w:fldCharType="end"/>
      </w:r>
      <w:r>
        <w:rPr>
          <w:rFonts w:cs="Times New Roman"/>
        </w:rPr>
        <w:t xml:space="preserve"> ilustrē IeM izdevumu pamatfunkcijām 2019.gadā izlietojumu pēc likuma griezuma EKK. Redzams, ka augstākais neizpildes īpatsvars veidojas izdevumos pamatkapitāla veidošanai (2,4 milj. </w:t>
      </w:r>
      <w:r w:rsidRPr="006B27BA">
        <w:rPr>
          <w:rFonts w:cs="Times New Roman"/>
          <w:i/>
        </w:rPr>
        <w:t>euro</w:t>
      </w:r>
      <w:r>
        <w:rPr>
          <w:rFonts w:cs="Times New Roman"/>
        </w:rPr>
        <w:t xml:space="preserve"> jeb 39%), kā arī izdevumos par precēm un pakalpojumiem (2,0 milj. </w:t>
      </w:r>
      <w:r w:rsidRPr="006B27BA">
        <w:rPr>
          <w:rFonts w:cs="Times New Roman"/>
          <w:i/>
        </w:rPr>
        <w:t>euro</w:t>
      </w:r>
      <w:r>
        <w:rPr>
          <w:rFonts w:cs="Times New Roman"/>
        </w:rPr>
        <w:t xml:space="preserve"> jeb 33%). Izdevumiem atlīdzībai, savukārt, neizpilde 2019.gada budžetā veido 0,9 milj. </w:t>
      </w:r>
      <w:r w:rsidRPr="006B27BA">
        <w:rPr>
          <w:rFonts w:cs="Times New Roman"/>
          <w:i/>
        </w:rPr>
        <w:t>euro</w:t>
      </w:r>
      <w:r>
        <w:rPr>
          <w:rFonts w:cs="Times New Roman"/>
        </w:rPr>
        <w:t xml:space="preserve"> jeb 14%.</w:t>
      </w:r>
    </w:p>
    <w:p w14:paraId="4FA03B79" w14:textId="3D5B81A1" w:rsidR="006B27BA" w:rsidRDefault="006B27BA" w:rsidP="006B27BA">
      <w:pPr>
        <w:pStyle w:val="Caption"/>
      </w:pPr>
      <w:bookmarkStart w:id="152" w:name="_Ref47100669"/>
      <w:r>
        <w:lastRenderedPageBreak/>
        <w:t xml:space="preserve">Attēls Nr. </w:t>
      </w:r>
      <w:fldSimple w:instr=" SEQ Attēls_Nr. \* ARABIC ">
        <w:r w:rsidR="00D96F20">
          <w:rPr>
            <w:noProof/>
          </w:rPr>
          <w:t>56</w:t>
        </w:r>
      </w:fldSimple>
      <w:bookmarkEnd w:id="152"/>
    </w:p>
    <w:p w14:paraId="51167895" w14:textId="77777777" w:rsidR="006B27BA" w:rsidRPr="006B27BA" w:rsidRDefault="006B27BA" w:rsidP="006B27BA">
      <w:pPr>
        <w:jc w:val="center"/>
        <w:rPr>
          <w:b/>
        </w:rPr>
      </w:pPr>
      <w:r w:rsidRPr="006B27BA">
        <w:rPr>
          <w:b/>
        </w:rPr>
        <w:t xml:space="preserve">2020.gada pamatbudžeta izdevumi funkcionālajā sadalījumā (bruto milj. </w:t>
      </w:r>
      <w:r w:rsidRPr="006B27BA">
        <w:rPr>
          <w:b/>
          <w:i/>
        </w:rPr>
        <w:t>euro</w:t>
      </w:r>
      <w:r w:rsidRPr="006B27BA">
        <w:rPr>
          <w:b/>
        </w:rPr>
        <w:t>, %)</w:t>
      </w:r>
    </w:p>
    <w:p w14:paraId="661CCDFC" w14:textId="77777777" w:rsidR="006B27BA" w:rsidRPr="006B27BA" w:rsidRDefault="006B27BA" w:rsidP="006B27BA">
      <w:pPr>
        <w:jc w:val="center"/>
      </w:pPr>
      <w:r w:rsidRPr="006B27BA">
        <w:rPr>
          <w:noProof/>
          <w:lang w:eastAsia="lv-LV"/>
        </w:rPr>
        <w:drawing>
          <wp:inline distT="0" distB="0" distL="0" distR="0" wp14:anchorId="6070C068" wp14:editId="63CCAD6F">
            <wp:extent cx="4778375" cy="2631882"/>
            <wp:effectExtent l="0" t="0" r="3175" b="1651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A171EED" w14:textId="0839FA2F" w:rsidR="006B27BA" w:rsidRPr="006B27BA" w:rsidRDefault="006B27BA" w:rsidP="006B27BA">
      <w:pPr>
        <w:ind w:firstLine="720"/>
        <w:jc w:val="both"/>
        <w:rPr>
          <w:rFonts w:cs="Times New Roman"/>
        </w:rPr>
      </w:pPr>
      <w:r>
        <w:rPr>
          <w:rFonts w:cs="Times New Roman"/>
        </w:rPr>
        <w:t>Analizējot izdevumu sadalījumu IeM budžetā 2020.gadam (</w:t>
      </w:r>
      <w:r>
        <w:rPr>
          <w:rFonts w:cs="Times New Roman"/>
        </w:rPr>
        <w:fldChar w:fldCharType="begin"/>
      </w:r>
      <w:r>
        <w:rPr>
          <w:rFonts w:cs="Times New Roman"/>
        </w:rPr>
        <w:instrText xml:space="preserve"> REF _Ref47100669 \h </w:instrText>
      </w:r>
      <w:r>
        <w:rPr>
          <w:rFonts w:cs="Times New Roman"/>
        </w:rPr>
      </w:r>
      <w:r>
        <w:rPr>
          <w:rFonts w:cs="Times New Roman"/>
        </w:rPr>
        <w:fldChar w:fldCharType="separate"/>
      </w:r>
      <w:r w:rsidR="00D96F20">
        <w:t xml:space="preserve">Attēls Nr. </w:t>
      </w:r>
      <w:r w:rsidR="00D96F20">
        <w:rPr>
          <w:noProof/>
        </w:rPr>
        <w:t>56</w:t>
      </w:r>
      <w:r>
        <w:rPr>
          <w:rFonts w:cs="Times New Roman"/>
        </w:rPr>
        <w:fldChar w:fldCharType="end"/>
      </w:r>
      <w:r>
        <w:rPr>
          <w:rFonts w:cs="Times New Roman"/>
        </w:rPr>
        <w:t>), r</w:t>
      </w:r>
      <w:r w:rsidRPr="006B27BA">
        <w:rPr>
          <w:rFonts w:cs="Times New Roman"/>
        </w:rPr>
        <w:t xml:space="preserve">edzams, ka lielāko daļu budžeta (43%) ietver policijas dienestu darbības nodrošināšana. Robežsardzes un VUGD struktūru darbības nodrošināšana aizņem attiecīgi 17% un 13% no kopējā pamatbudžeta. Savukārt, IeM struktūrās nodarbināto veselībai 2020.gadā plānoti 5,3 milj. </w:t>
      </w:r>
      <w:r w:rsidRPr="006B27BA">
        <w:rPr>
          <w:rFonts w:cs="Times New Roman"/>
          <w:i/>
        </w:rPr>
        <w:t>euro</w:t>
      </w:r>
      <w:r w:rsidRPr="006B27BA">
        <w:rPr>
          <w:rFonts w:cs="Times New Roman"/>
        </w:rPr>
        <w:t xml:space="preserve"> jeb 1% no kopējā izdevumu apjoma.</w:t>
      </w:r>
    </w:p>
    <w:p w14:paraId="59772C7E" w14:textId="77777777" w:rsidR="00AA0637" w:rsidRPr="00AA0637" w:rsidRDefault="00AA0637" w:rsidP="00E413F7">
      <w:pPr>
        <w:spacing w:after="120"/>
        <w:ind w:firstLine="720"/>
        <w:jc w:val="both"/>
        <w:rPr>
          <w:rFonts w:cs="Times New Roman"/>
        </w:rPr>
      </w:pPr>
      <w:r w:rsidRPr="00AA0637">
        <w:rPr>
          <w:rFonts w:cs="Times New Roman"/>
        </w:rPr>
        <w:t xml:space="preserve">IeM apakšprogrammas 06.01.00 Valsts policija  galvenie mērķi ir aizsargāt personu un valsts intereses no noziedzīgiem nodarījumiem un citiem prettiesiskiem apdraudējumiem, novērst, atklāt un pārtraukt noziedzīgos nodarījumus, pazemināt noziedzības līmeni valstī, garantēt sabiedrībai drošu vidi, kā arī meklēt personas un veikt ekspertīzes un izpētes. Apakšprogrammas izpildītāji ir </w:t>
      </w:r>
      <w:r>
        <w:rPr>
          <w:rFonts w:cs="Times New Roman"/>
        </w:rPr>
        <w:t>VP</w:t>
      </w:r>
      <w:r w:rsidRPr="00AA0637">
        <w:rPr>
          <w:rFonts w:cs="Times New Roman"/>
        </w:rPr>
        <w:t xml:space="preserve">, </w:t>
      </w:r>
      <w:r>
        <w:rPr>
          <w:rFonts w:cs="Times New Roman"/>
        </w:rPr>
        <w:t>VPolK</w:t>
      </w:r>
      <w:r w:rsidRPr="00AA0637">
        <w:rPr>
          <w:rFonts w:cs="Times New Roman"/>
        </w:rPr>
        <w:t xml:space="preserve">, Nodrošinājuma valsts aģentūra, </w:t>
      </w:r>
      <w:r>
        <w:rPr>
          <w:rFonts w:cs="Times New Roman"/>
        </w:rPr>
        <w:t>IeM</w:t>
      </w:r>
      <w:r w:rsidRPr="00AA0637">
        <w:rPr>
          <w:rFonts w:cs="Times New Roman"/>
        </w:rPr>
        <w:t xml:space="preserve"> Informācijas centrs, Ie</w:t>
      </w:r>
      <w:r>
        <w:rPr>
          <w:rFonts w:cs="Times New Roman"/>
        </w:rPr>
        <w:t>M</w:t>
      </w:r>
      <w:r w:rsidRPr="00AA0637">
        <w:rPr>
          <w:rFonts w:cs="Times New Roman"/>
        </w:rPr>
        <w:t xml:space="preserve">. </w:t>
      </w:r>
    </w:p>
    <w:p w14:paraId="4BF2BD9B" w14:textId="11D8D2C3" w:rsidR="00AA0637" w:rsidRDefault="00AA0637" w:rsidP="00AA0637">
      <w:pPr>
        <w:pStyle w:val="Caption"/>
      </w:pPr>
      <w:bookmarkStart w:id="153" w:name="_Ref47101211"/>
      <w:r>
        <w:t xml:space="preserve">Attēls Nr. </w:t>
      </w:r>
      <w:fldSimple w:instr=" SEQ Attēls_Nr. \* ARABIC ">
        <w:r w:rsidR="00D96F20">
          <w:rPr>
            <w:noProof/>
          </w:rPr>
          <w:t>57</w:t>
        </w:r>
      </w:fldSimple>
      <w:bookmarkEnd w:id="153"/>
    </w:p>
    <w:p w14:paraId="3A60C95D" w14:textId="77777777" w:rsidR="00AA0637" w:rsidRPr="00AA0637" w:rsidRDefault="00AA0637" w:rsidP="00AA0637">
      <w:pPr>
        <w:ind w:firstLine="720"/>
        <w:jc w:val="center"/>
        <w:rPr>
          <w:rFonts w:cs="Times New Roman"/>
          <w:b/>
        </w:rPr>
      </w:pPr>
      <w:r w:rsidRPr="00AA0637">
        <w:rPr>
          <w:rFonts w:cs="Times New Roman"/>
          <w:b/>
        </w:rPr>
        <w:t>Vispārējās valdības izdevumi policijai (% no kopējiem izdevumiem) un policistu skaits uz 100 000 iedzīvotājiem 2018.gadā</w:t>
      </w:r>
    </w:p>
    <w:p w14:paraId="2E19B766" w14:textId="77777777" w:rsidR="00AA0637" w:rsidRDefault="00AA0637" w:rsidP="00AA0637">
      <w:r>
        <w:rPr>
          <w:noProof/>
          <w:lang w:eastAsia="lv-LV"/>
        </w:rPr>
        <w:drawing>
          <wp:inline distT="0" distB="0" distL="0" distR="0" wp14:anchorId="390B8035" wp14:editId="51D0EEEE">
            <wp:extent cx="5760085" cy="2600077"/>
            <wp:effectExtent l="0" t="0" r="0" b="0"/>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B9D89E4" w14:textId="43F410A2" w:rsidR="00AA0637" w:rsidRDefault="00AA0637" w:rsidP="00AA0637">
      <w:pPr>
        <w:ind w:firstLine="720"/>
        <w:jc w:val="both"/>
        <w:rPr>
          <w:rFonts w:cs="Times New Roman"/>
        </w:rPr>
      </w:pPr>
      <w:r w:rsidRPr="00F11A31">
        <w:rPr>
          <w:rFonts w:cs="Times New Roman"/>
        </w:rPr>
        <w:lastRenderedPageBreak/>
        <w:t>Attēls</w:t>
      </w:r>
      <w:r>
        <w:rPr>
          <w:rFonts w:cs="Times New Roman"/>
        </w:rPr>
        <w:t xml:space="preserve"> (</w:t>
      </w:r>
      <w:r>
        <w:rPr>
          <w:rFonts w:cs="Times New Roman"/>
        </w:rPr>
        <w:fldChar w:fldCharType="begin"/>
      </w:r>
      <w:r>
        <w:rPr>
          <w:rFonts w:cs="Times New Roman"/>
        </w:rPr>
        <w:instrText xml:space="preserve"> REF _Ref47101211 \h </w:instrText>
      </w:r>
      <w:r>
        <w:rPr>
          <w:rFonts w:cs="Times New Roman"/>
        </w:rPr>
      </w:r>
      <w:r>
        <w:rPr>
          <w:rFonts w:cs="Times New Roman"/>
        </w:rPr>
        <w:fldChar w:fldCharType="separate"/>
      </w:r>
      <w:r w:rsidR="00D96F20">
        <w:t xml:space="preserve">Attēls Nr. </w:t>
      </w:r>
      <w:r w:rsidR="00D96F20">
        <w:rPr>
          <w:noProof/>
        </w:rPr>
        <w:t>57</w:t>
      </w:r>
      <w:r>
        <w:rPr>
          <w:rFonts w:cs="Times New Roman"/>
        </w:rPr>
        <w:fldChar w:fldCharType="end"/>
      </w:r>
      <w:r>
        <w:rPr>
          <w:rFonts w:cs="Times New Roman"/>
        </w:rPr>
        <w:t>) ataino Latvijas pozīciju starp ES valstīm izdevumu apmērā policijas dienestiem. Pēc 2018.</w:t>
      </w:r>
      <w:r w:rsidR="00DE6DF2">
        <w:rPr>
          <w:rFonts w:cs="Times New Roman"/>
        </w:rPr>
        <w:t xml:space="preserve"> </w:t>
      </w:r>
      <w:r>
        <w:rPr>
          <w:rFonts w:cs="Times New Roman"/>
        </w:rPr>
        <w:t>gada datiem, Latvija ieņēma 3.</w:t>
      </w:r>
      <w:r w:rsidR="00DE6DF2">
        <w:rPr>
          <w:rFonts w:cs="Times New Roman"/>
        </w:rPr>
        <w:t xml:space="preserve"> </w:t>
      </w:r>
      <w:r>
        <w:rPr>
          <w:rFonts w:cs="Times New Roman"/>
        </w:rPr>
        <w:t xml:space="preserve">vietu izdevumu apmērā policijai – 3,1% no kopējiem valdības izdevumiem. Augstāki rādītāji tika novēroti tikai Bulgārijā un Rumānijā – attiecīgi 3,3% un 3,2%. 2018.gadā uz 100 000 iedzīvotāju Latvijā bija 416 policisti, kas ir 6.augstākais radītājs starp ES valstīm (vidēji ES – 361 policists uz 100 000 iedzīvotājiem). </w:t>
      </w:r>
    </w:p>
    <w:p w14:paraId="55BFAE64" w14:textId="5E6F5054" w:rsidR="002A4E50" w:rsidRDefault="002A4E50" w:rsidP="002A4E50">
      <w:pPr>
        <w:pStyle w:val="Caption"/>
      </w:pPr>
      <w:r>
        <w:t xml:space="preserve">Attēls Nr. </w:t>
      </w:r>
      <w:fldSimple w:instr=" SEQ Attēls_Nr. \* ARABIC ">
        <w:r w:rsidR="00D96F20">
          <w:rPr>
            <w:noProof/>
          </w:rPr>
          <w:t>58</w:t>
        </w:r>
      </w:fldSimple>
    </w:p>
    <w:p w14:paraId="359225DE" w14:textId="77777777" w:rsidR="002A4E50" w:rsidRPr="002A4E50" w:rsidRDefault="002A4E50" w:rsidP="002A4E50">
      <w:pPr>
        <w:ind w:firstLine="720"/>
        <w:jc w:val="center"/>
        <w:rPr>
          <w:rFonts w:cs="Times New Roman"/>
          <w:b/>
        </w:rPr>
      </w:pPr>
      <w:r w:rsidRPr="002A4E50">
        <w:rPr>
          <w:rFonts w:cs="Times New Roman"/>
          <w:b/>
        </w:rPr>
        <w:t xml:space="preserve">IeM apakšprogrammas </w:t>
      </w:r>
      <w:r w:rsidRPr="00F17C94">
        <w:rPr>
          <w:rFonts w:cs="Times New Roman"/>
          <w:b/>
        </w:rPr>
        <w:t>06.01.00 Valsts policija</w:t>
      </w:r>
      <w:r w:rsidRPr="002A4E50">
        <w:rPr>
          <w:rFonts w:cs="Times New Roman"/>
          <w:b/>
        </w:rPr>
        <w:t xml:space="preserve"> izdevumu dinamika 2015.-2019.gadam (</w:t>
      </w:r>
      <w:r w:rsidRPr="002A4E50">
        <w:rPr>
          <w:rFonts w:cs="Times New Roman"/>
        </w:rPr>
        <w:t xml:space="preserve">milj. </w:t>
      </w:r>
      <w:r w:rsidRPr="002A4E50">
        <w:rPr>
          <w:rFonts w:cs="Times New Roman"/>
          <w:i/>
        </w:rPr>
        <w:t>euro</w:t>
      </w:r>
      <w:r w:rsidRPr="002A4E50">
        <w:rPr>
          <w:rFonts w:cs="Times New Roman"/>
          <w:b/>
        </w:rPr>
        <w:t>)</w:t>
      </w:r>
    </w:p>
    <w:p w14:paraId="42C392EF" w14:textId="77777777" w:rsidR="002A4E50" w:rsidRDefault="002A4E50" w:rsidP="00083858">
      <w:pPr>
        <w:ind w:firstLine="284"/>
      </w:pPr>
      <w:r w:rsidRPr="002A4E50">
        <w:rPr>
          <w:rFonts w:asciiTheme="minorHAnsi" w:hAnsiTheme="minorHAnsi"/>
          <w:noProof/>
          <w:sz w:val="22"/>
          <w:szCs w:val="22"/>
          <w:lang w:eastAsia="lv-LV"/>
        </w:rPr>
        <mc:AlternateContent>
          <mc:Choice Requires="wpg">
            <w:drawing>
              <wp:inline distT="0" distB="0" distL="0" distR="0" wp14:anchorId="4C98A84D" wp14:editId="58F86846">
                <wp:extent cx="5324405" cy="3186715"/>
                <wp:effectExtent l="0" t="0" r="10160" b="13970"/>
                <wp:docPr id="220" name="Group 3"/>
                <wp:cNvGraphicFramePr/>
                <a:graphic xmlns:a="http://schemas.openxmlformats.org/drawingml/2006/main">
                  <a:graphicData uri="http://schemas.microsoft.com/office/word/2010/wordprocessingGroup">
                    <wpg:wgp>
                      <wpg:cNvGrpSpPr/>
                      <wpg:grpSpPr>
                        <a:xfrm>
                          <a:off x="0" y="0"/>
                          <a:ext cx="5324405" cy="3186715"/>
                          <a:chOff x="171095" y="-57895"/>
                          <a:chExt cx="5977559" cy="3570804"/>
                        </a:xfrm>
                      </wpg:grpSpPr>
                      <wpg:grpSp>
                        <wpg:cNvPr id="221" name="Group 221"/>
                        <wpg:cNvGrpSpPr/>
                        <wpg:grpSpPr>
                          <a:xfrm>
                            <a:off x="171095" y="-57895"/>
                            <a:ext cx="5977559" cy="3570804"/>
                            <a:chOff x="171423" y="-57617"/>
                            <a:chExt cx="5989026" cy="3553629"/>
                          </a:xfrm>
                        </wpg:grpSpPr>
                        <wpg:graphicFrame>
                          <wpg:cNvPr id="222" name="Chart 222"/>
                          <wpg:cNvFrPr/>
                          <wpg:xfrm>
                            <a:off x="171423" y="175816"/>
                            <a:ext cx="5989026" cy="3320196"/>
                          </wpg:xfrm>
                          <a:graphic>
                            <a:graphicData uri="http://schemas.openxmlformats.org/drawingml/2006/chart">
                              <c:chart xmlns:c="http://schemas.openxmlformats.org/drawingml/2006/chart" xmlns:r="http://schemas.openxmlformats.org/officeDocument/2006/relationships" r:id="rId70"/>
                            </a:graphicData>
                          </a:graphic>
                        </wpg:graphicFrame>
                        <wps:wsp>
                          <wps:cNvPr id="223" name="TextBox 2"/>
                          <wps:cNvSpPr txBox="1"/>
                          <wps:spPr>
                            <a:xfrm>
                              <a:off x="4117299" y="-57617"/>
                              <a:ext cx="1780442" cy="358569"/>
                            </a:xfrm>
                            <a:prstGeom prst="rect">
                              <a:avLst/>
                            </a:prstGeom>
                            <a:noFill/>
                            <a:ln w="9525" cmpd="sng">
                              <a:noFill/>
                            </a:ln>
                            <a:effectLst/>
                          </wps:spPr>
                          <wps:txbx>
                            <w:txbxContent>
                              <w:p w14:paraId="3AC32A5F" w14:textId="77777777" w:rsidR="005E1561" w:rsidRDefault="005E1561" w:rsidP="002A4E50">
                                <w:pPr>
                                  <w:pStyle w:val="NormalWeb"/>
                                  <w:spacing w:before="0" w:beforeAutospacing="0" w:after="0" w:afterAutospacing="0"/>
                                </w:pPr>
                                <w:r>
                                  <w:rPr>
                                    <w:b/>
                                    <w:bCs/>
                                    <w:color w:val="ED7D31" w:themeColor="accent2"/>
                                    <w:sz w:val="20"/>
                                    <w:szCs w:val="20"/>
                                  </w:rPr>
                                  <w:t>Vienreizējie pasākumi</w:t>
                                </w:r>
                              </w:p>
                            </w:txbxContent>
                          </wps:txbx>
                          <wps:bodyPr wrap="square" rtlCol="0" anchor="t"/>
                        </wps:wsp>
                        <wps:wsp>
                          <wps:cNvPr id="224" name="Straight Arrow Connector 224"/>
                          <wps:cNvCnPr/>
                          <wps:spPr>
                            <a:xfrm>
                              <a:off x="5287107" y="175846"/>
                              <a:ext cx="190500" cy="146538"/>
                            </a:xfrm>
                            <a:prstGeom prst="straightConnector1">
                              <a:avLst/>
                            </a:prstGeom>
                            <a:noFill/>
                            <a:ln w="12700" cap="flat" cmpd="sng" algn="ctr">
                              <a:solidFill>
                                <a:sysClr val="windowText" lastClr="000000"/>
                              </a:solidFill>
                              <a:prstDash val="solid"/>
                              <a:miter lim="800000"/>
                              <a:tailEnd type="triangle"/>
                            </a:ln>
                            <a:effectLst/>
                          </wps:spPr>
                          <wps:bodyPr/>
                        </wps:wsp>
                      </wpg:grpSp>
                      <wps:wsp>
                        <wps:cNvPr id="225" name="TextBox 1"/>
                        <wps:cNvSpPr txBox="1"/>
                        <wps:spPr>
                          <a:xfrm>
                            <a:off x="5184342" y="2272006"/>
                            <a:ext cx="918679" cy="298715"/>
                          </a:xfrm>
                          <a:prstGeom prst="rect">
                            <a:avLst/>
                          </a:prstGeom>
                        </wps:spPr>
                        <wps:txbx>
                          <w:txbxContent>
                            <w:p w14:paraId="08848598" w14:textId="77777777" w:rsidR="005E1561" w:rsidRDefault="005E1561" w:rsidP="002A4E50">
                              <w:pPr>
                                <w:pStyle w:val="NormalWeb"/>
                                <w:spacing w:before="0" w:beforeAutospacing="0" w:after="0" w:afterAutospacing="0"/>
                              </w:pPr>
                              <w:r>
                                <w:rPr>
                                  <w:b/>
                                  <w:bCs/>
                                  <w:color w:val="FF0000"/>
                                </w:rPr>
                                <w:t>∑= 169,5</w:t>
                              </w:r>
                            </w:p>
                          </w:txbxContent>
                        </wps:txbx>
                        <wps:bodyPr wrap="square" rtlCol="0"/>
                      </wps:wsp>
                    </wpg:wgp>
                  </a:graphicData>
                </a:graphic>
              </wp:inline>
            </w:drawing>
          </mc:Choice>
          <mc:Fallback>
            <w:pict>
              <v:group w14:anchorId="4C98A84D" id="Group 3" o:spid="_x0000_s1028" style="width:419.25pt;height:250.9pt;mso-position-horizontal-relative:char;mso-position-vertical-relative:line" coordorigin="1710,-578" coordsize="59775,35708" o:gfxdata="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">
                <v:group id="Group 221" o:spid="_x0000_s1029" style="position:absolute;left:1710;top:-578;width:59776;height:35707" coordorigin="1714,-576" coordsize="59890,35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22" o:spid="_x0000_s1030" type="#_x0000_t75" style="position:absolute;left:1645;top:1667;width:59998;height:33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">
                    <v:imagedata r:id="rId71" o:title=""/>
                    <o:lock v:ext="edit" aspectratio="f"/>
                  </v:shape>
                  <v:shape id="TextBox 2" o:spid="_x0000_s1031" type="#_x0000_t202" style="position:absolute;left:41172;top:-576;width:17805;height:3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" filled="f" stroked="f">
                    <v:textbox>
                      <w:txbxContent>
                        <w:p w14:paraId="3AC32A5F" w14:textId="77777777" w:rsidR="005E1561" w:rsidRDefault="005E1561" w:rsidP="002A4E50">
                          <w:pPr>
                            <w:pStyle w:val="NormalWeb"/>
                            <w:spacing w:before="0" w:beforeAutospacing="0" w:after="0" w:afterAutospacing="0"/>
                          </w:pPr>
                          <w:r>
                            <w:rPr>
                              <w:b/>
                              <w:bCs/>
                              <w:color w:val="ED7D31" w:themeColor="accent2"/>
                              <w:sz w:val="20"/>
                              <w:szCs w:val="20"/>
                            </w:rPr>
                            <w:t>Vienreizējie pasākumi</w:t>
                          </w:r>
                        </w:p>
                      </w:txbxContent>
                    </v:textbox>
                  </v:shape>
                  <v:shapetype id="_x0000_t32" coordsize="21600,21600" o:spt="32" o:oned="t" path="m,l21600,21600e" filled="f">
                    <v:path arrowok="t" fillok="f" o:connecttype="none"/>
                    <o:lock v:ext="edit" shapetype="t"/>
                  </v:shapetype>
                  <v:shape id="Straight Arrow Connector 224" o:spid="_x0000_s1032" type="#_x0000_t32" style="position:absolute;left:52871;top:1758;width:1905;height:1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" strokecolor="windowText" strokeweight="1pt">
                    <v:stroke endarrow="block" joinstyle="miter"/>
                  </v:shape>
                </v:group>
                <v:shape id="TextBox 1" o:spid="_x0000_s1033" type="#_x0000_t202" style="position:absolute;left:51843;top:22720;width:9187;height: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08848598" w14:textId="77777777" w:rsidR="005E1561" w:rsidRDefault="005E1561" w:rsidP="002A4E50">
                        <w:pPr>
                          <w:pStyle w:val="NormalWeb"/>
                          <w:spacing w:before="0" w:beforeAutospacing="0" w:after="0" w:afterAutospacing="0"/>
                        </w:pPr>
                        <w:r>
                          <w:rPr>
                            <w:b/>
                            <w:bCs/>
                            <w:color w:val="FF0000"/>
                          </w:rPr>
                          <w:t>∑= 169,5</w:t>
                        </w:r>
                      </w:p>
                    </w:txbxContent>
                  </v:textbox>
                </v:shape>
                <w10:anchorlock/>
              </v:group>
            </w:pict>
          </mc:Fallback>
        </mc:AlternateContent>
      </w:r>
    </w:p>
    <w:p w14:paraId="63E8BA22" w14:textId="4D77405A" w:rsidR="002A4E50" w:rsidRPr="002A4E50" w:rsidRDefault="002A4E50" w:rsidP="002A4E50">
      <w:pPr>
        <w:ind w:firstLine="720"/>
        <w:jc w:val="both"/>
        <w:rPr>
          <w:rFonts w:cs="Times New Roman"/>
        </w:rPr>
      </w:pPr>
      <w:r>
        <w:rPr>
          <w:rFonts w:cs="Times New Roman"/>
        </w:rPr>
        <w:t>A</w:t>
      </w:r>
      <w:r w:rsidRPr="002A4E50">
        <w:rPr>
          <w:rFonts w:cs="Times New Roman"/>
        </w:rPr>
        <w:t>pakšprogrammas finansējums (izpilde) 2019.</w:t>
      </w:r>
      <w:r w:rsidR="00DE6DF2">
        <w:rPr>
          <w:rFonts w:cs="Times New Roman"/>
        </w:rPr>
        <w:t xml:space="preserve"> </w:t>
      </w:r>
      <w:r w:rsidRPr="002A4E50">
        <w:rPr>
          <w:rFonts w:cs="Times New Roman"/>
        </w:rPr>
        <w:t>gadā, salīdzinot ar 2015.</w:t>
      </w:r>
      <w:r w:rsidR="00DE6DF2">
        <w:rPr>
          <w:rFonts w:cs="Times New Roman"/>
        </w:rPr>
        <w:t xml:space="preserve"> </w:t>
      </w:r>
      <w:r w:rsidRPr="002A4E50">
        <w:rPr>
          <w:rFonts w:cs="Times New Roman"/>
        </w:rPr>
        <w:t xml:space="preserve">gadu pieaudzis par 57,6 milj. </w:t>
      </w:r>
      <w:r w:rsidRPr="002A4E50">
        <w:rPr>
          <w:rFonts w:cs="Times New Roman"/>
          <w:i/>
        </w:rPr>
        <w:t>euro</w:t>
      </w:r>
      <w:r w:rsidRPr="002A4E50">
        <w:rPr>
          <w:rFonts w:cs="Times New Roman"/>
        </w:rPr>
        <w:t xml:space="preserve"> jeb 51%. Izdevumu dinamika veido augšupejošu tendenci, kur 2019.</w:t>
      </w:r>
      <w:r w:rsidR="00DE6DF2">
        <w:rPr>
          <w:rFonts w:cs="Times New Roman"/>
        </w:rPr>
        <w:t xml:space="preserve"> </w:t>
      </w:r>
      <w:r w:rsidRPr="002A4E50">
        <w:rPr>
          <w:rFonts w:cs="Times New Roman"/>
        </w:rPr>
        <w:t xml:space="preserve">gadā novērojams straujākais </w:t>
      </w:r>
      <w:r w:rsidR="00DE6DF2" w:rsidRPr="002A4E50">
        <w:rPr>
          <w:rFonts w:cs="Times New Roman"/>
        </w:rPr>
        <w:t>iz</w:t>
      </w:r>
      <w:r w:rsidR="00DE6DF2">
        <w:rPr>
          <w:rFonts w:cs="Times New Roman"/>
        </w:rPr>
        <w:t>devumu</w:t>
      </w:r>
      <w:r w:rsidR="00DE6DF2" w:rsidRPr="002A4E50">
        <w:rPr>
          <w:rFonts w:cs="Times New Roman"/>
        </w:rPr>
        <w:t xml:space="preserve"> </w:t>
      </w:r>
      <w:r w:rsidRPr="002A4E50">
        <w:rPr>
          <w:rFonts w:cs="Times New Roman"/>
        </w:rPr>
        <w:t xml:space="preserve">kāpums. Tas izskaidrojams ar izdevumu palielinājumu 20,0 milj. </w:t>
      </w:r>
      <w:r w:rsidRPr="002A4E50">
        <w:rPr>
          <w:rFonts w:cs="Times New Roman"/>
          <w:i/>
        </w:rPr>
        <w:t>euro</w:t>
      </w:r>
      <w:r w:rsidRPr="002A4E50">
        <w:rPr>
          <w:rFonts w:cs="Times New Roman"/>
        </w:rPr>
        <w:t xml:space="preserve"> apmērā pabalsta pēc  katriem pieciem nepārtrauktas izdienas gadiem izmaksai IeM amatpersonām ar speciālajām dienesta pakāpēm (Valsts un pašvaldību institūciju amatpersonu un darbinieku atlīdzības likuma 25.p. ceturtā daļa) (MK 05.02.2019. prot. Nr.5 30.§ 14.1.p.).</w:t>
      </w:r>
    </w:p>
    <w:p w14:paraId="44F9A53B" w14:textId="2E2E4399" w:rsidR="00242139" w:rsidRPr="00E413F7" w:rsidRDefault="002A4E50" w:rsidP="00E413F7">
      <w:pPr>
        <w:ind w:firstLine="720"/>
        <w:jc w:val="both"/>
        <w:rPr>
          <w:rFonts w:cs="Times New Roman"/>
        </w:rPr>
      </w:pPr>
      <w:r w:rsidRPr="002A4E50">
        <w:rPr>
          <w:rFonts w:cs="Times New Roman"/>
        </w:rPr>
        <w:t>Apakšprogrammas plānotie izdevumi 2019.</w:t>
      </w:r>
      <w:r w:rsidR="00DE6DF2">
        <w:rPr>
          <w:rFonts w:cs="Times New Roman"/>
        </w:rPr>
        <w:t xml:space="preserve"> </w:t>
      </w:r>
      <w:r w:rsidRPr="002A4E50">
        <w:rPr>
          <w:rFonts w:cs="Times New Roman"/>
        </w:rPr>
        <w:t xml:space="preserve">gadam bija 171,2 milj. </w:t>
      </w:r>
      <w:r w:rsidRPr="002A4E50">
        <w:rPr>
          <w:rFonts w:cs="Times New Roman"/>
          <w:i/>
        </w:rPr>
        <w:t>euro</w:t>
      </w:r>
      <w:r w:rsidRPr="002A4E50">
        <w:rPr>
          <w:rFonts w:cs="Times New Roman"/>
        </w:rPr>
        <w:t xml:space="preserve">. Tika izlietoti 169,5 milj. </w:t>
      </w:r>
      <w:r w:rsidRPr="002A4E50">
        <w:rPr>
          <w:rFonts w:cs="Times New Roman"/>
          <w:i/>
        </w:rPr>
        <w:t>euro</w:t>
      </w:r>
      <w:r w:rsidRPr="002A4E50">
        <w:rPr>
          <w:rFonts w:cs="Times New Roman"/>
        </w:rPr>
        <w:t xml:space="preserve">, kā rezultātā neizpilde pārskata gadā sasniedza 1,7 milj. </w:t>
      </w:r>
      <w:r w:rsidRPr="002A4E50">
        <w:rPr>
          <w:rFonts w:cs="Times New Roman"/>
          <w:i/>
        </w:rPr>
        <w:t>euro</w:t>
      </w:r>
      <w:r w:rsidRPr="002A4E50">
        <w:rPr>
          <w:rFonts w:cs="Times New Roman"/>
        </w:rPr>
        <w:t xml:space="preserve"> jeb 1,0%. Vērts pieminēt, ka 2019.</w:t>
      </w:r>
      <w:r w:rsidR="00DE6DF2">
        <w:rPr>
          <w:rFonts w:cs="Times New Roman"/>
        </w:rPr>
        <w:t xml:space="preserve"> </w:t>
      </w:r>
      <w:r w:rsidRPr="002A4E50">
        <w:rPr>
          <w:rFonts w:cs="Times New Roman"/>
        </w:rPr>
        <w:t xml:space="preserve">gadā no 06.01.00 apakšprogrammas kopumā tika pārdalīti </w:t>
      </w:r>
      <w:r w:rsidR="00C93791">
        <w:rPr>
          <w:rFonts w:cs="Times New Roman"/>
        </w:rPr>
        <w:t>110 000</w:t>
      </w:r>
      <w:r w:rsidRPr="002A4E50">
        <w:rPr>
          <w:rFonts w:cs="Times New Roman"/>
        </w:rPr>
        <w:t xml:space="preserve"> </w:t>
      </w:r>
      <w:r w:rsidRPr="002A4E50">
        <w:rPr>
          <w:rFonts w:cs="Times New Roman"/>
          <w:i/>
        </w:rPr>
        <w:t>euro</w:t>
      </w:r>
      <w:r w:rsidRPr="002A4E50">
        <w:rPr>
          <w:rFonts w:cs="Times New Roman"/>
        </w:rPr>
        <w:t xml:space="preserve"> (MK 2019.</w:t>
      </w:r>
      <w:r w:rsidR="00DE6DF2">
        <w:rPr>
          <w:rFonts w:cs="Times New Roman"/>
        </w:rPr>
        <w:t xml:space="preserve"> </w:t>
      </w:r>
      <w:r w:rsidRPr="002A4E50">
        <w:rPr>
          <w:rFonts w:cs="Times New Roman"/>
        </w:rPr>
        <w:t>gada 5.</w:t>
      </w:r>
      <w:r w:rsidR="00DE6DF2">
        <w:rPr>
          <w:rFonts w:cs="Times New Roman"/>
        </w:rPr>
        <w:t xml:space="preserve"> </w:t>
      </w:r>
      <w:r w:rsidRPr="002A4E50">
        <w:rPr>
          <w:rFonts w:cs="Times New Roman"/>
        </w:rPr>
        <w:t>novembra rīk. Nr.543). Pārdales veidojās ilgstoši vakantu amatu vietu dēļ un izdevumi tika novirzīti veselības aprūpes izdevumu kompensācijai apakšprogramm</w:t>
      </w:r>
      <w:r w:rsidR="00B74030">
        <w:rPr>
          <w:rFonts w:cs="Times New Roman"/>
        </w:rPr>
        <w:t>as</w:t>
      </w:r>
      <w:r w:rsidRPr="002A4E50">
        <w:rPr>
          <w:rFonts w:cs="Times New Roman"/>
        </w:rPr>
        <w:t xml:space="preserve"> 38.05.00 “Veselības aprūpe un fiziskā sagatavotība</w:t>
      </w:r>
      <w:r w:rsidR="00B74030">
        <w:rPr>
          <w:rFonts w:cs="Times New Roman"/>
        </w:rPr>
        <w:t>”</w:t>
      </w:r>
      <w:r w:rsidR="00B74030" w:rsidRPr="00B74030">
        <w:rPr>
          <w:rFonts w:cs="Times New Roman"/>
        </w:rPr>
        <w:t xml:space="preserve"> </w:t>
      </w:r>
      <w:r w:rsidR="00B74030">
        <w:rPr>
          <w:rFonts w:cs="Times New Roman"/>
        </w:rPr>
        <w:t xml:space="preserve">ietvaros </w:t>
      </w:r>
      <w:r w:rsidR="00B74030" w:rsidRPr="006933DD">
        <w:rPr>
          <w:lang w:eastAsia="lv-LV"/>
        </w:rPr>
        <w:t>infotehnisk</w:t>
      </w:r>
      <w:r w:rsidR="00B74030">
        <w:rPr>
          <w:lang w:eastAsia="lv-LV"/>
        </w:rPr>
        <w:t>o</w:t>
      </w:r>
      <w:r w:rsidR="00B74030" w:rsidRPr="006933DD">
        <w:rPr>
          <w:lang w:eastAsia="lv-LV"/>
        </w:rPr>
        <w:t xml:space="preserve"> materiālu izpētes specializētās programmatūras licenču un datu glabātuves risinājuma infotehnisko pierādījumu analīzei un izpētei </w:t>
      </w:r>
      <w:r w:rsidR="00B74030" w:rsidRPr="006933DD">
        <w:rPr>
          <w:i/>
          <w:lang w:eastAsia="lv-LV"/>
        </w:rPr>
        <w:t xml:space="preserve">FlexStore </w:t>
      </w:r>
      <w:r w:rsidR="00B74030" w:rsidRPr="006933DD">
        <w:rPr>
          <w:lang w:eastAsia="lv-LV"/>
        </w:rPr>
        <w:t>risinājuma iegād</w:t>
      </w:r>
      <w:r w:rsidR="00B74030">
        <w:rPr>
          <w:lang w:eastAsia="lv-LV"/>
        </w:rPr>
        <w:t>e</w:t>
      </w:r>
      <w:r w:rsidR="00B74030" w:rsidRPr="006933DD">
        <w:rPr>
          <w:lang w:eastAsia="lv-LV"/>
        </w:rPr>
        <w:t>i</w:t>
      </w:r>
      <w:r w:rsidR="00B74030">
        <w:rPr>
          <w:lang w:eastAsia="lv-LV"/>
        </w:rPr>
        <w:t xml:space="preserve"> </w:t>
      </w:r>
      <w:r w:rsidR="00B74030">
        <w:rPr>
          <w:rFonts w:cs="Times New Roman"/>
        </w:rPr>
        <w:t>un budžeta apakšprogrammas 0</w:t>
      </w:r>
      <w:r w:rsidR="00B74030" w:rsidRPr="003233AC">
        <w:rPr>
          <w:rFonts w:cs="Times New Roman"/>
        </w:rPr>
        <w:t>6.01.00 "Valsts policija"</w:t>
      </w:r>
      <w:r w:rsidR="00B74030">
        <w:rPr>
          <w:rFonts w:cs="Times New Roman"/>
        </w:rPr>
        <w:t xml:space="preserve"> ietvaros. </w:t>
      </w:r>
      <w:r w:rsidRPr="002A4E50">
        <w:rPr>
          <w:rFonts w:cs="Times New Roman"/>
        </w:rPr>
        <w:t xml:space="preserve"> </w:t>
      </w:r>
      <w:bookmarkStart w:id="154" w:name="_Ref47101549"/>
    </w:p>
    <w:p w14:paraId="6E561170" w14:textId="77777777" w:rsidR="00605952" w:rsidRDefault="00605952" w:rsidP="002A4E50">
      <w:pPr>
        <w:pStyle w:val="Caption"/>
      </w:pPr>
      <w:bookmarkStart w:id="155" w:name="_Ref47963391"/>
    </w:p>
    <w:p w14:paraId="7850B8C0" w14:textId="77777777" w:rsidR="00605952" w:rsidRDefault="00605952" w:rsidP="002A4E50">
      <w:pPr>
        <w:pStyle w:val="Caption"/>
      </w:pPr>
    </w:p>
    <w:p w14:paraId="043BBBB4" w14:textId="36E5AF26" w:rsidR="002A4E50" w:rsidRDefault="002A4E50" w:rsidP="002A4E50">
      <w:pPr>
        <w:pStyle w:val="Caption"/>
      </w:pPr>
      <w:bookmarkStart w:id="156" w:name="_Ref48142508"/>
      <w:r>
        <w:lastRenderedPageBreak/>
        <w:t xml:space="preserve">Attēls Nr. </w:t>
      </w:r>
      <w:fldSimple w:instr=" SEQ Attēls_Nr. \* ARABIC ">
        <w:r w:rsidR="00D96F20">
          <w:rPr>
            <w:noProof/>
          </w:rPr>
          <w:t>59</w:t>
        </w:r>
      </w:fldSimple>
      <w:bookmarkEnd w:id="154"/>
      <w:bookmarkEnd w:id="155"/>
      <w:bookmarkEnd w:id="156"/>
    </w:p>
    <w:p w14:paraId="029CA3BD" w14:textId="305B6FCE" w:rsidR="002A4E50" w:rsidRDefault="002A4E50" w:rsidP="00242139">
      <w:pPr>
        <w:jc w:val="center"/>
        <w:rPr>
          <w:rFonts w:cs="Times New Roman"/>
          <w:b/>
          <w:i/>
        </w:rPr>
      </w:pPr>
      <w:r w:rsidRPr="001D6137">
        <w:rPr>
          <w:rFonts w:cs="Times New Roman"/>
          <w:b/>
        </w:rPr>
        <w:t xml:space="preserve">Darbinieku skaits </w:t>
      </w:r>
      <w:r w:rsidR="00755E6E">
        <w:rPr>
          <w:rFonts w:cs="Times New Roman"/>
          <w:b/>
        </w:rPr>
        <w:t>VP</w:t>
      </w:r>
      <w:r w:rsidRPr="001D6137">
        <w:rPr>
          <w:rFonts w:cs="Times New Roman"/>
          <w:b/>
        </w:rPr>
        <w:t xml:space="preserve"> un izdevumi atlīdzībai apakšprogrammā 06.01.00, milj. </w:t>
      </w:r>
      <w:r w:rsidRPr="009857F8">
        <w:rPr>
          <w:rFonts w:cs="Times New Roman"/>
          <w:b/>
          <w:i/>
        </w:rPr>
        <w:t>euro</w:t>
      </w:r>
      <w:r w:rsidR="00106293">
        <w:rPr>
          <w:rStyle w:val="FootnoteReference"/>
          <w:rFonts w:cs="Times New Roman"/>
          <w:b/>
          <w:i/>
        </w:rPr>
        <w:footnoteReference w:id="27"/>
      </w:r>
    </w:p>
    <w:p w14:paraId="4E4237BE" w14:textId="76653C35" w:rsidR="002A4E50" w:rsidRDefault="00551D2C" w:rsidP="00551D2C">
      <w:pPr>
        <w:ind w:firstLine="567"/>
        <w:jc w:val="center"/>
        <w:rPr>
          <w:rFonts w:cs="Times New Roman"/>
        </w:rPr>
      </w:pPr>
      <w:r>
        <w:rPr>
          <w:noProof/>
          <w:lang w:eastAsia="lv-LV"/>
        </w:rPr>
        <w:drawing>
          <wp:inline distT="0" distB="0" distL="0" distR="0" wp14:anchorId="24C3AA0D" wp14:editId="4BFCA496">
            <wp:extent cx="4862830" cy="2361362"/>
            <wp:effectExtent l="0" t="0" r="13970" b="1270"/>
            <wp:docPr id="111" name="Chart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D6142B3" w14:textId="1BA49B8E" w:rsidR="002A4E50" w:rsidRPr="00605952" w:rsidRDefault="002A4E50" w:rsidP="00605952">
      <w:pPr>
        <w:ind w:firstLine="720"/>
        <w:jc w:val="both"/>
        <w:rPr>
          <w:rFonts w:cs="Times New Roman"/>
        </w:rPr>
      </w:pPr>
      <w:r>
        <w:rPr>
          <w:rFonts w:cs="Times New Roman"/>
        </w:rPr>
        <w:t>Laikposmā no 2015. līdz 2019.</w:t>
      </w:r>
      <w:r w:rsidR="00DE6DF2">
        <w:rPr>
          <w:rFonts w:cs="Times New Roman"/>
        </w:rPr>
        <w:t xml:space="preserve"> </w:t>
      </w:r>
      <w:r>
        <w:rPr>
          <w:rFonts w:cs="Times New Roman"/>
        </w:rPr>
        <w:t xml:space="preserve">gadam VP darbinieku skaits nav būtiski mainījies, savukārt, izdevumi atlīdzībai 2019.gadā palielinājušies par 39,7 milj. </w:t>
      </w:r>
      <w:r w:rsidRPr="009857F8">
        <w:rPr>
          <w:rFonts w:cs="Times New Roman"/>
          <w:i/>
        </w:rPr>
        <w:t>euro</w:t>
      </w:r>
      <w:r>
        <w:rPr>
          <w:rFonts w:cs="Times New Roman"/>
        </w:rPr>
        <w:t xml:space="preserve"> jeb 45% (</w:t>
      </w:r>
      <w:r w:rsidR="00B74030">
        <w:rPr>
          <w:rFonts w:cs="Times New Roman"/>
        </w:rPr>
        <w:fldChar w:fldCharType="begin"/>
      </w:r>
      <w:r w:rsidR="00B74030">
        <w:rPr>
          <w:rFonts w:cs="Times New Roman"/>
        </w:rPr>
        <w:instrText xml:space="preserve"> REF _Ref48142508 \h </w:instrText>
      </w:r>
      <w:r w:rsidR="00B74030">
        <w:rPr>
          <w:rFonts w:cs="Times New Roman"/>
        </w:rPr>
      </w:r>
      <w:r w:rsidR="00B74030">
        <w:rPr>
          <w:rFonts w:cs="Times New Roman"/>
        </w:rPr>
        <w:fldChar w:fldCharType="separate"/>
      </w:r>
      <w:r w:rsidR="00D96F20">
        <w:t xml:space="preserve">Attēls Nr. </w:t>
      </w:r>
      <w:r w:rsidR="00D96F20">
        <w:rPr>
          <w:noProof/>
        </w:rPr>
        <w:t>59</w:t>
      </w:r>
      <w:r w:rsidR="00B74030">
        <w:rPr>
          <w:rFonts w:cs="Times New Roman"/>
        </w:rPr>
        <w:fldChar w:fldCharType="end"/>
      </w:r>
      <w:r>
        <w:rPr>
          <w:rFonts w:cs="Times New Roman"/>
        </w:rPr>
        <w:t xml:space="preserve">). 2019.gadā, salīdzinot ar 2018.gadu izdevumi palielinājušies par 18,5 milj. </w:t>
      </w:r>
      <w:r w:rsidRPr="009857F8">
        <w:rPr>
          <w:rFonts w:cs="Times New Roman"/>
          <w:i/>
        </w:rPr>
        <w:t>euro</w:t>
      </w:r>
      <w:r>
        <w:rPr>
          <w:rFonts w:cs="Times New Roman"/>
        </w:rPr>
        <w:t>, kas izskaidrojami ar izdevumu palielinājumu pabalsta izmaksām IeM amatpersonām ar speciālajām dienesta pakāpēm  par pēc katriem pieciem nepārtrauktas izdienas gadiem.</w:t>
      </w:r>
    </w:p>
    <w:p w14:paraId="0250F50D" w14:textId="68B94F02" w:rsidR="00E413F7" w:rsidRPr="00174653" w:rsidRDefault="00C47F26" w:rsidP="00174653">
      <w:pPr>
        <w:ind w:firstLine="720"/>
        <w:jc w:val="both"/>
        <w:rPr>
          <w:rFonts w:cs="Times New Roman"/>
        </w:rPr>
      </w:pPr>
      <w:r w:rsidRPr="00C47F26">
        <w:rPr>
          <w:rFonts w:cs="Times New Roman"/>
        </w:rPr>
        <w:t>2020.</w:t>
      </w:r>
      <w:r w:rsidR="00DE6DF2">
        <w:rPr>
          <w:rFonts w:cs="Times New Roman"/>
        </w:rPr>
        <w:t xml:space="preserve"> </w:t>
      </w:r>
      <w:r w:rsidRPr="00C47F26">
        <w:rPr>
          <w:rFonts w:cs="Times New Roman"/>
        </w:rPr>
        <w:t xml:space="preserve">gada plānotais finansējums par atlīdzību apakšprogrammā 06.01.00 ir 128,1 milj. </w:t>
      </w:r>
      <w:r w:rsidRPr="00C47F26">
        <w:rPr>
          <w:rFonts w:cs="Times New Roman"/>
          <w:i/>
        </w:rPr>
        <w:t>euro</w:t>
      </w:r>
      <w:r w:rsidRPr="00C47F26">
        <w:rPr>
          <w:rFonts w:cs="Times New Roman"/>
        </w:rPr>
        <w:t xml:space="preserve">, jeb par 10,5 milj. </w:t>
      </w:r>
      <w:r w:rsidRPr="00C47F26">
        <w:rPr>
          <w:rFonts w:cs="Times New Roman"/>
          <w:i/>
        </w:rPr>
        <w:t>euro</w:t>
      </w:r>
      <w:r w:rsidRPr="00C47F26">
        <w:rPr>
          <w:rFonts w:cs="Times New Roman"/>
        </w:rPr>
        <w:t xml:space="preserve"> mazāk nekā iztērētais 2019.</w:t>
      </w:r>
      <w:r w:rsidR="00DE6DF2">
        <w:rPr>
          <w:rFonts w:cs="Times New Roman"/>
        </w:rPr>
        <w:t xml:space="preserve"> </w:t>
      </w:r>
      <w:r w:rsidRPr="00C47F26">
        <w:rPr>
          <w:rFonts w:cs="Times New Roman"/>
        </w:rPr>
        <w:t>gadā. Vērts pieminēt, ka, saistībā ar izdevumiem atlīdzībai, IeM prioritārajos pasākumos 2020-2022.</w:t>
      </w:r>
      <w:r w:rsidR="00DE6DF2">
        <w:rPr>
          <w:rFonts w:cs="Times New Roman"/>
        </w:rPr>
        <w:t xml:space="preserve"> </w:t>
      </w:r>
      <w:r w:rsidRPr="00C47F26">
        <w:rPr>
          <w:rFonts w:cs="Times New Roman"/>
        </w:rPr>
        <w:t xml:space="preserve">gadu periodam piešķirti papildus 10,7 milj. </w:t>
      </w:r>
      <w:r w:rsidRPr="00C47F26">
        <w:rPr>
          <w:rFonts w:cs="Times New Roman"/>
          <w:i/>
        </w:rPr>
        <w:t>euro</w:t>
      </w:r>
      <w:r w:rsidRPr="00C47F26">
        <w:rPr>
          <w:rFonts w:cs="Times New Roman"/>
        </w:rPr>
        <w:t>, ik gadu.</w:t>
      </w:r>
      <w:bookmarkStart w:id="157" w:name="_Ref47101782"/>
      <w:r w:rsidR="00174653">
        <w:rPr>
          <w:rFonts w:cs="Times New Roman"/>
        </w:rPr>
        <w:t xml:space="preserve"> </w:t>
      </w:r>
    </w:p>
    <w:p w14:paraId="3B10AEFB" w14:textId="3AA67536" w:rsidR="002A4E50" w:rsidRDefault="00C47F26" w:rsidP="00C47F26">
      <w:pPr>
        <w:pStyle w:val="Caption"/>
      </w:pPr>
      <w:bookmarkStart w:id="158" w:name="_Ref47963430"/>
      <w:r>
        <w:t xml:space="preserve">Attēls Nr. </w:t>
      </w:r>
      <w:fldSimple w:instr=" SEQ Attēls_Nr. \* ARABIC ">
        <w:r w:rsidR="00D96F20">
          <w:rPr>
            <w:noProof/>
          </w:rPr>
          <w:t>60</w:t>
        </w:r>
      </w:fldSimple>
      <w:bookmarkEnd w:id="157"/>
      <w:bookmarkEnd w:id="158"/>
    </w:p>
    <w:p w14:paraId="0A15B737" w14:textId="77777777" w:rsidR="00C47F26" w:rsidRPr="00C47F26" w:rsidRDefault="00C47F26" w:rsidP="00C47F26">
      <w:pPr>
        <w:jc w:val="center"/>
        <w:rPr>
          <w:b/>
        </w:rPr>
      </w:pPr>
      <w:r w:rsidRPr="00C47F26">
        <w:rPr>
          <w:b/>
        </w:rPr>
        <w:t xml:space="preserve">Izdevumi apakšprogrammā 06.01.00 Valsts policija (milj. </w:t>
      </w:r>
      <w:r w:rsidRPr="00C47F26">
        <w:rPr>
          <w:b/>
          <w:i/>
        </w:rPr>
        <w:t>euro</w:t>
      </w:r>
      <w:r w:rsidRPr="00C47F26">
        <w:rPr>
          <w:b/>
        </w:rPr>
        <w:t>), izpildīto ekspertīžu skaits (tūkst.) un noziedzīgo nodarījumu skaits (tūkst.)</w:t>
      </w:r>
    </w:p>
    <w:p w14:paraId="7E227F42" w14:textId="77777777" w:rsidR="00C47F26" w:rsidRPr="00C47F26" w:rsidRDefault="00C47F26" w:rsidP="00C47F26">
      <w:r w:rsidRPr="00C47F26">
        <w:rPr>
          <w:noProof/>
          <w:lang w:eastAsia="lv-LV"/>
        </w:rPr>
        <w:drawing>
          <wp:inline distT="0" distB="0" distL="0" distR="0" wp14:anchorId="29B8A396" wp14:editId="375829C5">
            <wp:extent cx="5593976" cy="2891117"/>
            <wp:effectExtent l="0" t="0" r="6985" b="5080"/>
            <wp:docPr id="228" name="Chart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7E83966" w14:textId="06899042" w:rsidR="00C47F26" w:rsidRPr="00E413F7" w:rsidRDefault="00C47F26" w:rsidP="00174653">
      <w:pPr>
        <w:pStyle w:val="Caption"/>
        <w:ind w:firstLine="720"/>
        <w:jc w:val="both"/>
      </w:pPr>
      <w:r>
        <w:rPr>
          <w:rFonts w:cs="Times New Roman"/>
        </w:rPr>
        <w:lastRenderedPageBreak/>
        <w:t>Analizējot pēdējo 5 gadu dinamiku starp izdevumiem apakšprogrammai 06.01.00, valstī reģistrēto noziedzīgo nodarījumu skaitu un veikto ekspertīžu skaitu (</w:t>
      </w:r>
      <w:r w:rsidR="00174653">
        <w:rPr>
          <w:rFonts w:cs="Times New Roman"/>
        </w:rPr>
        <w:fldChar w:fldCharType="begin"/>
      </w:r>
      <w:r w:rsidR="00174653">
        <w:rPr>
          <w:rFonts w:cs="Times New Roman"/>
        </w:rPr>
        <w:instrText xml:space="preserve"> REF _Ref47963430 \h </w:instrText>
      </w:r>
      <w:r w:rsidR="00174653">
        <w:rPr>
          <w:rFonts w:cs="Times New Roman"/>
        </w:rPr>
      </w:r>
      <w:r w:rsidR="00174653">
        <w:rPr>
          <w:rFonts w:cs="Times New Roman"/>
        </w:rPr>
        <w:fldChar w:fldCharType="separate"/>
      </w:r>
      <w:r w:rsidR="00D96F20">
        <w:t xml:space="preserve">Attēls Nr. </w:t>
      </w:r>
      <w:r w:rsidR="00D96F20">
        <w:rPr>
          <w:noProof/>
        </w:rPr>
        <w:t>60</w:t>
      </w:r>
      <w:r w:rsidR="00174653">
        <w:rPr>
          <w:rFonts w:cs="Times New Roman"/>
        </w:rPr>
        <w:fldChar w:fldCharType="end"/>
      </w:r>
      <w:r w:rsidR="00174653">
        <w:rPr>
          <w:rFonts w:cs="Times New Roman"/>
        </w:rPr>
        <w:t>)</w:t>
      </w:r>
      <w:r>
        <w:rPr>
          <w:rFonts w:cs="Times New Roman"/>
        </w:rPr>
        <w:t>, redzams, ka pieaugot izdevumu apmēram, samazinās reģistrēto noziedzīgo nodarījumu un veikto ekspertīžu skaits, kas norāda uz efekti</w:t>
      </w:r>
      <w:r w:rsidR="00242139">
        <w:rPr>
          <w:rFonts w:cs="Times New Roman"/>
        </w:rPr>
        <w:t>vitātes uzlabošanos VP darbībā.</w:t>
      </w:r>
    </w:p>
    <w:p w14:paraId="02EEE0D0" w14:textId="382EB62D" w:rsidR="00C47F26" w:rsidRPr="00C47F26" w:rsidRDefault="00DE6DF2" w:rsidP="00C47F26">
      <w:pPr>
        <w:ind w:firstLine="720"/>
        <w:jc w:val="both"/>
        <w:rPr>
          <w:rFonts w:cs="Times New Roman"/>
        </w:rPr>
      </w:pPr>
      <w:r>
        <w:rPr>
          <w:rFonts w:cs="Times New Roman"/>
        </w:rPr>
        <w:t>Analizējot</w:t>
      </w:r>
      <w:r w:rsidRPr="00C47F26">
        <w:rPr>
          <w:rFonts w:cs="Times New Roman"/>
        </w:rPr>
        <w:t xml:space="preserve"> </w:t>
      </w:r>
      <w:r w:rsidR="00C47F26" w:rsidRPr="00C47F26">
        <w:rPr>
          <w:rFonts w:cs="Times New Roman"/>
        </w:rPr>
        <w:t>rezultatīvos rādītājus apakšprogrammā 06.01.00, secināms, ka kopumā vērojama pozitīva tendence. Novērstu, atklātu un pārtrauktu noziegumu un likumpārkāpumu samazināšanās liecina par efektīvu preventīvu VP darbu, profilaktiskās pārbaudes un kontroles pasākumi 2019.</w:t>
      </w:r>
      <w:r>
        <w:rPr>
          <w:rFonts w:cs="Times New Roman"/>
        </w:rPr>
        <w:t xml:space="preserve"> </w:t>
      </w:r>
      <w:r w:rsidR="00C47F26" w:rsidRPr="00C47F26">
        <w:rPr>
          <w:rFonts w:cs="Times New Roman"/>
        </w:rPr>
        <w:t>gadā, salīdzinot ar 2018.</w:t>
      </w:r>
      <w:r>
        <w:rPr>
          <w:rFonts w:cs="Times New Roman"/>
        </w:rPr>
        <w:t xml:space="preserve"> </w:t>
      </w:r>
      <w:r w:rsidR="00C47F26" w:rsidRPr="00C47F26">
        <w:rPr>
          <w:rFonts w:cs="Times New Roman"/>
        </w:rPr>
        <w:t xml:space="preserve">gadu ir pieauguši. Savukārt, izglītības rādītāji liecina, ka pēdējo gadu laikā ir mazinājusies interese par darbu VP, kas rezultējas ar jaunu speciālistu skaitu samazināšanos. </w:t>
      </w:r>
    </w:p>
    <w:p w14:paraId="21334E7A" w14:textId="77777777" w:rsidR="00C47F26" w:rsidRPr="00C47F26" w:rsidRDefault="00C47F26" w:rsidP="00C47F26">
      <w:pPr>
        <w:ind w:firstLine="720"/>
        <w:jc w:val="both"/>
        <w:rPr>
          <w:rFonts w:cs="Times New Roman"/>
        </w:rPr>
      </w:pPr>
      <w:r w:rsidRPr="00C47F26">
        <w:rPr>
          <w:rFonts w:cs="Times New Roman"/>
        </w:rPr>
        <w:t xml:space="preserve">IeM programmas </w:t>
      </w:r>
      <w:r w:rsidRPr="00C47F26">
        <w:rPr>
          <w:rFonts w:cs="Times New Roman"/>
          <w:b/>
        </w:rPr>
        <w:t>10.00.00 Valsts robežsardzes darbība</w:t>
      </w:r>
      <w:r w:rsidRPr="00C47F26">
        <w:rPr>
          <w:rFonts w:cs="Times New Roman"/>
        </w:rPr>
        <w:t xml:space="preserve"> galvenie mērķi ir nodrošināt valsts robežas neaizskaramību, kā arī novērst nelegālo migrāciju. Programmas galvenās aktivitātes:</w:t>
      </w:r>
    </w:p>
    <w:p w14:paraId="485659AA" w14:textId="77777777" w:rsidR="00C47F26" w:rsidRPr="00C47F26" w:rsidRDefault="00C47F26" w:rsidP="00242139">
      <w:pPr>
        <w:spacing w:after="60" w:line="240" w:lineRule="auto"/>
        <w:ind w:firstLine="720"/>
        <w:jc w:val="both"/>
        <w:rPr>
          <w:rFonts w:cs="Times New Roman"/>
        </w:rPr>
      </w:pPr>
      <w:r w:rsidRPr="00C47F26">
        <w:rPr>
          <w:rFonts w:cs="Times New Roman"/>
        </w:rPr>
        <w:t>1) nodrošināt robežpārbaudi, robežuzraudzību, imigrācijas kontroli un darbības ar patvēruma meklētājiem;</w:t>
      </w:r>
    </w:p>
    <w:p w14:paraId="33BABA35" w14:textId="77777777" w:rsidR="00C47F26" w:rsidRPr="00C47F26" w:rsidRDefault="00C47F26" w:rsidP="00242139">
      <w:pPr>
        <w:spacing w:after="60" w:line="240" w:lineRule="auto"/>
        <w:ind w:firstLine="720"/>
        <w:jc w:val="both"/>
        <w:rPr>
          <w:rFonts w:cs="Times New Roman"/>
        </w:rPr>
      </w:pPr>
      <w:r w:rsidRPr="00C47F26">
        <w:rPr>
          <w:rFonts w:cs="Times New Roman"/>
        </w:rPr>
        <w:t>2) veikt kriminālizmeklēšanas procesa un dokumentu tehniskās ekspertīzes;</w:t>
      </w:r>
    </w:p>
    <w:p w14:paraId="1D8648DD" w14:textId="77777777" w:rsidR="00C47F26" w:rsidRPr="00C47F26" w:rsidRDefault="00C47F26" w:rsidP="00242139">
      <w:pPr>
        <w:spacing w:after="60" w:line="240" w:lineRule="auto"/>
        <w:ind w:firstLine="720"/>
        <w:jc w:val="both"/>
        <w:rPr>
          <w:rFonts w:cs="Times New Roman"/>
        </w:rPr>
      </w:pPr>
      <w:r w:rsidRPr="00C47F26">
        <w:rPr>
          <w:rFonts w:cs="Times New Roman"/>
        </w:rPr>
        <w:t>3) nodrošināt aizturēto nelegālo imigrantu un patvēruma meklētāju izmitināšanu;</w:t>
      </w:r>
    </w:p>
    <w:p w14:paraId="43A6164F" w14:textId="77777777" w:rsidR="00C47F26" w:rsidRPr="00C47F26" w:rsidRDefault="00C47F26" w:rsidP="00242139">
      <w:pPr>
        <w:spacing w:after="60" w:line="240" w:lineRule="auto"/>
        <w:ind w:firstLine="720"/>
        <w:jc w:val="both"/>
        <w:rPr>
          <w:rFonts w:cs="Times New Roman"/>
        </w:rPr>
      </w:pPr>
      <w:r w:rsidRPr="00C47F26">
        <w:rPr>
          <w:rFonts w:cs="Times New Roman"/>
        </w:rPr>
        <w:t>4) nodrošināt Centrālās Šengenas vīzu informācijas sistēmas (C-VIS) ieviešanu, uzsākot biometrisko vīzu pārbaudes un biometrisko vīzu izsniegšanu robežšķērsošanas vietās;</w:t>
      </w:r>
    </w:p>
    <w:p w14:paraId="55B2AE3D" w14:textId="77777777" w:rsidR="00C47F26" w:rsidRPr="00C47F26" w:rsidRDefault="00C47F26" w:rsidP="00242139">
      <w:pPr>
        <w:spacing w:after="60" w:line="240" w:lineRule="auto"/>
        <w:ind w:firstLine="720"/>
        <w:jc w:val="both"/>
        <w:rPr>
          <w:rFonts w:cs="Times New Roman"/>
        </w:rPr>
      </w:pPr>
      <w:r w:rsidRPr="00C47F26">
        <w:rPr>
          <w:rFonts w:cs="Times New Roman"/>
        </w:rPr>
        <w:t>5) piedalīties FRONTEX aktivitātēs;</w:t>
      </w:r>
    </w:p>
    <w:p w14:paraId="42D33652" w14:textId="77777777" w:rsidR="00C47F26" w:rsidRPr="00C47F26" w:rsidRDefault="00C47F26" w:rsidP="00242139">
      <w:pPr>
        <w:spacing w:after="60" w:line="240" w:lineRule="auto"/>
        <w:ind w:firstLine="720"/>
        <w:jc w:val="both"/>
        <w:rPr>
          <w:rFonts w:cs="Times New Roman"/>
        </w:rPr>
      </w:pPr>
      <w:r w:rsidRPr="00C47F26">
        <w:rPr>
          <w:rFonts w:cs="Times New Roman"/>
        </w:rPr>
        <w:t>6) veikt daktiloskopiskās ekspertīzes.</w:t>
      </w:r>
    </w:p>
    <w:p w14:paraId="3D0A9C81" w14:textId="753D68C1" w:rsidR="00E413F7" w:rsidRPr="00174653" w:rsidRDefault="00C47F26" w:rsidP="00174653">
      <w:pPr>
        <w:spacing w:after="60" w:line="240" w:lineRule="auto"/>
        <w:ind w:firstLine="720"/>
        <w:jc w:val="both"/>
        <w:rPr>
          <w:rFonts w:cs="Times New Roman"/>
        </w:rPr>
      </w:pPr>
      <w:r w:rsidRPr="00C47F26">
        <w:rPr>
          <w:rFonts w:cs="Times New Roman"/>
        </w:rPr>
        <w:t>Programmas izpildītāji ir Valsts robežsardze un Valsts robežsardzes koledža</w:t>
      </w:r>
      <w:r w:rsidR="00242139">
        <w:rPr>
          <w:rFonts w:cs="Times New Roman"/>
        </w:rPr>
        <w:t>.</w:t>
      </w:r>
      <w:bookmarkStart w:id="159" w:name="_Ref47339526"/>
    </w:p>
    <w:p w14:paraId="3836611C" w14:textId="30A824F6" w:rsidR="002A4E50" w:rsidRPr="002A4E50" w:rsidRDefault="007E15B0" w:rsidP="007E15B0">
      <w:pPr>
        <w:pStyle w:val="Caption"/>
      </w:pPr>
      <w:bookmarkStart w:id="160" w:name="_Ref47963497"/>
      <w:r>
        <w:t xml:space="preserve">Attēls Nr. </w:t>
      </w:r>
      <w:fldSimple w:instr=" SEQ Attēls_Nr. \* ARABIC ">
        <w:r w:rsidR="00D96F20">
          <w:rPr>
            <w:noProof/>
          </w:rPr>
          <w:t>61</w:t>
        </w:r>
      </w:fldSimple>
      <w:bookmarkEnd w:id="159"/>
      <w:bookmarkEnd w:id="160"/>
    </w:p>
    <w:p w14:paraId="193841F8" w14:textId="77777777" w:rsidR="007E15B0" w:rsidRDefault="007E15B0" w:rsidP="007E15B0">
      <w:pPr>
        <w:ind w:firstLine="720"/>
        <w:jc w:val="center"/>
        <w:rPr>
          <w:rFonts w:cs="Times New Roman"/>
          <w:b/>
        </w:rPr>
      </w:pPr>
      <w:r w:rsidRPr="001D2358">
        <w:rPr>
          <w:rFonts w:cs="Times New Roman"/>
          <w:b/>
        </w:rPr>
        <w:t xml:space="preserve">Izdevumi robežsardzei (milj. </w:t>
      </w:r>
      <w:r w:rsidRPr="007671EE">
        <w:rPr>
          <w:rFonts w:cs="Times New Roman"/>
          <w:b/>
          <w:i/>
        </w:rPr>
        <w:t>euro</w:t>
      </w:r>
      <w:r w:rsidRPr="001D2358">
        <w:rPr>
          <w:rFonts w:cs="Times New Roman"/>
          <w:b/>
        </w:rPr>
        <w:t xml:space="preserve">) un kopējais </w:t>
      </w:r>
      <w:r>
        <w:rPr>
          <w:rFonts w:cs="Times New Roman"/>
          <w:b/>
        </w:rPr>
        <w:t>(personu, automašīnu, vilcienu</w:t>
      </w:r>
      <w:r w:rsidRPr="001D2358">
        <w:rPr>
          <w:rFonts w:cs="Times New Roman"/>
          <w:b/>
        </w:rPr>
        <w:t>, peldošo līdzekļu) veikto robežpārbaužu skaits (milj.)</w:t>
      </w:r>
    </w:p>
    <w:p w14:paraId="1E4795EC" w14:textId="77777777" w:rsidR="00605F2A" w:rsidRDefault="007E15B0" w:rsidP="00605F2A">
      <w:r>
        <w:rPr>
          <w:noProof/>
          <w:lang w:eastAsia="lv-LV"/>
        </w:rPr>
        <w:drawing>
          <wp:inline distT="0" distB="0" distL="0" distR="0" wp14:anchorId="61EA4DC0" wp14:editId="74B5B4D6">
            <wp:extent cx="5760085" cy="2826852"/>
            <wp:effectExtent l="0" t="0" r="0" b="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B4F3582" w14:textId="771B8114" w:rsidR="007E15B0" w:rsidRDefault="007E15B0" w:rsidP="00CB68AD">
      <w:pPr>
        <w:pStyle w:val="Caption"/>
        <w:ind w:firstLine="720"/>
        <w:jc w:val="both"/>
        <w:rPr>
          <w:rFonts w:cs="Times New Roman"/>
        </w:rPr>
      </w:pPr>
      <w:r>
        <w:rPr>
          <w:rFonts w:cs="Times New Roman"/>
        </w:rPr>
        <w:t>K</w:t>
      </w:r>
      <w:r w:rsidRPr="007E15B0">
        <w:rPr>
          <w:rFonts w:cs="Times New Roman"/>
        </w:rPr>
        <w:t xml:space="preserve">opējiem izdevumiem robežsardzei ir augšupejoša tendence </w:t>
      </w:r>
      <w:r>
        <w:rPr>
          <w:rFonts w:cs="Times New Roman"/>
        </w:rPr>
        <w:t>(</w:t>
      </w:r>
      <w:r w:rsidR="00CB68AD">
        <w:rPr>
          <w:rFonts w:cs="Times New Roman"/>
        </w:rPr>
        <w:fldChar w:fldCharType="begin"/>
      </w:r>
      <w:r w:rsidR="00CB68AD">
        <w:rPr>
          <w:rFonts w:cs="Times New Roman"/>
        </w:rPr>
        <w:instrText xml:space="preserve"> REF _Ref47963497 \h </w:instrText>
      </w:r>
      <w:r w:rsidR="00CB68AD">
        <w:rPr>
          <w:rFonts w:cs="Times New Roman"/>
        </w:rPr>
      </w:r>
      <w:r w:rsidR="00CB68AD">
        <w:rPr>
          <w:rFonts w:cs="Times New Roman"/>
        </w:rPr>
        <w:fldChar w:fldCharType="separate"/>
      </w:r>
      <w:r w:rsidR="00D96F20">
        <w:t xml:space="preserve">Attēls Nr. </w:t>
      </w:r>
      <w:r w:rsidR="00D96F20">
        <w:rPr>
          <w:noProof/>
        </w:rPr>
        <w:t>61</w:t>
      </w:r>
      <w:r w:rsidR="00CB68AD">
        <w:rPr>
          <w:rFonts w:cs="Times New Roman"/>
        </w:rPr>
        <w:fldChar w:fldCharType="end"/>
      </w:r>
      <w:r>
        <w:rPr>
          <w:rFonts w:cs="Times New Roman"/>
        </w:rPr>
        <w:t xml:space="preserve">) </w:t>
      </w:r>
      <w:r w:rsidRPr="007E15B0">
        <w:rPr>
          <w:rFonts w:cs="Times New Roman"/>
        </w:rPr>
        <w:t>– 2019.</w:t>
      </w:r>
      <w:r w:rsidR="00DE6DF2">
        <w:rPr>
          <w:rFonts w:cs="Times New Roman"/>
        </w:rPr>
        <w:t xml:space="preserve"> </w:t>
      </w:r>
      <w:r w:rsidRPr="007E15B0">
        <w:rPr>
          <w:rFonts w:cs="Times New Roman"/>
        </w:rPr>
        <w:t>gadā, salīdzinot ar 2014.</w:t>
      </w:r>
      <w:r w:rsidR="00DE6DF2">
        <w:rPr>
          <w:rFonts w:cs="Times New Roman"/>
        </w:rPr>
        <w:t xml:space="preserve"> </w:t>
      </w:r>
      <w:r w:rsidRPr="007E15B0">
        <w:rPr>
          <w:rFonts w:cs="Times New Roman"/>
        </w:rPr>
        <w:t xml:space="preserve">gadu, izdevumu apmērs ir pieaudzis par 34,3 milj. </w:t>
      </w:r>
      <w:r w:rsidRPr="007E15B0">
        <w:rPr>
          <w:rFonts w:cs="Times New Roman"/>
          <w:i/>
        </w:rPr>
        <w:t>euro</w:t>
      </w:r>
      <w:r w:rsidRPr="007E15B0">
        <w:rPr>
          <w:rFonts w:cs="Times New Roman"/>
        </w:rPr>
        <w:t>. Kopējais robežpārbaužu skaits, savukārt, šo gadu laikā ir pieaudzis tikai par 0,4 milj, ņemot vērā skaita kritumu 2015.</w:t>
      </w:r>
      <w:r w:rsidR="00DE6DF2">
        <w:rPr>
          <w:rFonts w:cs="Times New Roman"/>
        </w:rPr>
        <w:t xml:space="preserve"> </w:t>
      </w:r>
      <w:r w:rsidRPr="007E15B0">
        <w:rPr>
          <w:rFonts w:cs="Times New Roman"/>
        </w:rPr>
        <w:t>gadā.</w:t>
      </w:r>
    </w:p>
    <w:p w14:paraId="68C48D99" w14:textId="01AC6E5D" w:rsidR="007E15B0" w:rsidRDefault="007E15B0" w:rsidP="007E15B0">
      <w:pPr>
        <w:pStyle w:val="Caption"/>
      </w:pPr>
      <w:r>
        <w:lastRenderedPageBreak/>
        <w:t xml:space="preserve">Attēls Nr. </w:t>
      </w:r>
      <w:fldSimple w:instr=" SEQ Attēls_Nr. \* ARABIC ">
        <w:r w:rsidR="00D96F20">
          <w:rPr>
            <w:noProof/>
          </w:rPr>
          <w:t>62</w:t>
        </w:r>
      </w:fldSimple>
    </w:p>
    <w:p w14:paraId="57790A76" w14:textId="41E8A933" w:rsidR="007E15B0" w:rsidRDefault="007E15B0" w:rsidP="007E15B0">
      <w:pPr>
        <w:ind w:firstLine="720"/>
        <w:jc w:val="center"/>
        <w:rPr>
          <w:rFonts w:cs="Times New Roman"/>
          <w:b/>
        </w:rPr>
      </w:pPr>
      <w:r w:rsidRPr="007E15B0">
        <w:rPr>
          <w:rFonts w:cs="Times New Roman"/>
          <w:b/>
        </w:rPr>
        <w:t>IeM programmas 10.00.00 Valsts robežsardzes darbība izdevumu dinamika 2015.-2019.</w:t>
      </w:r>
      <w:r w:rsidR="00DE6DF2">
        <w:rPr>
          <w:rFonts w:cs="Times New Roman"/>
          <w:b/>
        </w:rPr>
        <w:t xml:space="preserve"> </w:t>
      </w:r>
      <w:r w:rsidRPr="007E15B0">
        <w:rPr>
          <w:rFonts w:cs="Times New Roman"/>
          <w:b/>
        </w:rPr>
        <w:t>gadam (</w:t>
      </w:r>
      <w:r w:rsidRPr="007E15B0">
        <w:rPr>
          <w:rFonts w:cs="Times New Roman"/>
        </w:rPr>
        <w:t xml:space="preserve">milj. </w:t>
      </w:r>
      <w:r w:rsidRPr="007E15B0">
        <w:rPr>
          <w:rFonts w:cs="Times New Roman"/>
          <w:i/>
        </w:rPr>
        <w:t>euro</w:t>
      </w:r>
      <w:r w:rsidRPr="007E15B0">
        <w:rPr>
          <w:rFonts w:cs="Times New Roman"/>
          <w:b/>
        </w:rPr>
        <w:t>)</w:t>
      </w:r>
    </w:p>
    <w:p w14:paraId="7E950B04" w14:textId="655F10D9" w:rsidR="007E15B0" w:rsidRPr="007E15B0" w:rsidRDefault="00242139" w:rsidP="00242139">
      <w:pPr>
        <w:jc w:val="center"/>
        <w:rPr>
          <w:rFonts w:cs="Times New Roman"/>
          <w:b/>
        </w:rPr>
      </w:pPr>
      <w:r>
        <w:rPr>
          <w:noProof/>
          <w:lang w:eastAsia="lv-LV"/>
        </w:rPr>
        <w:drawing>
          <wp:inline distT="0" distB="0" distL="0" distR="0" wp14:anchorId="63834818" wp14:editId="099D3346">
            <wp:extent cx="5806332" cy="2974313"/>
            <wp:effectExtent l="19050" t="19050" r="23495" b="1714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t="2593" b="2321"/>
                    <a:stretch/>
                  </pic:blipFill>
                  <pic:spPr bwMode="auto">
                    <a:xfrm>
                      <a:off x="0" y="0"/>
                      <a:ext cx="5877003" cy="3010514"/>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36D498E2" w14:textId="1755BD8B" w:rsidR="007E15B0" w:rsidRPr="007E15B0" w:rsidRDefault="007E15B0" w:rsidP="007E15B0">
      <w:pPr>
        <w:ind w:firstLine="720"/>
        <w:jc w:val="both"/>
        <w:rPr>
          <w:rFonts w:cs="Times New Roman"/>
        </w:rPr>
      </w:pPr>
      <w:r w:rsidRPr="007E15B0">
        <w:rPr>
          <w:rFonts w:cs="Times New Roman"/>
        </w:rPr>
        <w:t>IeM programmas 10.00.00 izdevumi laika periodā no 2015.</w:t>
      </w:r>
      <w:r w:rsidR="00DE6DF2">
        <w:rPr>
          <w:rFonts w:cs="Times New Roman"/>
        </w:rPr>
        <w:t xml:space="preserve"> </w:t>
      </w:r>
      <w:r w:rsidRPr="007E15B0">
        <w:rPr>
          <w:rFonts w:cs="Times New Roman"/>
        </w:rPr>
        <w:t>gada līdz 2019.</w:t>
      </w:r>
      <w:r w:rsidR="00DE6DF2">
        <w:rPr>
          <w:rFonts w:cs="Times New Roman"/>
        </w:rPr>
        <w:t xml:space="preserve"> </w:t>
      </w:r>
      <w:r w:rsidRPr="007E15B0">
        <w:rPr>
          <w:rFonts w:cs="Times New Roman"/>
        </w:rPr>
        <w:t xml:space="preserve">gadam ir pieauguši par 25,8 milj. </w:t>
      </w:r>
      <w:r w:rsidRPr="007E15B0">
        <w:rPr>
          <w:rFonts w:cs="Times New Roman"/>
          <w:i/>
        </w:rPr>
        <w:t>euro</w:t>
      </w:r>
      <w:r w:rsidRPr="007E15B0">
        <w:rPr>
          <w:rFonts w:cs="Times New Roman"/>
        </w:rPr>
        <w:t>. 2019.</w:t>
      </w:r>
      <w:r w:rsidR="00DE6DF2">
        <w:rPr>
          <w:rFonts w:cs="Times New Roman"/>
        </w:rPr>
        <w:t xml:space="preserve"> </w:t>
      </w:r>
      <w:r w:rsidRPr="007E15B0">
        <w:rPr>
          <w:rFonts w:cs="Times New Roman"/>
        </w:rPr>
        <w:t xml:space="preserve">gadā programmas apgūtais finansējums bija 64,8 milj. </w:t>
      </w:r>
      <w:r w:rsidRPr="007E15B0">
        <w:rPr>
          <w:rFonts w:cs="Times New Roman"/>
          <w:i/>
        </w:rPr>
        <w:t>euro</w:t>
      </w:r>
      <w:r w:rsidRPr="007E15B0">
        <w:rPr>
          <w:rFonts w:cs="Times New Roman"/>
        </w:rPr>
        <w:t xml:space="preserve">, neizpilde gada beigās sasniedza 2,2 milj. </w:t>
      </w:r>
      <w:r w:rsidRPr="007E15B0">
        <w:rPr>
          <w:rFonts w:cs="Times New Roman"/>
          <w:i/>
        </w:rPr>
        <w:t>euro</w:t>
      </w:r>
      <w:r w:rsidRPr="007E15B0">
        <w:rPr>
          <w:rFonts w:cs="Times New Roman"/>
        </w:rPr>
        <w:t>. 2019.</w:t>
      </w:r>
      <w:r w:rsidR="00DE6DF2">
        <w:rPr>
          <w:rFonts w:cs="Times New Roman"/>
        </w:rPr>
        <w:t xml:space="preserve"> </w:t>
      </w:r>
      <w:r w:rsidRPr="007E15B0">
        <w:rPr>
          <w:rFonts w:cs="Times New Roman"/>
        </w:rPr>
        <w:t xml:space="preserve">gada izdevumu palielinājums saistīts ar pabalsta pēc  katriem pieciem nepārtrauktas izdienas gadiem izmaksām IeM amatpersonām ar speciālajām dienesta pakāpēm 6,5 milj. </w:t>
      </w:r>
      <w:r w:rsidRPr="007E15B0">
        <w:rPr>
          <w:rFonts w:cs="Times New Roman"/>
          <w:i/>
        </w:rPr>
        <w:t>euro</w:t>
      </w:r>
      <w:r w:rsidRPr="007E15B0">
        <w:rPr>
          <w:rFonts w:cs="Times New Roman"/>
        </w:rPr>
        <w:t xml:space="preserve"> apmērā.</w:t>
      </w:r>
    </w:p>
    <w:p w14:paraId="14F9D678" w14:textId="6C36C2E7" w:rsidR="007E15B0" w:rsidRDefault="007E15B0" w:rsidP="007E15B0">
      <w:pPr>
        <w:pStyle w:val="Caption"/>
      </w:pPr>
      <w:bookmarkStart w:id="161" w:name="_Ref47339736"/>
      <w:r>
        <w:t xml:space="preserve">Attēls Nr. </w:t>
      </w:r>
      <w:fldSimple w:instr=" SEQ Attēls_Nr. \* ARABIC ">
        <w:r w:rsidR="00D96F20">
          <w:rPr>
            <w:noProof/>
          </w:rPr>
          <w:t>63</w:t>
        </w:r>
      </w:fldSimple>
      <w:bookmarkEnd w:id="161"/>
    </w:p>
    <w:p w14:paraId="4FA56E31" w14:textId="77777777" w:rsidR="007E15B0" w:rsidRDefault="007E15B0" w:rsidP="007E15B0">
      <w:pPr>
        <w:ind w:firstLine="720"/>
        <w:jc w:val="center"/>
        <w:rPr>
          <w:rFonts w:cs="Times New Roman"/>
          <w:b/>
        </w:rPr>
      </w:pPr>
      <w:r>
        <w:rPr>
          <w:rFonts w:cs="Times New Roman"/>
          <w:b/>
        </w:rPr>
        <w:t>Izdevumi programmai</w:t>
      </w:r>
      <w:r w:rsidRPr="003C18E8">
        <w:rPr>
          <w:rFonts w:cs="Times New Roman"/>
          <w:b/>
        </w:rPr>
        <w:t xml:space="preserve"> </w:t>
      </w:r>
      <w:r w:rsidRPr="007E15B0">
        <w:rPr>
          <w:rFonts w:cs="Times New Roman"/>
          <w:b/>
        </w:rPr>
        <w:t>10.00.00 Valsts robežsardzes darbība</w:t>
      </w:r>
      <w:r>
        <w:rPr>
          <w:rFonts w:cs="Times New Roman"/>
          <w:b/>
          <w:i/>
        </w:rPr>
        <w:t xml:space="preserve"> (</w:t>
      </w:r>
      <w:r w:rsidRPr="00762209">
        <w:rPr>
          <w:rFonts w:cs="Times New Roman"/>
          <w:b/>
        </w:rPr>
        <w:t>milj.</w:t>
      </w:r>
      <w:r>
        <w:rPr>
          <w:rFonts w:cs="Times New Roman"/>
          <w:b/>
          <w:i/>
        </w:rPr>
        <w:t xml:space="preserve"> euro)</w:t>
      </w:r>
      <w:r>
        <w:rPr>
          <w:rFonts w:cs="Times New Roman"/>
          <w:b/>
        </w:rPr>
        <w:t xml:space="preserve"> un kopējais pārbaudīto personu skaits, veicot imigrācijas kontroli</w:t>
      </w:r>
    </w:p>
    <w:p w14:paraId="18813B46" w14:textId="77777777" w:rsidR="007E15B0" w:rsidRDefault="007E15B0" w:rsidP="007E15B0">
      <w:r>
        <w:rPr>
          <w:noProof/>
          <w:lang w:eastAsia="lv-LV"/>
        </w:rPr>
        <w:drawing>
          <wp:inline distT="0" distB="0" distL="0" distR="0" wp14:anchorId="30C92AF0" wp14:editId="7D8E9F84">
            <wp:extent cx="5760085" cy="2759103"/>
            <wp:effectExtent l="0" t="0" r="12065" b="3175"/>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E90939E" w14:textId="7FA514FF" w:rsidR="007E15B0" w:rsidRPr="00242139" w:rsidRDefault="007E15B0" w:rsidP="00242139">
      <w:pPr>
        <w:ind w:firstLine="720"/>
        <w:jc w:val="both"/>
        <w:rPr>
          <w:rFonts w:cs="Times New Roman"/>
        </w:rPr>
      </w:pPr>
      <w:r>
        <w:rPr>
          <w:rFonts w:cs="Times New Roman"/>
        </w:rPr>
        <w:t>L</w:t>
      </w:r>
      <w:r w:rsidRPr="007E15B0">
        <w:rPr>
          <w:rFonts w:cs="Times New Roman"/>
        </w:rPr>
        <w:t>aikposmā no 2015. līdz 2019.</w:t>
      </w:r>
      <w:r w:rsidR="00DE6DF2">
        <w:rPr>
          <w:rFonts w:cs="Times New Roman"/>
        </w:rPr>
        <w:t xml:space="preserve"> </w:t>
      </w:r>
      <w:r w:rsidRPr="007E15B0">
        <w:rPr>
          <w:rFonts w:cs="Times New Roman"/>
        </w:rPr>
        <w:t>gadam ir samazinājušies ar imigrācijas kontroli saistītie rezultatīvie rādītāji</w:t>
      </w:r>
      <w:r>
        <w:rPr>
          <w:rFonts w:cs="Times New Roman"/>
        </w:rPr>
        <w:t xml:space="preserve"> (</w:t>
      </w:r>
      <w:r>
        <w:rPr>
          <w:rFonts w:cs="Times New Roman"/>
        </w:rPr>
        <w:fldChar w:fldCharType="begin"/>
      </w:r>
      <w:r>
        <w:rPr>
          <w:rFonts w:cs="Times New Roman"/>
        </w:rPr>
        <w:instrText xml:space="preserve"> REF _Ref47339736 \h </w:instrText>
      </w:r>
      <w:r>
        <w:rPr>
          <w:rFonts w:cs="Times New Roman"/>
        </w:rPr>
      </w:r>
      <w:r>
        <w:rPr>
          <w:rFonts w:cs="Times New Roman"/>
        </w:rPr>
        <w:fldChar w:fldCharType="separate"/>
      </w:r>
      <w:r w:rsidR="00D96F20">
        <w:t xml:space="preserve">Attēls Nr. </w:t>
      </w:r>
      <w:r w:rsidR="00D96F20">
        <w:rPr>
          <w:noProof/>
        </w:rPr>
        <w:t>63</w:t>
      </w:r>
      <w:r>
        <w:rPr>
          <w:rFonts w:cs="Times New Roman"/>
        </w:rPr>
        <w:fldChar w:fldCharType="end"/>
      </w:r>
      <w:r>
        <w:rPr>
          <w:rFonts w:cs="Times New Roman"/>
        </w:rPr>
        <w:t>)</w:t>
      </w:r>
      <w:r w:rsidRPr="007E15B0">
        <w:rPr>
          <w:rFonts w:cs="Times New Roman"/>
        </w:rPr>
        <w:t>. 2019.</w:t>
      </w:r>
      <w:r w:rsidR="00DE6DF2">
        <w:rPr>
          <w:rFonts w:cs="Times New Roman"/>
        </w:rPr>
        <w:t xml:space="preserve"> </w:t>
      </w:r>
      <w:r w:rsidRPr="007E15B0">
        <w:rPr>
          <w:rFonts w:cs="Times New Roman"/>
        </w:rPr>
        <w:t xml:space="preserve">gadā tika pārbaudītas 126 662 personas, veicot </w:t>
      </w:r>
      <w:r w:rsidRPr="007E15B0">
        <w:rPr>
          <w:rFonts w:cs="Times New Roman"/>
        </w:rPr>
        <w:lastRenderedPageBreak/>
        <w:t>imigrācijas kontroli (gan valsts iekšienē, gan uz tranzītceļiem, ostās un lidostās). Tas ir par 46% mazāk nekā 2015.</w:t>
      </w:r>
      <w:r w:rsidR="00DE6DF2">
        <w:rPr>
          <w:rFonts w:cs="Times New Roman"/>
        </w:rPr>
        <w:t xml:space="preserve"> </w:t>
      </w:r>
      <w:r w:rsidRPr="007E15B0">
        <w:rPr>
          <w:rFonts w:cs="Times New Roman"/>
        </w:rPr>
        <w:t>gadā. Jāņem vērā, ka lielāko īpatsvaru ar imigrācijas kontroli saistītos jautājumos veido pārbaudes uz tranzītceļiem, ostās un lidostās. 2019.</w:t>
      </w:r>
      <w:r w:rsidR="00DE6DF2">
        <w:rPr>
          <w:rFonts w:cs="Times New Roman"/>
        </w:rPr>
        <w:t xml:space="preserve"> </w:t>
      </w:r>
      <w:r w:rsidRPr="007E15B0">
        <w:rPr>
          <w:rFonts w:cs="Times New Roman"/>
        </w:rPr>
        <w:t>gadā šo pārbaužu skaits ir samazinājies vairāk nekā 2 reizes (2015.</w:t>
      </w:r>
      <w:r w:rsidR="00DE6DF2">
        <w:rPr>
          <w:rFonts w:cs="Times New Roman"/>
        </w:rPr>
        <w:t xml:space="preserve"> </w:t>
      </w:r>
      <w:r w:rsidRPr="007E15B0">
        <w:rPr>
          <w:rFonts w:cs="Times New Roman"/>
        </w:rPr>
        <w:t>gadā – 104 388 pārbaudītas personas, 2019.</w:t>
      </w:r>
      <w:r w:rsidR="00DE6DF2">
        <w:rPr>
          <w:rFonts w:cs="Times New Roman"/>
        </w:rPr>
        <w:t xml:space="preserve"> </w:t>
      </w:r>
      <w:r w:rsidRPr="007E15B0">
        <w:rPr>
          <w:rFonts w:cs="Times New Roman"/>
        </w:rPr>
        <w:t xml:space="preserve">gadā – 80 071 pārbaudīta persona). </w:t>
      </w:r>
    </w:p>
    <w:p w14:paraId="7B7BF355" w14:textId="0677FDB6" w:rsidR="007E15B0" w:rsidRDefault="007E15B0" w:rsidP="007E15B0">
      <w:pPr>
        <w:pStyle w:val="Caption"/>
      </w:pPr>
      <w:bookmarkStart w:id="162" w:name="_Ref47339938"/>
      <w:r>
        <w:t xml:space="preserve">Attēls Nr. </w:t>
      </w:r>
      <w:fldSimple w:instr=" SEQ Attēls_Nr. \* ARABIC ">
        <w:r w:rsidR="00D96F20">
          <w:rPr>
            <w:noProof/>
          </w:rPr>
          <w:t>64</w:t>
        </w:r>
      </w:fldSimple>
      <w:bookmarkEnd w:id="162"/>
    </w:p>
    <w:p w14:paraId="5D32EE8A" w14:textId="3347CE78" w:rsidR="007E15B0" w:rsidRDefault="007E15B0" w:rsidP="00242139">
      <w:pPr>
        <w:jc w:val="center"/>
        <w:rPr>
          <w:rFonts w:cs="Times New Roman"/>
        </w:rPr>
      </w:pPr>
      <w:r w:rsidRPr="007E15B0">
        <w:rPr>
          <w:rFonts w:cs="Times New Roman"/>
          <w:b/>
        </w:rPr>
        <w:t>IeM apakšprogrammas 10.00.00 Valsts robežsardzes darbība i</w:t>
      </w:r>
      <w:r w:rsidR="00242139">
        <w:rPr>
          <w:rFonts w:cs="Times New Roman"/>
          <w:b/>
        </w:rPr>
        <w:t xml:space="preserve">zdevumu sadalījums </w:t>
      </w:r>
      <w:r>
        <w:rPr>
          <w:rFonts w:cs="Times New Roman"/>
          <w:b/>
        </w:rPr>
        <w:t>2019.gadā sadalījumā pa</w:t>
      </w:r>
      <w:r w:rsidRPr="007E15B0">
        <w:rPr>
          <w:rFonts w:cs="Times New Roman"/>
          <w:b/>
        </w:rPr>
        <w:t xml:space="preserve"> EKK </w:t>
      </w:r>
      <w:r w:rsidRPr="007E15B0">
        <w:rPr>
          <w:rFonts w:cs="Times New Roman"/>
        </w:rPr>
        <w:t xml:space="preserve">(milj. </w:t>
      </w:r>
      <w:r w:rsidRPr="007E15B0">
        <w:rPr>
          <w:rFonts w:cs="Times New Roman"/>
          <w:i/>
        </w:rPr>
        <w:t>euro</w:t>
      </w:r>
      <w:r w:rsidRPr="007E15B0">
        <w:rPr>
          <w:rFonts w:cs="Times New Roman"/>
        </w:rPr>
        <w:t>)</w:t>
      </w:r>
    </w:p>
    <w:tbl>
      <w:tblPr>
        <w:tblW w:w="9105" w:type="dxa"/>
        <w:jc w:val="center"/>
        <w:tblLook w:val="04A0" w:firstRow="1" w:lastRow="0" w:firstColumn="1" w:lastColumn="0" w:noHBand="0" w:noVBand="1"/>
      </w:tblPr>
      <w:tblGrid>
        <w:gridCol w:w="1959"/>
        <w:gridCol w:w="1283"/>
        <w:gridCol w:w="1127"/>
        <w:gridCol w:w="1159"/>
        <w:gridCol w:w="1350"/>
        <w:gridCol w:w="1033"/>
        <w:gridCol w:w="1194"/>
      </w:tblGrid>
      <w:tr w:rsidR="007E15B0" w:rsidRPr="007E15B0" w14:paraId="1612D14C" w14:textId="77777777" w:rsidTr="007E15B0">
        <w:trPr>
          <w:trHeight w:val="903"/>
          <w:jc w:val="center"/>
        </w:trPr>
        <w:tc>
          <w:tcPr>
            <w:tcW w:w="1959"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05F60086"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Likuma griezuma EKK</w:t>
            </w:r>
          </w:p>
        </w:tc>
        <w:tc>
          <w:tcPr>
            <w:tcW w:w="1283" w:type="dxa"/>
            <w:tcBorders>
              <w:top w:val="single" w:sz="4" w:space="0" w:color="auto"/>
              <w:left w:val="nil"/>
              <w:bottom w:val="single" w:sz="4" w:space="0" w:color="auto"/>
              <w:right w:val="single" w:sz="4" w:space="0" w:color="auto"/>
            </w:tcBorders>
            <w:shd w:val="clear" w:color="000000" w:fill="70AD47"/>
            <w:vAlign w:val="center"/>
            <w:hideMark/>
          </w:tcPr>
          <w:p w14:paraId="497EC6BB"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 xml:space="preserve">izsludinātais plāns, </w:t>
            </w:r>
            <w:r w:rsidRPr="007E15B0">
              <w:rPr>
                <w:rFonts w:eastAsia="Times New Roman" w:cs="Times New Roman"/>
                <w:b/>
                <w:bCs/>
                <w:i/>
                <w:color w:val="000000"/>
                <w:sz w:val="20"/>
                <w:szCs w:val="20"/>
                <w:lang w:eastAsia="lv-LV"/>
              </w:rPr>
              <w:t>euro</w:t>
            </w:r>
          </w:p>
        </w:tc>
        <w:tc>
          <w:tcPr>
            <w:tcW w:w="1127" w:type="dxa"/>
            <w:tcBorders>
              <w:top w:val="single" w:sz="4" w:space="0" w:color="auto"/>
              <w:left w:val="nil"/>
              <w:bottom w:val="single" w:sz="4" w:space="0" w:color="auto"/>
              <w:right w:val="single" w:sz="4" w:space="0" w:color="auto"/>
            </w:tcBorders>
            <w:shd w:val="clear" w:color="000000" w:fill="70AD47"/>
            <w:vAlign w:val="center"/>
            <w:hideMark/>
          </w:tcPr>
          <w:p w14:paraId="1F9ADAAA"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 xml:space="preserve">precizētais plāns, </w:t>
            </w:r>
            <w:r w:rsidRPr="007E15B0">
              <w:rPr>
                <w:rFonts w:eastAsia="Times New Roman" w:cs="Times New Roman"/>
                <w:b/>
                <w:bCs/>
                <w:i/>
                <w:color w:val="000000"/>
                <w:sz w:val="20"/>
                <w:szCs w:val="20"/>
                <w:lang w:eastAsia="lv-LV"/>
              </w:rPr>
              <w:t>euro</w:t>
            </w:r>
          </w:p>
        </w:tc>
        <w:tc>
          <w:tcPr>
            <w:tcW w:w="1159" w:type="dxa"/>
            <w:tcBorders>
              <w:top w:val="single" w:sz="4" w:space="0" w:color="auto"/>
              <w:left w:val="nil"/>
              <w:bottom w:val="single" w:sz="4" w:space="0" w:color="auto"/>
              <w:right w:val="single" w:sz="4" w:space="0" w:color="auto"/>
            </w:tcBorders>
            <w:shd w:val="clear" w:color="000000" w:fill="70AD47"/>
            <w:vAlign w:val="center"/>
            <w:hideMark/>
          </w:tcPr>
          <w:p w14:paraId="12C3605C"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 xml:space="preserve">izpilde, </w:t>
            </w:r>
            <w:r w:rsidRPr="007E15B0">
              <w:rPr>
                <w:rFonts w:eastAsia="Times New Roman" w:cs="Times New Roman"/>
                <w:b/>
                <w:bCs/>
                <w:i/>
                <w:color w:val="000000"/>
                <w:sz w:val="20"/>
                <w:szCs w:val="20"/>
                <w:lang w:eastAsia="lv-LV"/>
              </w:rPr>
              <w:t>euro</w:t>
            </w:r>
          </w:p>
        </w:tc>
        <w:tc>
          <w:tcPr>
            <w:tcW w:w="1350" w:type="dxa"/>
            <w:tcBorders>
              <w:top w:val="single" w:sz="4" w:space="0" w:color="auto"/>
              <w:left w:val="nil"/>
              <w:bottom w:val="single" w:sz="4" w:space="0" w:color="auto"/>
              <w:right w:val="single" w:sz="4" w:space="0" w:color="auto"/>
            </w:tcBorders>
            <w:shd w:val="clear" w:color="000000" w:fill="70AD47"/>
            <w:vAlign w:val="center"/>
            <w:hideMark/>
          </w:tcPr>
          <w:p w14:paraId="6C547087"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novirze izsludinātais-precizētais, %</w:t>
            </w:r>
          </w:p>
        </w:tc>
        <w:tc>
          <w:tcPr>
            <w:tcW w:w="1033" w:type="dxa"/>
            <w:tcBorders>
              <w:top w:val="single" w:sz="4" w:space="0" w:color="auto"/>
              <w:left w:val="nil"/>
              <w:bottom w:val="single" w:sz="4" w:space="0" w:color="auto"/>
              <w:right w:val="single" w:sz="4" w:space="0" w:color="auto"/>
            </w:tcBorders>
            <w:shd w:val="clear" w:color="000000" w:fill="70AD47"/>
            <w:vAlign w:val="center"/>
            <w:hideMark/>
          </w:tcPr>
          <w:p w14:paraId="7E6DD357"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 xml:space="preserve">neizpilde, </w:t>
            </w:r>
            <w:r w:rsidRPr="007E15B0">
              <w:rPr>
                <w:rFonts w:eastAsia="Times New Roman" w:cs="Times New Roman"/>
                <w:b/>
                <w:bCs/>
                <w:i/>
                <w:color w:val="000000"/>
                <w:sz w:val="20"/>
                <w:szCs w:val="20"/>
                <w:lang w:eastAsia="lv-LV"/>
              </w:rPr>
              <w:t>euro</w:t>
            </w:r>
          </w:p>
        </w:tc>
        <w:tc>
          <w:tcPr>
            <w:tcW w:w="1194" w:type="dxa"/>
            <w:tcBorders>
              <w:top w:val="single" w:sz="4" w:space="0" w:color="auto"/>
              <w:left w:val="nil"/>
              <w:bottom w:val="single" w:sz="4" w:space="0" w:color="auto"/>
              <w:right w:val="single" w:sz="4" w:space="0" w:color="auto"/>
            </w:tcBorders>
            <w:shd w:val="clear" w:color="000000" w:fill="70AD47"/>
            <w:vAlign w:val="center"/>
            <w:hideMark/>
          </w:tcPr>
          <w:p w14:paraId="5651AAD0"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novirze precizētais-izpilde, %</w:t>
            </w:r>
          </w:p>
        </w:tc>
      </w:tr>
      <w:tr w:rsidR="007E15B0" w:rsidRPr="007E15B0" w14:paraId="4C34D46C" w14:textId="77777777" w:rsidTr="007E15B0">
        <w:trPr>
          <w:trHeight w:val="211"/>
          <w:jc w:val="center"/>
        </w:trPr>
        <w:tc>
          <w:tcPr>
            <w:tcW w:w="1959" w:type="dxa"/>
            <w:tcBorders>
              <w:top w:val="nil"/>
              <w:left w:val="single" w:sz="4" w:space="0" w:color="auto"/>
              <w:bottom w:val="single" w:sz="4" w:space="0" w:color="auto"/>
              <w:right w:val="single" w:sz="4" w:space="0" w:color="auto"/>
            </w:tcBorders>
            <w:shd w:val="clear" w:color="auto" w:fill="auto"/>
            <w:vAlign w:val="center"/>
            <w:hideMark/>
          </w:tcPr>
          <w:p w14:paraId="6AF3FB04"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1000 Atlīdzība</w:t>
            </w:r>
          </w:p>
        </w:tc>
        <w:tc>
          <w:tcPr>
            <w:tcW w:w="1283" w:type="dxa"/>
            <w:tcBorders>
              <w:top w:val="nil"/>
              <w:left w:val="nil"/>
              <w:bottom w:val="single" w:sz="4" w:space="0" w:color="auto"/>
              <w:right w:val="single" w:sz="4" w:space="0" w:color="auto"/>
            </w:tcBorders>
            <w:shd w:val="clear" w:color="auto" w:fill="auto"/>
            <w:noWrap/>
            <w:vAlign w:val="center"/>
            <w:hideMark/>
          </w:tcPr>
          <w:p w14:paraId="2CF1C150"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46 076 206</w:t>
            </w:r>
          </w:p>
        </w:tc>
        <w:tc>
          <w:tcPr>
            <w:tcW w:w="1127" w:type="dxa"/>
            <w:tcBorders>
              <w:top w:val="nil"/>
              <w:left w:val="nil"/>
              <w:bottom w:val="single" w:sz="4" w:space="0" w:color="auto"/>
              <w:right w:val="single" w:sz="4" w:space="0" w:color="auto"/>
            </w:tcBorders>
            <w:shd w:val="clear" w:color="auto" w:fill="auto"/>
            <w:noWrap/>
            <w:vAlign w:val="center"/>
            <w:hideMark/>
          </w:tcPr>
          <w:p w14:paraId="5191F374"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46 228 379</w:t>
            </w:r>
          </w:p>
        </w:tc>
        <w:tc>
          <w:tcPr>
            <w:tcW w:w="1159" w:type="dxa"/>
            <w:tcBorders>
              <w:top w:val="nil"/>
              <w:left w:val="nil"/>
              <w:bottom w:val="single" w:sz="4" w:space="0" w:color="auto"/>
              <w:right w:val="single" w:sz="4" w:space="0" w:color="auto"/>
            </w:tcBorders>
            <w:shd w:val="clear" w:color="auto" w:fill="auto"/>
            <w:noWrap/>
            <w:vAlign w:val="center"/>
            <w:hideMark/>
          </w:tcPr>
          <w:p w14:paraId="6735775D"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46 227 514</w:t>
            </w:r>
          </w:p>
        </w:tc>
        <w:tc>
          <w:tcPr>
            <w:tcW w:w="1350" w:type="dxa"/>
            <w:tcBorders>
              <w:top w:val="nil"/>
              <w:left w:val="nil"/>
              <w:bottom w:val="single" w:sz="4" w:space="0" w:color="auto"/>
              <w:right w:val="single" w:sz="4" w:space="0" w:color="auto"/>
            </w:tcBorders>
            <w:shd w:val="clear" w:color="auto" w:fill="auto"/>
            <w:noWrap/>
            <w:vAlign w:val="center"/>
            <w:hideMark/>
          </w:tcPr>
          <w:p w14:paraId="09311CE8"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0.3%</w:t>
            </w:r>
          </w:p>
        </w:tc>
        <w:tc>
          <w:tcPr>
            <w:tcW w:w="1033" w:type="dxa"/>
            <w:tcBorders>
              <w:top w:val="nil"/>
              <w:left w:val="nil"/>
              <w:bottom w:val="single" w:sz="4" w:space="0" w:color="auto"/>
              <w:right w:val="single" w:sz="4" w:space="0" w:color="auto"/>
            </w:tcBorders>
            <w:shd w:val="clear" w:color="auto" w:fill="auto"/>
            <w:noWrap/>
            <w:vAlign w:val="center"/>
            <w:hideMark/>
          </w:tcPr>
          <w:p w14:paraId="3C2E95E5" w14:textId="77777777" w:rsidR="007E15B0" w:rsidRPr="007E15B0" w:rsidRDefault="007E15B0" w:rsidP="007E15B0">
            <w:pPr>
              <w:spacing w:after="0" w:line="240" w:lineRule="auto"/>
              <w:jc w:val="both"/>
              <w:rPr>
                <w:rFonts w:eastAsia="Times New Roman" w:cs="Times New Roman"/>
                <w:color w:val="FF0000"/>
                <w:sz w:val="20"/>
                <w:szCs w:val="20"/>
                <w:lang w:eastAsia="lv-LV"/>
              </w:rPr>
            </w:pPr>
            <w:r w:rsidRPr="007E15B0">
              <w:rPr>
                <w:rFonts w:eastAsia="Times New Roman" w:cs="Times New Roman"/>
                <w:color w:val="FF0000"/>
                <w:sz w:val="20"/>
                <w:szCs w:val="20"/>
                <w:lang w:eastAsia="lv-LV"/>
              </w:rPr>
              <w:t>865</w:t>
            </w:r>
          </w:p>
        </w:tc>
        <w:tc>
          <w:tcPr>
            <w:tcW w:w="1194" w:type="dxa"/>
            <w:tcBorders>
              <w:top w:val="nil"/>
              <w:left w:val="nil"/>
              <w:bottom w:val="single" w:sz="4" w:space="0" w:color="auto"/>
              <w:right w:val="single" w:sz="4" w:space="0" w:color="auto"/>
            </w:tcBorders>
            <w:shd w:val="clear" w:color="auto" w:fill="auto"/>
            <w:noWrap/>
            <w:vAlign w:val="center"/>
            <w:hideMark/>
          </w:tcPr>
          <w:p w14:paraId="62395312"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0.0%</w:t>
            </w:r>
          </w:p>
        </w:tc>
      </w:tr>
      <w:tr w:rsidR="007E15B0" w:rsidRPr="007E15B0" w14:paraId="664A4958" w14:textId="77777777" w:rsidTr="007E15B0">
        <w:trPr>
          <w:trHeight w:val="211"/>
          <w:jc w:val="center"/>
        </w:trPr>
        <w:tc>
          <w:tcPr>
            <w:tcW w:w="1959" w:type="dxa"/>
            <w:tcBorders>
              <w:top w:val="nil"/>
              <w:left w:val="single" w:sz="4" w:space="0" w:color="auto"/>
              <w:bottom w:val="single" w:sz="4" w:space="0" w:color="auto"/>
              <w:right w:val="single" w:sz="4" w:space="0" w:color="auto"/>
            </w:tcBorders>
            <w:shd w:val="clear" w:color="auto" w:fill="auto"/>
            <w:vAlign w:val="center"/>
            <w:hideMark/>
          </w:tcPr>
          <w:p w14:paraId="21C608E1"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2000 Preces un pakalpojumi</w:t>
            </w:r>
          </w:p>
        </w:tc>
        <w:tc>
          <w:tcPr>
            <w:tcW w:w="1283" w:type="dxa"/>
            <w:tcBorders>
              <w:top w:val="nil"/>
              <w:left w:val="nil"/>
              <w:bottom w:val="single" w:sz="4" w:space="0" w:color="auto"/>
              <w:right w:val="single" w:sz="4" w:space="0" w:color="auto"/>
            </w:tcBorders>
            <w:shd w:val="clear" w:color="auto" w:fill="auto"/>
            <w:noWrap/>
            <w:vAlign w:val="center"/>
            <w:hideMark/>
          </w:tcPr>
          <w:p w14:paraId="454F6AD1"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7 548 872</w:t>
            </w:r>
          </w:p>
        </w:tc>
        <w:tc>
          <w:tcPr>
            <w:tcW w:w="1127" w:type="dxa"/>
            <w:tcBorders>
              <w:top w:val="nil"/>
              <w:left w:val="nil"/>
              <w:bottom w:val="single" w:sz="4" w:space="0" w:color="auto"/>
              <w:right w:val="single" w:sz="4" w:space="0" w:color="auto"/>
            </w:tcBorders>
            <w:shd w:val="clear" w:color="auto" w:fill="auto"/>
            <w:noWrap/>
            <w:vAlign w:val="center"/>
            <w:hideMark/>
          </w:tcPr>
          <w:p w14:paraId="12C1ADEB"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6 897 316</w:t>
            </w:r>
          </w:p>
        </w:tc>
        <w:tc>
          <w:tcPr>
            <w:tcW w:w="1159" w:type="dxa"/>
            <w:tcBorders>
              <w:top w:val="nil"/>
              <w:left w:val="nil"/>
              <w:bottom w:val="single" w:sz="4" w:space="0" w:color="auto"/>
              <w:right w:val="single" w:sz="4" w:space="0" w:color="auto"/>
            </w:tcBorders>
            <w:shd w:val="clear" w:color="auto" w:fill="auto"/>
            <w:noWrap/>
            <w:vAlign w:val="center"/>
            <w:hideMark/>
          </w:tcPr>
          <w:p w14:paraId="2B39C99E"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6 754 679</w:t>
            </w:r>
          </w:p>
        </w:tc>
        <w:tc>
          <w:tcPr>
            <w:tcW w:w="1350" w:type="dxa"/>
            <w:tcBorders>
              <w:top w:val="nil"/>
              <w:left w:val="nil"/>
              <w:bottom w:val="single" w:sz="4" w:space="0" w:color="auto"/>
              <w:right w:val="single" w:sz="4" w:space="0" w:color="auto"/>
            </w:tcBorders>
            <w:shd w:val="clear" w:color="auto" w:fill="auto"/>
            <w:noWrap/>
            <w:vAlign w:val="center"/>
            <w:hideMark/>
          </w:tcPr>
          <w:p w14:paraId="62F8838B"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-8.6%</w:t>
            </w:r>
          </w:p>
        </w:tc>
        <w:tc>
          <w:tcPr>
            <w:tcW w:w="1033" w:type="dxa"/>
            <w:tcBorders>
              <w:top w:val="nil"/>
              <w:left w:val="nil"/>
              <w:bottom w:val="single" w:sz="4" w:space="0" w:color="auto"/>
              <w:right w:val="single" w:sz="4" w:space="0" w:color="auto"/>
            </w:tcBorders>
            <w:shd w:val="clear" w:color="auto" w:fill="auto"/>
            <w:noWrap/>
            <w:vAlign w:val="center"/>
            <w:hideMark/>
          </w:tcPr>
          <w:p w14:paraId="72DB60D5" w14:textId="77777777" w:rsidR="007E15B0" w:rsidRPr="007E15B0" w:rsidRDefault="007E15B0" w:rsidP="007E15B0">
            <w:pPr>
              <w:spacing w:after="0" w:line="240" w:lineRule="auto"/>
              <w:jc w:val="both"/>
              <w:rPr>
                <w:rFonts w:eastAsia="Times New Roman" w:cs="Times New Roman"/>
                <w:color w:val="FF0000"/>
                <w:sz w:val="20"/>
                <w:szCs w:val="20"/>
                <w:lang w:eastAsia="lv-LV"/>
              </w:rPr>
            </w:pPr>
            <w:r w:rsidRPr="007E15B0">
              <w:rPr>
                <w:rFonts w:eastAsia="Times New Roman" w:cs="Times New Roman"/>
                <w:color w:val="FF0000"/>
                <w:sz w:val="20"/>
                <w:szCs w:val="20"/>
                <w:lang w:eastAsia="lv-LV"/>
              </w:rPr>
              <w:t>142 637</w:t>
            </w:r>
          </w:p>
        </w:tc>
        <w:tc>
          <w:tcPr>
            <w:tcW w:w="1194" w:type="dxa"/>
            <w:tcBorders>
              <w:top w:val="nil"/>
              <w:left w:val="nil"/>
              <w:bottom w:val="single" w:sz="4" w:space="0" w:color="auto"/>
              <w:right w:val="single" w:sz="4" w:space="0" w:color="auto"/>
            </w:tcBorders>
            <w:shd w:val="clear" w:color="auto" w:fill="auto"/>
            <w:noWrap/>
            <w:vAlign w:val="center"/>
            <w:hideMark/>
          </w:tcPr>
          <w:p w14:paraId="651EB673"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-2.1%</w:t>
            </w:r>
          </w:p>
        </w:tc>
      </w:tr>
      <w:tr w:rsidR="007E15B0" w:rsidRPr="007E15B0" w14:paraId="1BFADB2E" w14:textId="77777777" w:rsidTr="007E15B0">
        <w:trPr>
          <w:trHeight w:val="211"/>
          <w:jc w:val="center"/>
        </w:trPr>
        <w:tc>
          <w:tcPr>
            <w:tcW w:w="1959" w:type="dxa"/>
            <w:tcBorders>
              <w:top w:val="nil"/>
              <w:left w:val="single" w:sz="4" w:space="0" w:color="auto"/>
              <w:bottom w:val="single" w:sz="4" w:space="0" w:color="auto"/>
              <w:right w:val="single" w:sz="4" w:space="0" w:color="auto"/>
            </w:tcBorders>
            <w:shd w:val="clear" w:color="auto" w:fill="auto"/>
            <w:vAlign w:val="center"/>
            <w:hideMark/>
          </w:tcPr>
          <w:p w14:paraId="4AECA091"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3000 Subsīdijas un dotācijas</w:t>
            </w:r>
          </w:p>
        </w:tc>
        <w:tc>
          <w:tcPr>
            <w:tcW w:w="1283" w:type="dxa"/>
            <w:tcBorders>
              <w:top w:val="nil"/>
              <w:left w:val="nil"/>
              <w:bottom w:val="single" w:sz="4" w:space="0" w:color="auto"/>
              <w:right w:val="single" w:sz="4" w:space="0" w:color="auto"/>
            </w:tcBorders>
            <w:shd w:val="clear" w:color="auto" w:fill="auto"/>
            <w:noWrap/>
            <w:vAlign w:val="center"/>
            <w:hideMark/>
          </w:tcPr>
          <w:p w14:paraId="72D8AE38"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10 000</w:t>
            </w:r>
          </w:p>
        </w:tc>
        <w:tc>
          <w:tcPr>
            <w:tcW w:w="1127" w:type="dxa"/>
            <w:tcBorders>
              <w:top w:val="nil"/>
              <w:left w:val="nil"/>
              <w:bottom w:val="single" w:sz="4" w:space="0" w:color="auto"/>
              <w:right w:val="single" w:sz="4" w:space="0" w:color="auto"/>
            </w:tcBorders>
            <w:shd w:val="clear" w:color="auto" w:fill="auto"/>
            <w:noWrap/>
            <w:vAlign w:val="center"/>
            <w:hideMark/>
          </w:tcPr>
          <w:p w14:paraId="7DA0887C"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10 000</w:t>
            </w:r>
          </w:p>
        </w:tc>
        <w:tc>
          <w:tcPr>
            <w:tcW w:w="1159" w:type="dxa"/>
            <w:tcBorders>
              <w:top w:val="nil"/>
              <w:left w:val="nil"/>
              <w:bottom w:val="single" w:sz="4" w:space="0" w:color="auto"/>
              <w:right w:val="single" w:sz="4" w:space="0" w:color="auto"/>
            </w:tcBorders>
            <w:shd w:val="clear" w:color="auto" w:fill="auto"/>
            <w:noWrap/>
            <w:vAlign w:val="center"/>
            <w:hideMark/>
          </w:tcPr>
          <w:p w14:paraId="12A0FDDA"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10 000</w:t>
            </w:r>
          </w:p>
        </w:tc>
        <w:tc>
          <w:tcPr>
            <w:tcW w:w="1350" w:type="dxa"/>
            <w:tcBorders>
              <w:top w:val="nil"/>
              <w:left w:val="nil"/>
              <w:bottom w:val="single" w:sz="4" w:space="0" w:color="auto"/>
              <w:right w:val="single" w:sz="4" w:space="0" w:color="auto"/>
            </w:tcBorders>
            <w:shd w:val="clear" w:color="auto" w:fill="auto"/>
            <w:noWrap/>
            <w:vAlign w:val="center"/>
            <w:hideMark/>
          </w:tcPr>
          <w:p w14:paraId="453750F6"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0.0%</w:t>
            </w:r>
          </w:p>
        </w:tc>
        <w:tc>
          <w:tcPr>
            <w:tcW w:w="1033" w:type="dxa"/>
            <w:tcBorders>
              <w:top w:val="nil"/>
              <w:left w:val="nil"/>
              <w:bottom w:val="single" w:sz="4" w:space="0" w:color="auto"/>
              <w:right w:val="single" w:sz="4" w:space="0" w:color="auto"/>
            </w:tcBorders>
            <w:shd w:val="clear" w:color="auto" w:fill="auto"/>
            <w:noWrap/>
            <w:vAlign w:val="center"/>
            <w:hideMark/>
          </w:tcPr>
          <w:p w14:paraId="7629D31E" w14:textId="77777777" w:rsidR="007E15B0" w:rsidRPr="007E15B0" w:rsidRDefault="007E15B0" w:rsidP="007E15B0">
            <w:pPr>
              <w:spacing w:after="0" w:line="240" w:lineRule="auto"/>
              <w:jc w:val="both"/>
              <w:rPr>
                <w:rFonts w:eastAsia="Times New Roman" w:cs="Times New Roman"/>
                <w:color w:val="FF0000"/>
                <w:sz w:val="20"/>
                <w:szCs w:val="20"/>
                <w:lang w:eastAsia="lv-LV"/>
              </w:rPr>
            </w:pPr>
            <w:r w:rsidRPr="007E15B0">
              <w:rPr>
                <w:rFonts w:eastAsia="Times New Roman" w:cs="Times New Roman"/>
                <w:color w:val="FF0000"/>
                <w:sz w:val="20"/>
                <w:szCs w:val="20"/>
                <w:lang w:eastAsia="lv-LV"/>
              </w:rPr>
              <w:t>0</w:t>
            </w:r>
          </w:p>
        </w:tc>
        <w:tc>
          <w:tcPr>
            <w:tcW w:w="1194" w:type="dxa"/>
            <w:tcBorders>
              <w:top w:val="nil"/>
              <w:left w:val="nil"/>
              <w:bottom w:val="single" w:sz="4" w:space="0" w:color="auto"/>
              <w:right w:val="single" w:sz="4" w:space="0" w:color="auto"/>
            </w:tcBorders>
            <w:shd w:val="clear" w:color="auto" w:fill="auto"/>
            <w:noWrap/>
            <w:vAlign w:val="center"/>
            <w:hideMark/>
          </w:tcPr>
          <w:p w14:paraId="3D95195D"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0.0%</w:t>
            </w:r>
          </w:p>
        </w:tc>
      </w:tr>
      <w:tr w:rsidR="007E15B0" w:rsidRPr="007E15B0" w14:paraId="111C79F3" w14:textId="77777777" w:rsidTr="007E15B0">
        <w:trPr>
          <w:trHeight w:val="211"/>
          <w:jc w:val="center"/>
        </w:trPr>
        <w:tc>
          <w:tcPr>
            <w:tcW w:w="1959" w:type="dxa"/>
            <w:tcBorders>
              <w:top w:val="nil"/>
              <w:left w:val="single" w:sz="4" w:space="0" w:color="auto"/>
              <w:bottom w:val="single" w:sz="4" w:space="0" w:color="auto"/>
              <w:right w:val="single" w:sz="4" w:space="0" w:color="auto"/>
            </w:tcBorders>
            <w:shd w:val="clear" w:color="auto" w:fill="auto"/>
            <w:vAlign w:val="center"/>
            <w:hideMark/>
          </w:tcPr>
          <w:p w14:paraId="01B737C0"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5000 Pamatkapitāla veidošana</w:t>
            </w:r>
          </w:p>
        </w:tc>
        <w:tc>
          <w:tcPr>
            <w:tcW w:w="1283" w:type="dxa"/>
            <w:tcBorders>
              <w:top w:val="nil"/>
              <w:left w:val="nil"/>
              <w:bottom w:val="single" w:sz="4" w:space="0" w:color="auto"/>
              <w:right w:val="single" w:sz="4" w:space="0" w:color="auto"/>
            </w:tcBorders>
            <w:shd w:val="clear" w:color="auto" w:fill="auto"/>
            <w:noWrap/>
            <w:vAlign w:val="center"/>
            <w:hideMark/>
          </w:tcPr>
          <w:p w14:paraId="6CE27187"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12 259 242</w:t>
            </w:r>
          </w:p>
        </w:tc>
        <w:tc>
          <w:tcPr>
            <w:tcW w:w="1127" w:type="dxa"/>
            <w:tcBorders>
              <w:top w:val="nil"/>
              <w:left w:val="nil"/>
              <w:bottom w:val="single" w:sz="4" w:space="0" w:color="auto"/>
              <w:right w:val="single" w:sz="4" w:space="0" w:color="auto"/>
            </w:tcBorders>
            <w:shd w:val="clear" w:color="auto" w:fill="auto"/>
            <w:noWrap/>
            <w:vAlign w:val="center"/>
            <w:hideMark/>
          </w:tcPr>
          <w:p w14:paraId="462A2B66"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13 834 724</w:t>
            </w:r>
          </w:p>
        </w:tc>
        <w:tc>
          <w:tcPr>
            <w:tcW w:w="1159" w:type="dxa"/>
            <w:tcBorders>
              <w:top w:val="nil"/>
              <w:left w:val="nil"/>
              <w:bottom w:val="single" w:sz="4" w:space="0" w:color="auto"/>
              <w:right w:val="single" w:sz="4" w:space="0" w:color="auto"/>
            </w:tcBorders>
            <w:shd w:val="clear" w:color="auto" w:fill="auto"/>
            <w:noWrap/>
            <w:vAlign w:val="center"/>
            <w:hideMark/>
          </w:tcPr>
          <w:p w14:paraId="5ACFD36D"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11 757 684</w:t>
            </w:r>
          </w:p>
        </w:tc>
        <w:tc>
          <w:tcPr>
            <w:tcW w:w="1350" w:type="dxa"/>
            <w:tcBorders>
              <w:top w:val="nil"/>
              <w:left w:val="nil"/>
              <w:bottom w:val="single" w:sz="4" w:space="0" w:color="auto"/>
              <w:right w:val="single" w:sz="4" w:space="0" w:color="auto"/>
            </w:tcBorders>
            <w:shd w:val="clear" w:color="auto" w:fill="auto"/>
            <w:noWrap/>
            <w:vAlign w:val="center"/>
            <w:hideMark/>
          </w:tcPr>
          <w:p w14:paraId="71EEE199"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12.9%</w:t>
            </w:r>
          </w:p>
        </w:tc>
        <w:tc>
          <w:tcPr>
            <w:tcW w:w="1033" w:type="dxa"/>
            <w:tcBorders>
              <w:top w:val="nil"/>
              <w:left w:val="nil"/>
              <w:bottom w:val="single" w:sz="4" w:space="0" w:color="auto"/>
              <w:right w:val="single" w:sz="4" w:space="0" w:color="auto"/>
            </w:tcBorders>
            <w:shd w:val="clear" w:color="auto" w:fill="auto"/>
            <w:noWrap/>
            <w:vAlign w:val="center"/>
            <w:hideMark/>
          </w:tcPr>
          <w:p w14:paraId="7451A516" w14:textId="77777777" w:rsidR="007E15B0" w:rsidRPr="007E15B0" w:rsidRDefault="007E15B0" w:rsidP="007E15B0">
            <w:pPr>
              <w:spacing w:after="0" w:line="240" w:lineRule="auto"/>
              <w:jc w:val="both"/>
              <w:rPr>
                <w:rFonts w:eastAsia="Times New Roman" w:cs="Times New Roman"/>
                <w:color w:val="FF0000"/>
                <w:sz w:val="20"/>
                <w:szCs w:val="20"/>
                <w:lang w:eastAsia="lv-LV"/>
              </w:rPr>
            </w:pPr>
            <w:r w:rsidRPr="007E15B0">
              <w:rPr>
                <w:rFonts w:eastAsia="Times New Roman" w:cs="Times New Roman"/>
                <w:color w:val="FF0000"/>
                <w:sz w:val="20"/>
                <w:szCs w:val="20"/>
                <w:lang w:eastAsia="lv-LV"/>
              </w:rPr>
              <w:t>2 077 040</w:t>
            </w:r>
          </w:p>
        </w:tc>
        <w:tc>
          <w:tcPr>
            <w:tcW w:w="1194" w:type="dxa"/>
            <w:tcBorders>
              <w:top w:val="nil"/>
              <w:left w:val="nil"/>
              <w:bottom w:val="single" w:sz="4" w:space="0" w:color="auto"/>
              <w:right w:val="single" w:sz="4" w:space="0" w:color="auto"/>
            </w:tcBorders>
            <w:shd w:val="clear" w:color="auto" w:fill="auto"/>
            <w:noWrap/>
            <w:vAlign w:val="center"/>
            <w:hideMark/>
          </w:tcPr>
          <w:p w14:paraId="7B373C97"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-15.0%</w:t>
            </w:r>
          </w:p>
        </w:tc>
      </w:tr>
      <w:tr w:rsidR="007E15B0" w:rsidRPr="007E15B0" w14:paraId="06254343" w14:textId="77777777" w:rsidTr="007E15B0">
        <w:trPr>
          <w:trHeight w:val="360"/>
          <w:jc w:val="center"/>
        </w:trPr>
        <w:tc>
          <w:tcPr>
            <w:tcW w:w="1959" w:type="dxa"/>
            <w:tcBorders>
              <w:top w:val="nil"/>
              <w:left w:val="single" w:sz="4" w:space="0" w:color="auto"/>
              <w:bottom w:val="single" w:sz="4" w:space="0" w:color="auto"/>
              <w:right w:val="single" w:sz="4" w:space="0" w:color="auto"/>
            </w:tcBorders>
            <w:shd w:val="clear" w:color="auto" w:fill="auto"/>
            <w:vAlign w:val="center"/>
            <w:hideMark/>
          </w:tcPr>
          <w:p w14:paraId="0C7F13F5"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7470 Pārējie valsts budžeta uzturēšanas izdevumu transferti</w:t>
            </w:r>
          </w:p>
        </w:tc>
        <w:tc>
          <w:tcPr>
            <w:tcW w:w="1283" w:type="dxa"/>
            <w:tcBorders>
              <w:top w:val="nil"/>
              <w:left w:val="nil"/>
              <w:bottom w:val="single" w:sz="4" w:space="0" w:color="auto"/>
              <w:right w:val="single" w:sz="4" w:space="0" w:color="auto"/>
            </w:tcBorders>
            <w:shd w:val="clear" w:color="auto" w:fill="auto"/>
            <w:noWrap/>
            <w:vAlign w:val="center"/>
            <w:hideMark/>
          </w:tcPr>
          <w:p w14:paraId="022D45B8"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53 780</w:t>
            </w:r>
          </w:p>
        </w:tc>
        <w:tc>
          <w:tcPr>
            <w:tcW w:w="1127" w:type="dxa"/>
            <w:tcBorders>
              <w:top w:val="nil"/>
              <w:left w:val="nil"/>
              <w:bottom w:val="single" w:sz="4" w:space="0" w:color="auto"/>
              <w:right w:val="single" w:sz="4" w:space="0" w:color="auto"/>
            </w:tcBorders>
            <w:shd w:val="clear" w:color="auto" w:fill="auto"/>
            <w:noWrap/>
            <w:vAlign w:val="center"/>
            <w:hideMark/>
          </w:tcPr>
          <w:p w14:paraId="1DD861A9"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53 780</w:t>
            </w:r>
          </w:p>
        </w:tc>
        <w:tc>
          <w:tcPr>
            <w:tcW w:w="1159" w:type="dxa"/>
            <w:tcBorders>
              <w:top w:val="nil"/>
              <w:left w:val="nil"/>
              <w:bottom w:val="single" w:sz="4" w:space="0" w:color="auto"/>
              <w:right w:val="single" w:sz="4" w:space="0" w:color="auto"/>
            </w:tcBorders>
            <w:shd w:val="clear" w:color="auto" w:fill="auto"/>
            <w:noWrap/>
            <w:vAlign w:val="center"/>
            <w:hideMark/>
          </w:tcPr>
          <w:p w14:paraId="1127649F"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53 055</w:t>
            </w:r>
          </w:p>
        </w:tc>
        <w:tc>
          <w:tcPr>
            <w:tcW w:w="1350" w:type="dxa"/>
            <w:tcBorders>
              <w:top w:val="nil"/>
              <w:left w:val="nil"/>
              <w:bottom w:val="single" w:sz="4" w:space="0" w:color="auto"/>
              <w:right w:val="single" w:sz="4" w:space="0" w:color="auto"/>
            </w:tcBorders>
            <w:shd w:val="clear" w:color="auto" w:fill="auto"/>
            <w:noWrap/>
            <w:vAlign w:val="center"/>
            <w:hideMark/>
          </w:tcPr>
          <w:p w14:paraId="2F4BD22C"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0.0%</w:t>
            </w:r>
          </w:p>
        </w:tc>
        <w:tc>
          <w:tcPr>
            <w:tcW w:w="1033" w:type="dxa"/>
            <w:tcBorders>
              <w:top w:val="nil"/>
              <w:left w:val="nil"/>
              <w:bottom w:val="single" w:sz="4" w:space="0" w:color="auto"/>
              <w:right w:val="single" w:sz="4" w:space="0" w:color="auto"/>
            </w:tcBorders>
            <w:shd w:val="clear" w:color="auto" w:fill="auto"/>
            <w:noWrap/>
            <w:vAlign w:val="center"/>
            <w:hideMark/>
          </w:tcPr>
          <w:p w14:paraId="0ACAB47C" w14:textId="77777777" w:rsidR="007E15B0" w:rsidRPr="007E15B0" w:rsidRDefault="007E15B0" w:rsidP="007E15B0">
            <w:pPr>
              <w:spacing w:after="0" w:line="240" w:lineRule="auto"/>
              <w:jc w:val="both"/>
              <w:rPr>
                <w:rFonts w:eastAsia="Times New Roman" w:cs="Times New Roman"/>
                <w:color w:val="FF0000"/>
                <w:sz w:val="20"/>
                <w:szCs w:val="20"/>
                <w:lang w:eastAsia="lv-LV"/>
              </w:rPr>
            </w:pPr>
            <w:r w:rsidRPr="007E15B0">
              <w:rPr>
                <w:rFonts w:eastAsia="Times New Roman" w:cs="Times New Roman"/>
                <w:color w:val="FF0000"/>
                <w:sz w:val="20"/>
                <w:szCs w:val="20"/>
                <w:lang w:eastAsia="lv-LV"/>
              </w:rPr>
              <w:t>726</w:t>
            </w:r>
          </w:p>
        </w:tc>
        <w:tc>
          <w:tcPr>
            <w:tcW w:w="1194" w:type="dxa"/>
            <w:tcBorders>
              <w:top w:val="nil"/>
              <w:left w:val="nil"/>
              <w:bottom w:val="single" w:sz="4" w:space="0" w:color="auto"/>
              <w:right w:val="single" w:sz="4" w:space="0" w:color="auto"/>
            </w:tcBorders>
            <w:shd w:val="clear" w:color="auto" w:fill="auto"/>
            <w:noWrap/>
            <w:vAlign w:val="center"/>
            <w:hideMark/>
          </w:tcPr>
          <w:p w14:paraId="1D7AAC00"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-1.3%</w:t>
            </w:r>
          </w:p>
        </w:tc>
      </w:tr>
      <w:tr w:rsidR="007E15B0" w:rsidRPr="007E15B0" w14:paraId="12B38AC8" w14:textId="77777777" w:rsidTr="007E15B0">
        <w:trPr>
          <w:trHeight w:val="211"/>
          <w:jc w:val="center"/>
        </w:trPr>
        <w:tc>
          <w:tcPr>
            <w:tcW w:w="1959" w:type="dxa"/>
            <w:tcBorders>
              <w:top w:val="nil"/>
              <w:left w:val="single" w:sz="4" w:space="0" w:color="auto"/>
              <w:bottom w:val="single" w:sz="4" w:space="0" w:color="auto"/>
              <w:right w:val="single" w:sz="4" w:space="0" w:color="auto"/>
            </w:tcBorders>
            <w:shd w:val="clear" w:color="000000" w:fill="C6E0B4"/>
            <w:noWrap/>
            <w:vAlign w:val="bottom"/>
            <w:hideMark/>
          </w:tcPr>
          <w:p w14:paraId="5E920AD9" w14:textId="77777777" w:rsidR="007E15B0" w:rsidRPr="007E15B0" w:rsidRDefault="007E15B0" w:rsidP="007E15B0">
            <w:pPr>
              <w:spacing w:after="0" w:line="240" w:lineRule="auto"/>
              <w:ind w:firstLineChars="200" w:firstLine="400"/>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KOPĀ</w:t>
            </w:r>
          </w:p>
        </w:tc>
        <w:tc>
          <w:tcPr>
            <w:tcW w:w="1283" w:type="dxa"/>
            <w:tcBorders>
              <w:top w:val="nil"/>
              <w:left w:val="nil"/>
              <w:bottom w:val="single" w:sz="4" w:space="0" w:color="auto"/>
              <w:right w:val="single" w:sz="4" w:space="0" w:color="auto"/>
            </w:tcBorders>
            <w:shd w:val="clear" w:color="000000" w:fill="C6E0B4"/>
            <w:noWrap/>
            <w:vAlign w:val="center"/>
            <w:hideMark/>
          </w:tcPr>
          <w:p w14:paraId="23B718CD"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65 948 100</w:t>
            </w:r>
          </w:p>
        </w:tc>
        <w:tc>
          <w:tcPr>
            <w:tcW w:w="1127" w:type="dxa"/>
            <w:tcBorders>
              <w:top w:val="nil"/>
              <w:left w:val="nil"/>
              <w:bottom w:val="single" w:sz="4" w:space="0" w:color="auto"/>
              <w:right w:val="single" w:sz="4" w:space="0" w:color="auto"/>
            </w:tcBorders>
            <w:shd w:val="clear" w:color="000000" w:fill="C6E0B4"/>
            <w:noWrap/>
            <w:vAlign w:val="center"/>
            <w:hideMark/>
          </w:tcPr>
          <w:p w14:paraId="423F2E83"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67 024 199</w:t>
            </w:r>
          </w:p>
        </w:tc>
        <w:tc>
          <w:tcPr>
            <w:tcW w:w="1159" w:type="dxa"/>
            <w:tcBorders>
              <w:top w:val="nil"/>
              <w:left w:val="nil"/>
              <w:bottom w:val="single" w:sz="4" w:space="0" w:color="auto"/>
              <w:right w:val="single" w:sz="4" w:space="0" w:color="auto"/>
            </w:tcBorders>
            <w:shd w:val="clear" w:color="000000" w:fill="C6E0B4"/>
            <w:noWrap/>
            <w:vAlign w:val="center"/>
            <w:hideMark/>
          </w:tcPr>
          <w:p w14:paraId="0CE840B8" w14:textId="77777777" w:rsidR="007E15B0" w:rsidRPr="007E15B0" w:rsidRDefault="007E15B0" w:rsidP="007E15B0">
            <w:pPr>
              <w:spacing w:after="0" w:line="240" w:lineRule="auto"/>
              <w:jc w:val="both"/>
              <w:rPr>
                <w:rFonts w:eastAsia="Times New Roman" w:cs="Times New Roman"/>
                <w:b/>
                <w:bCs/>
                <w:color w:val="000000"/>
                <w:sz w:val="20"/>
                <w:szCs w:val="20"/>
                <w:lang w:eastAsia="lv-LV"/>
              </w:rPr>
            </w:pPr>
            <w:r w:rsidRPr="007E15B0">
              <w:rPr>
                <w:rFonts w:eastAsia="Times New Roman" w:cs="Times New Roman"/>
                <w:b/>
                <w:bCs/>
                <w:color w:val="000000"/>
                <w:sz w:val="20"/>
                <w:szCs w:val="20"/>
                <w:lang w:eastAsia="lv-LV"/>
              </w:rPr>
              <w:t>64 802 932</w:t>
            </w:r>
          </w:p>
        </w:tc>
        <w:tc>
          <w:tcPr>
            <w:tcW w:w="1350" w:type="dxa"/>
            <w:tcBorders>
              <w:top w:val="nil"/>
              <w:left w:val="nil"/>
              <w:bottom w:val="single" w:sz="4" w:space="0" w:color="auto"/>
              <w:right w:val="single" w:sz="4" w:space="0" w:color="auto"/>
            </w:tcBorders>
            <w:shd w:val="clear" w:color="000000" w:fill="C6E0B4"/>
            <w:noWrap/>
            <w:vAlign w:val="center"/>
            <w:hideMark/>
          </w:tcPr>
          <w:p w14:paraId="45078040"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1.6%</w:t>
            </w:r>
          </w:p>
        </w:tc>
        <w:tc>
          <w:tcPr>
            <w:tcW w:w="1033" w:type="dxa"/>
            <w:tcBorders>
              <w:top w:val="nil"/>
              <w:left w:val="nil"/>
              <w:bottom w:val="single" w:sz="4" w:space="0" w:color="auto"/>
              <w:right w:val="single" w:sz="4" w:space="0" w:color="auto"/>
            </w:tcBorders>
            <w:shd w:val="clear" w:color="000000" w:fill="C6E0B4"/>
            <w:noWrap/>
            <w:vAlign w:val="center"/>
            <w:hideMark/>
          </w:tcPr>
          <w:p w14:paraId="4BCFF3F0" w14:textId="77777777" w:rsidR="007E15B0" w:rsidRPr="007E15B0" w:rsidRDefault="007E15B0" w:rsidP="007E15B0">
            <w:pPr>
              <w:spacing w:after="0" w:line="240" w:lineRule="auto"/>
              <w:jc w:val="both"/>
              <w:rPr>
                <w:rFonts w:eastAsia="Times New Roman" w:cs="Times New Roman"/>
                <w:color w:val="FF0000"/>
                <w:sz w:val="20"/>
                <w:szCs w:val="20"/>
                <w:lang w:eastAsia="lv-LV"/>
              </w:rPr>
            </w:pPr>
            <w:r w:rsidRPr="007E15B0">
              <w:rPr>
                <w:rFonts w:eastAsia="Times New Roman" w:cs="Times New Roman"/>
                <w:color w:val="FF0000"/>
                <w:sz w:val="20"/>
                <w:szCs w:val="20"/>
                <w:lang w:eastAsia="lv-LV"/>
              </w:rPr>
              <w:t>2 221 267</w:t>
            </w:r>
          </w:p>
        </w:tc>
        <w:tc>
          <w:tcPr>
            <w:tcW w:w="1194" w:type="dxa"/>
            <w:tcBorders>
              <w:top w:val="nil"/>
              <w:left w:val="nil"/>
              <w:bottom w:val="single" w:sz="4" w:space="0" w:color="auto"/>
              <w:right w:val="single" w:sz="4" w:space="0" w:color="auto"/>
            </w:tcBorders>
            <w:shd w:val="clear" w:color="000000" w:fill="C6E0B4"/>
            <w:noWrap/>
            <w:vAlign w:val="center"/>
            <w:hideMark/>
          </w:tcPr>
          <w:p w14:paraId="03CE0C1E" w14:textId="77777777" w:rsidR="007E15B0" w:rsidRPr="007E15B0" w:rsidRDefault="007E15B0" w:rsidP="007E15B0">
            <w:pPr>
              <w:spacing w:after="0" w:line="240" w:lineRule="auto"/>
              <w:jc w:val="both"/>
              <w:rPr>
                <w:rFonts w:eastAsia="Times New Roman" w:cs="Times New Roman"/>
                <w:color w:val="000000"/>
                <w:sz w:val="20"/>
                <w:szCs w:val="20"/>
                <w:lang w:eastAsia="lv-LV"/>
              </w:rPr>
            </w:pPr>
            <w:r w:rsidRPr="007E15B0">
              <w:rPr>
                <w:rFonts w:eastAsia="Times New Roman" w:cs="Times New Roman"/>
                <w:color w:val="000000"/>
                <w:sz w:val="20"/>
                <w:szCs w:val="20"/>
                <w:lang w:eastAsia="lv-LV"/>
              </w:rPr>
              <w:t>-3.3%</w:t>
            </w:r>
          </w:p>
        </w:tc>
      </w:tr>
    </w:tbl>
    <w:p w14:paraId="0CDFD0C2" w14:textId="77777777" w:rsidR="007E15B0" w:rsidRPr="007E15B0" w:rsidRDefault="007E15B0" w:rsidP="007E15B0">
      <w:pPr>
        <w:ind w:firstLine="720"/>
        <w:jc w:val="center"/>
        <w:rPr>
          <w:rFonts w:cs="Times New Roman"/>
        </w:rPr>
      </w:pPr>
    </w:p>
    <w:p w14:paraId="36D5CEA7" w14:textId="7AE0DB42" w:rsidR="007E15B0" w:rsidRPr="00242139" w:rsidRDefault="007E15B0" w:rsidP="00242139">
      <w:pPr>
        <w:ind w:firstLine="720"/>
        <w:jc w:val="both"/>
        <w:rPr>
          <w:rFonts w:cs="Times New Roman"/>
        </w:rPr>
      </w:pPr>
      <w:r>
        <w:rPr>
          <w:rFonts w:cs="Times New Roman"/>
        </w:rPr>
        <w:t xml:space="preserve">No </w:t>
      </w:r>
      <w:r w:rsidRPr="007E15B0">
        <w:rPr>
          <w:rFonts w:cs="Times New Roman"/>
        </w:rPr>
        <w:t>IeM programmas 10.00.00 budžeta izpilde</w:t>
      </w:r>
      <w:r>
        <w:rPr>
          <w:rFonts w:cs="Times New Roman"/>
        </w:rPr>
        <w:t>s 2019.gadā (</w:t>
      </w:r>
      <w:r>
        <w:rPr>
          <w:rFonts w:cs="Times New Roman"/>
        </w:rPr>
        <w:fldChar w:fldCharType="begin"/>
      </w:r>
      <w:r>
        <w:rPr>
          <w:rFonts w:cs="Times New Roman"/>
        </w:rPr>
        <w:instrText xml:space="preserve"> REF _Ref47339938 \h </w:instrText>
      </w:r>
      <w:r>
        <w:rPr>
          <w:rFonts w:cs="Times New Roman"/>
        </w:rPr>
      </w:r>
      <w:r>
        <w:rPr>
          <w:rFonts w:cs="Times New Roman"/>
        </w:rPr>
        <w:fldChar w:fldCharType="separate"/>
      </w:r>
      <w:r w:rsidR="00D96F20">
        <w:t xml:space="preserve">Attēls Nr. </w:t>
      </w:r>
      <w:r w:rsidR="00D96F20">
        <w:rPr>
          <w:noProof/>
        </w:rPr>
        <w:t>64</w:t>
      </w:r>
      <w:r>
        <w:rPr>
          <w:rFonts w:cs="Times New Roman"/>
        </w:rPr>
        <w:fldChar w:fldCharType="end"/>
      </w:r>
      <w:r>
        <w:rPr>
          <w:rFonts w:cs="Times New Roman"/>
        </w:rPr>
        <w:t xml:space="preserve">) </w:t>
      </w:r>
      <w:r w:rsidRPr="007E15B0">
        <w:rPr>
          <w:rFonts w:cs="Times New Roman"/>
        </w:rPr>
        <w:t xml:space="preserve">secināms, ka lielākā neizpilde novērojama izdevumos pamatkapitāla veidošanai – 2,1 milj. </w:t>
      </w:r>
      <w:r w:rsidRPr="007E15B0">
        <w:rPr>
          <w:rFonts w:cs="Times New Roman"/>
          <w:i/>
        </w:rPr>
        <w:t>euro</w:t>
      </w:r>
      <w:r w:rsidRPr="007E15B0">
        <w:rPr>
          <w:rFonts w:cs="Times New Roman"/>
        </w:rPr>
        <w:t xml:space="preserve"> jeb 94% no kopējās neizpildes programmā. Cēlonis neizpildei - Iekšējas drošības biroja veikto kriminālprocesuālo darbību ietvaros izņemtā dokumentācija par valsts robežas joslas infrastruktūras izbūvi gar Latvijas Republikas un Krievijas Federācijas robežu.</w:t>
      </w:r>
    </w:p>
    <w:p w14:paraId="4365A653" w14:textId="6A32CE6D" w:rsidR="00D923BD" w:rsidRPr="00D923BD" w:rsidRDefault="00DE6DF2" w:rsidP="00D923BD">
      <w:pPr>
        <w:jc w:val="both"/>
        <w:rPr>
          <w:rFonts w:cs="Times New Roman"/>
        </w:rPr>
      </w:pPr>
      <w:r>
        <w:rPr>
          <w:rFonts w:cs="Times New Roman"/>
        </w:rPr>
        <w:t xml:space="preserve">Analizējot IeM </w:t>
      </w:r>
      <w:r w:rsidR="00D923BD" w:rsidRPr="00D923BD">
        <w:rPr>
          <w:rFonts w:cs="Times New Roman"/>
        </w:rPr>
        <w:t>programmas</w:t>
      </w:r>
      <w:r>
        <w:rPr>
          <w:rFonts w:cs="Times New Roman"/>
        </w:rPr>
        <w:t xml:space="preserve"> 10.00.00</w:t>
      </w:r>
      <w:r w:rsidR="00D923BD" w:rsidRPr="00D923BD">
        <w:rPr>
          <w:rFonts w:cs="Times New Roman"/>
        </w:rPr>
        <w:t xml:space="preserve"> rezultatīvo rādītāju dinamiku, konstatēts</w:t>
      </w:r>
      <w:r w:rsidR="00D923BD">
        <w:rPr>
          <w:rFonts w:cs="Times New Roman"/>
        </w:rPr>
        <w:t>, ka</w:t>
      </w:r>
      <w:r w:rsidR="00D923BD" w:rsidRPr="00D923BD">
        <w:rPr>
          <w:rFonts w:cs="Times New Roman"/>
        </w:rPr>
        <w:t>:</w:t>
      </w:r>
    </w:p>
    <w:p w14:paraId="2DAA86D6" w14:textId="77777777" w:rsidR="00D923BD" w:rsidRPr="00D923BD" w:rsidRDefault="00D923BD" w:rsidP="00242139">
      <w:pPr>
        <w:numPr>
          <w:ilvl w:val="0"/>
          <w:numId w:val="27"/>
        </w:numPr>
        <w:ind w:left="709" w:hanging="283"/>
        <w:contextualSpacing/>
        <w:jc w:val="both"/>
        <w:rPr>
          <w:rFonts w:cs="Times New Roman"/>
        </w:rPr>
      </w:pPr>
      <w:r w:rsidRPr="00D923BD">
        <w:rPr>
          <w:rFonts w:cs="Times New Roman"/>
        </w:rPr>
        <w:t>kopumā pieaug robežpārbaužu skaits, pārsniedz plānotos apjomus;</w:t>
      </w:r>
    </w:p>
    <w:p w14:paraId="02037A91" w14:textId="77777777" w:rsidR="00D923BD" w:rsidRPr="00D923BD" w:rsidRDefault="00D923BD" w:rsidP="00242139">
      <w:pPr>
        <w:numPr>
          <w:ilvl w:val="0"/>
          <w:numId w:val="27"/>
        </w:numPr>
        <w:ind w:left="709" w:hanging="283"/>
        <w:contextualSpacing/>
        <w:jc w:val="both"/>
        <w:rPr>
          <w:rFonts w:cs="Times New Roman"/>
        </w:rPr>
      </w:pPr>
      <w:r w:rsidRPr="00D923BD">
        <w:rPr>
          <w:rFonts w:cs="Times New Roman"/>
        </w:rPr>
        <w:t>novērojams kritums imigrācijas kontroles rezultatīvajos rādītājos;</w:t>
      </w:r>
    </w:p>
    <w:p w14:paraId="5A81B057" w14:textId="77777777" w:rsidR="00D923BD" w:rsidRPr="00D923BD" w:rsidRDefault="00D923BD" w:rsidP="00242139">
      <w:pPr>
        <w:numPr>
          <w:ilvl w:val="0"/>
          <w:numId w:val="27"/>
        </w:numPr>
        <w:ind w:left="709" w:hanging="283"/>
        <w:contextualSpacing/>
        <w:jc w:val="both"/>
        <w:rPr>
          <w:rFonts w:cs="Times New Roman"/>
        </w:rPr>
      </w:pPr>
      <w:r w:rsidRPr="00D923BD">
        <w:rPr>
          <w:rFonts w:cs="Times New Roman"/>
        </w:rPr>
        <w:t>paaugstinās slodze pārrobežu noziedzības apkarošanā;</w:t>
      </w:r>
    </w:p>
    <w:p w14:paraId="3C56E521" w14:textId="77777777" w:rsidR="00D923BD" w:rsidRPr="00D923BD" w:rsidRDefault="00D923BD" w:rsidP="00242139">
      <w:pPr>
        <w:numPr>
          <w:ilvl w:val="0"/>
          <w:numId w:val="27"/>
        </w:numPr>
        <w:ind w:left="709" w:hanging="283"/>
        <w:contextualSpacing/>
        <w:jc w:val="both"/>
        <w:rPr>
          <w:rFonts w:cs="Times New Roman"/>
        </w:rPr>
      </w:pPr>
      <w:r w:rsidRPr="00D923BD">
        <w:rPr>
          <w:rFonts w:cs="Times New Roman"/>
        </w:rPr>
        <w:t>daktiloskopiskās identifikācijas ekspertīzes, pretēji prognozēm, veiktas tikai 1 reizi 2019.gadā;</w:t>
      </w:r>
    </w:p>
    <w:p w14:paraId="6CA10691" w14:textId="77777777" w:rsidR="00D923BD" w:rsidRPr="00D923BD" w:rsidRDefault="00D923BD" w:rsidP="00242139">
      <w:pPr>
        <w:numPr>
          <w:ilvl w:val="0"/>
          <w:numId w:val="27"/>
        </w:numPr>
        <w:ind w:left="709" w:hanging="283"/>
        <w:contextualSpacing/>
        <w:jc w:val="both"/>
        <w:rPr>
          <w:rFonts w:cs="Times New Roman"/>
        </w:rPr>
      </w:pPr>
      <w:r w:rsidRPr="00D923BD">
        <w:rPr>
          <w:rFonts w:cs="Times New Roman"/>
        </w:rPr>
        <w:t xml:space="preserve">samazinās izglītību apguvušo amatpersonu skaits; </w:t>
      </w:r>
    </w:p>
    <w:p w14:paraId="7885D1DF" w14:textId="77777777" w:rsidR="00D923BD" w:rsidRPr="00D923BD" w:rsidRDefault="00D923BD" w:rsidP="00242139">
      <w:pPr>
        <w:numPr>
          <w:ilvl w:val="0"/>
          <w:numId w:val="27"/>
        </w:numPr>
        <w:ind w:left="709" w:hanging="283"/>
        <w:contextualSpacing/>
        <w:jc w:val="both"/>
        <w:rPr>
          <w:rFonts w:cs="Times New Roman"/>
        </w:rPr>
      </w:pPr>
      <w:r w:rsidRPr="00D923BD">
        <w:rPr>
          <w:rFonts w:cs="Times New Roman"/>
        </w:rPr>
        <w:t>amatpersonu skaits, kas piedalās starptautiskajās misijās un operācijās krietni pārsniedz plānoto (2019.gada plāns – 450 amatpersonas, izpilde – 539).</w:t>
      </w:r>
    </w:p>
    <w:p w14:paraId="40D1591D" w14:textId="3F824121" w:rsidR="00D923BD" w:rsidRPr="00D923BD" w:rsidRDefault="00D923BD" w:rsidP="00242139">
      <w:pPr>
        <w:spacing w:before="240" w:after="120"/>
        <w:ind w:firstLine="720"/>
        <w:jc w:val="both"/>
        <w:rPr>
          <w:rFonts w:cs="Times New Roman"/>
        </w:rPr>
      </w:pPr>
      <w:r w:rsidRPr="00D923BD">
        <w:rPr>
          <w:rFonts w:cs="Times New Roman"/>
        </w:rPr>
        <w:t xml:space="preserve">IeM apakšprogrammas </w:t>
      </w:r>
      <w:r w:rsidRPr="00D923BD">
        <w:rPr>
          <w:rFonts w:cs="Times New Roman"/>
          <w:b/>
        </w:rPr>
        <w:t>11.01.00 Pilsonības un migrācijas lietu pārvalde</w:t>
      </w:r>
      <w:r w:rsidRPr="00D923BD">
        <w:rPr>
          <w:rFonts w:cs="Times New Roman"/>
        </w:rPr>
        <w:t xml:space="preserve"> galvenie mērķi ir nodrošināt efektīvu valsts politikas īstenošanu migrācijas un patvēruma, personu tiesiskā statusa, iedzīvotāju uzskaites un personu apliecinošu dokumentu jomā un publisko pakalpojumu sniegšanu saskaņā ar labas pārvaldības principiem. Apakšprogrammas galvenās aktivitātes:</w:t>
      </w:r>
    </w:p>
    <w:p w14:paraId="3A54862D" w14:textId="77777777" w:rsidR="00D923BD" w:rsidRPr="00D923BD" w:rsidRDefault="00D923BD" w:rsidP="006A15ED">
      <w:pPr>
        <w:numPr>
          <w:ilvl w:val="0"/>
          <w:numId w:val="28"/>
        </w:numPr>
        <w:ind w:left="0" w:firstLine="720"/>
        <w:contextualSpacing/>
        <w:jc w:val="both"/>
        <w:rPr>
          <w:rFonts w:cs="Times New Roman"/>
        </w:rPr>
      </w:pPr>
      <w:r w:rsidRPr="00D923BD">
        <w:rPr>
          <w:rFonts w:cs="Times New Roman"/>
        </w:rPr>
        <w:t>īstenot valsts migrācijas un patvēruma politiku;</w:t>
      </w:r>
    </w:p>
    <w:p w14:paraId="57AC419D" w14:textId="77777777" w:rsidR="00D923BD" w:rsidRPr="00D923BD" w:rsidRDefault="00D923BD" w:rsidP="006A15ED">
      <w:pPr>
        <w:numPr>
          <w:ilvl w:val="0"/>
          <w:numId w:val="28"/>
        </w:numPr>
        <w:ind w:left="0" w:firstLine="720"/>
        <w:contextualSpacing/>
        <w:jc w:val="both"/>
        <w:rPr>
          <w:rFonts w:cs="Times New Roman"/>
        </w:rPr>
      </w:pPr>
      <w:r w:rsidRPr="00D923BD">
        <w:rPr>
          <w:rFonts w:cs="Times New Roman"/>
        </w:rPr>
        <w:t>nodrošināt Iedzīvotāju reģistra sistēmas uzturēšanu un iedzīvotāju uzskaiti;</w:t>
      </w:r>
    </w:p>
    <w:p w14:paraId="065E1901" w14:textId="77777777" w:rsidR="00D923BD" w:rsidRPr="00D923BD" w:rsidRDefault="00D923BD" w:rsidP="006A15ED">
      <w:pPr>
        <w:numPr>
          <w:ilvl w:val="0"/>
          <w:numId w:val="28"/>
        </w:numPr>
        <w:ind w:left="0" w:firstLine="720"/>
        <w:contextualSpacing/>
        <w:jc w:val="both"/>
        <w:rPr>
          <w:rFonts w:cs="Times New Roman"/>
        </w:rPr>
      </w:pPr>
      <w:r w:rsidRPr="00D923BD">
        <w:rPr>
          <w:rFonts w:cs="Times New Roman"/>
        </w:rPr>
        <w:t>nodrošināt personu tiesiskā statusa kontroli valstī;</w:t>
      </w:r>
    </w:p>
    <w:p w14:paraId="62F1DD3B" w14:textId="77777777" w:rsidR="00D923BD" w:rsidRPr="00D923BD" w:rsidRDefault="00D923BD" w:rsidP="006A15ED">
      <w:pPr>
        <w:numPr>
          <w:ilvl w:val="0"/>
          <w:numId w:val="28"/>
        </w:numPr>
        <w:ind w:left="0" w:firstLine="720"/>
        <w:contextualSpacing/>
        <w:jc w:val="both"/>
        <w:rPr>
          <w:rFonts w:cs="Times New Roman"/>
        </w:rPr>
      </w:pPr>
      <w:r w:rsidRPr="00D923BD">
        <w:rPr>
          <w:rFonts w:cs="Times New Roman"/>
        </w:rPr>
        <w:lastRenderedPageBreak/>
        <w:t>izsniegt personu apliecinošus dokumentus un ceļošanas dokumentus;</w:t>
      </w:r>
    </w:p>
    <w:p w14:paraId="73C0FE2B" w14:textId="77777777" w:rsidR="00D923BD" w:rsidRPr="00D923BD" w:rsidRDefault="00D923BD" w:rsidP="006A15ED">
      <w:pPr>
        <w:numPr>
          <w:ilvl w:val="0"/>
          <w:numId w:val="28"/>
        </w:numPr>
        <w:ind w:left="0" w:firstLine="720"/>
        <w:contextualSpacing/>
        <w:jc w:val="both"/>
        <w:rPr>
          <w:rFonts w:cs="Times New Roman"/>
        </w:rPr>
      </w:pPr>
      <w:r w:rsidRPr="00D923BD">
        <w:rPr>
          <w:rFonts w:cs="Times New Roman"/>
        </w:rPr>
        <w:t>nodrošināt efektīvu Latvijas Republikas pilsonības iegūšanas procesu pārvaldību.</w:t>
      </w:r>
    </w:p>
    <w:p w14:paraId="4DE39A60" w14:textId="3A261D7D" w:rsidR="00D923BD" w:rsidRPr="00D923BD" w:rsidRDefault="00D923BD" w:rsidP="00D923BD">
      <w:pPr>
        <w:ind w:firstLine="720"/>
        <w:jc w:val="both"/>
        <w:rPr>
          <w:rFonts w:cs="Times New Roman"/>
        </w:rPr>
      </w:pPr>
      <w:r w:rsidRPr="00D923BD">
        <w:rPr>
          <w:rFonts w:cs="Times New Roman"/>
        </w:rPr>
        <w:t>Apakšprogrammas izpildītāji - Pilsonības un migrācijas lietu pārvalde, Valsts robežsardze.</w:t>
      </w:r>
    </w:p>
    <w:p w14:paraId="2FA63E4D" w14:textId="0769E58A" w:rsidR="007E15B0" w:rsidRDefault="00D923BD" w:rsidP="00D923BD">
      <w:pPr>
        <w:pStyle w:val="Caption"/>
      </w:pPr>
      <w:r>
        <w:t xml:space="preserve">Attēls Nr. </w:t>
      </w:r>
      <w:fldSimple w:instr=" SEQ Attēls_Nr. \* ARABIC ">
        <w:r w:rsidR="00D96F20">
          <w:rPr>
            <w:noProof/>
          </w:rPr>
          <w:t>65</w:t>
        </w:r>
      </w:fldSimple>
    </w:p>
    <w:p w14:paraId="1AD1491F" w14:textId="5502AAFB" w:rsidR="00CB68AD" w:rsidRPr="00256245" w:rsidRDefault="00D923BD" w:rsidP="00856FF9">
      <w:pPr>
        <w:ind w:firstLine="720"/>
        <w:jc w:val="center"/>
        <w:rPr>
          <w:rFonts w:cs="Times New Roman"/>
          <w:b/>
        </w:rPr>
      </w:pPr>
      <w:r>
        <w:rPr>
          <w:rFonts w:cs="Times New Roman"/>
          <w:b/>
        </w:rPr>
        <w:t xml:space="preserve">IeM </w:t>
      </w:r>
      <w:r w:rsidRPr="003C18E8">
        <w:rPr>
          <w:rFonts w:cs="Times New Roman"/>
          <w:b/>
        </w:rPr>
        <w:t xml:space="preserve">programmas </w:t>
      </w:r>
      <w:r w:rsidRPr="00D923BD">
        <w:rPr>
          <w:rFonts w:cs="Times New Roman"/>
          <w:b/>
        </w:rPr>
        <w:t>11.01.00 Pilsonības un migrācijas lietu pārvalde</w:t>
      </w:r>
      <w:r w:rsidRPr="00256245">
        <w:rPr>
          <w:rFonts w:cs="Times New Roman"/>
          <w:b/>
          <w:i/>
        </w:rPr>
        <w:t xml:space="preserve"> </w:t>
      </w:r>
      <w:r>
        <w:rPr>
          <w:rFonts w:cs="Times New Roman"/>
          <w:b/>
        </w:rPr>
        <w:t>izdevumu dinamika 2015.-2019</w:t>
      </w:r>
      <w:r w:rsidRPr="003C18E8">
        <w:rPr>
          <w:rFonts w:cs="Times New Roman"/>
          <w:b/>
        </w:rPr>
        <w:t>.gadam (</w:t>
      </w:r>
      <w:r w:rsidRPr="003C18E8">
        <w:rPr>
          <w:rFonts w:cs="Times New Roman"/>
        </w:rPr>
        <w:t xml:space="preserve">milj. </w:t>
      </w:r>
      <w:r w:rsidRPr="00EE3293">
        <w:rPr>
          <w:rFonts w:cs="Times New Roman"/>
          <w:i/>
        </w:rPr>
        <w:t>euro</w:t>
      </w:r>
      <w:r>
        <w:rPr>
          <w:rFonts w:cs="Times New Roman"/>
          <w:b/>
        </w:rPr>
        <w:t>)</w:t>
      </w:r>
    </w:p>
    <w:p w14:paraId="768B5ED0" w14:textId="77777777" w:rsidR="00D923BD" w:rsidRDefault="00D923BD" w:rsidP="00D923BD">
      <w:r>
        <w:rPr>
          <w:noProof/>
          <w:lang w:eastAsia="lv-LV"/>
        </w:rPr>
        <mc:AlternateContent>
          <mc:Choice Requires="wpg">
            <w:drawing>
              <wp:inline distT="0" distB="0" distL="0" distR="0" wp14:anchorId="63565E9E" wp14:editId="7FE83BD9">
                <wp:extent cx="5849783" cy="2532185"/>
                <wp:effectExtent l="0" t="0" r="0" b="1905"/>
                <wp:docPr id="80" name="Group 4"/>
                <wp:cNvGraphicFramePr/>
                <a:graphic xmlns:a="http://schemas.openxmlformats.org/drawingml/2006/main">
                  <a:graphicData uri="http://schemas.microsoft.com/office/word/2010/wordprocessingGroup">
                    <wpg:wgp>
                      <wpg:cNvGrpSpPr/>
                      <wpg:grpSpPr>
                        <a:xfrm>
                          <a:off x="0" y="0"/>
                          <a:ext cx="5849783" cy="2532185"/>
                          <a:chOff x="0" y="0"/>
                          <a:chExt cx="5481241" cy="3485330"/>
                        </a:xfrm>
                      </wpg:grpSpPr>
                      <wpg:grpSp>
                        <wpg:cNvPr id="81" name="Group 81"/>
                        <wpg:cNvGrpSpPr/>
                        <wpg:grpSpPr>
                          <a:xfrm>
                            <a:off x="0" y="0"/>
                            <a:ext cx="5389179" cy="3485330"/>
                            <a:chOff x="0" y="0"/>
                            <a:chExt cx="5389179" cy="3485330"/>
                          </a:xfrm>
                        </wpg:grpSpPr>
                        <wpg:graphicFrame>
                          <wpg:cNvPr id="82" name="Chart 82"/>
                          <wpg:cNvFrPr>
                            <a:graphicFrameLocks/>
                          </wpg:cNvFrPr>
                          <wpg:xfrm>
                            <a:off x="0" y="0"/>
                            <a:ext cx="5389179" cy="3485330"/>
                          </wpg:xfrm>
                          <a:graphic>
                            <a:graphicData uri="http://schemas.openxmlformats.org/drawingml/2006/chart">
                              <c:chart xmlns:c="http://schemas.openxmlformats.org/drawingml/2006/chart" xmlns:r="http://schemas.openxmlformats.org/officeDocument/2006/relationships" r:id="rId77"/>
                            </a:graphicData>
                          </a:graphic>
                        </wpg:graphicFrame>
                        <wps:wsp>
                          <wps:cNvPr id="83" name="TextBox 1"/>
                          <wps:cNvSpPr txBox="1"/>
                          <wps:spPr>
                            <a:xfrm>
                              <a:off x="3492657" y="150151"/>
                              <a:ext cx="1622160" cy="742643"/>
                            </a:xfrm>
                            <a:prstGeom prst="rect">
                              <a:avLst/>
                            </a:prstGeom>
                          </wps:spPr>
                          <wps:txbx>
                            <w:txbxContent>
                              <w:p w14:paraId="389A69D7" w14:textId="77777777" w:rsidR="005E1561" w:rsidRDefault="005E1561" w:rsidP="00D923BD">
                                <w:pPr>
                                  <w:pStyle w:val="NormalWeb"/>
                                  <w:spacing w:before="0" w:beforeAutospacing="0" w:after="0" w:afterAutospacing="0"/>
                                </w:pPr>
                                <w:r>
                                  <w:rPr>
                                    <w:b/>
                                    <w:bCs/>
                                    <w:color w:val="ED7D31" w:themeColor="accent2"/>
                                    <w:sz w:val="20"/>
                                    <w:szCs w:val="20"/>
                                  </w:rPr>
                                  <w:t>Vienreizējie pasākumi</w:t>
                                </w:r>
                              </w:p>
                            </w:txbxContent>
                          </wps:txbx>
                          <wps:bodyPr wrap="square" rtlCol="0"/>
                        </wps:wsp>
                        <wps:wsp>
                          <wps:cNvPr id="84" name="Straight Arrow Connector 84"/>
                          <wps:cNvCnPr/>
                          <wps:spPr>
                            <a:xfrm>
                              <a:off x="4806700" y="466766"/>
                              <a:ext cx="163286" cy="148433"/>
                            </a:xfrm>
                            <a:prstGeom prst="straightConnector1">
                              <a:avLst/>
                            </a:prstGeom>
                            <a:ln w="19050">
                              <a:solidFill>
                                <a:sysClr val="windowText" lastClr="00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85" name="TextBox 1"/>
                        <wps:cNvSpPr txBox="1"/>
                        <wps:spPr>
                          <a:xfrm>
                            <a:off x="4633844" y="2089385"/>
                            <a:ext cx="847397" cy="588999"/>
                          </a:xfrm>
                          <a:prstGeom prst="rect">
                            <a:avLst/>
                          </a:prstGeom>
                        </wps:spPr>
                        <wps:txbx>
                          <w:txbxContent>
                            <w:p w14:paraId="70E38A16" w14:textId="77777777" w:rsidR="005E1561" w:rsidRDefault="005E1561" w:rsidP="00D923BD">
                              <w:pPr>
                                <w:pStyle w:val="NormalWeb"/>
                                <w:spacing w:before="0" w:beforeAutospacing="0" w:after="0" w:afterAutospacing="0"/>
                              </w:pPr>
                              <w:r>
                                <w:rPr>
                                  <w:b/>
                                  <w:bCs/>
                                  <w:color w:val="FF0000"/>
                                </w:rPr>
                                <w:t>∑= 20,4</w:t>
                              </w:r>
                            </w:p>
                          </w:txbxContent>
                        </wps:txbx>
                        <wps:bodyPr wrap="square" rtlCol="0"/>
                      </wps:wsp>
                    </wpg:wgp>
                  </a:graphicData>
                </a:graphic>
              </wp:inline>
            </w:drawing>
          </mc:Choice>
          <mc:Fallback>
            <w:pict>
              <v:group w14:anchorId="63565E9E" id="Group 4" o:spid="_x0000_s1034" style="width:460.6pt;height:199.4pt;mso-position-horizontal-relative:char;mso-position-vertical-relative:line" coordsize="54812,34853" o:gfxdata="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">
                <v:group id="Group 81" o:spid="_x0000_s1035" style="position:absolute;width:53891;height:34853" coordsize="53891,3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Chart 82" o:spid="_x0000_s1036" type="#_x0000_t75" style="position:absolute;left:-57;top:-83;width:53977;height:349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">
                    <v:imagedata r:id="rId78" o:title=""/>
                    <o:lock v:ext="edit" aspectratio="f"/>
                  </v:shape>
                  <v:shape id="TextBox 1" o:spid="_x0000_s1037" type="#_x0000_t202" style="position:absolute;left:34926;top:1501;width:16222;height:7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389A69D7" w14:textId="77777777" w:rsidR="005E1561" w:rsidRDefault="005E1561" w:rsidP="00D923BD">
                          <w:pPr>
                            <w:pStyle w:val="NormalWeb"/>
                            <w:spacing w:before="0" w:beforeAutospacing="0" w:after="0" w:afterAutospacing="0"/>
                          </w:pPr>
                          <w:r>
                            <w:rPr>
                              <w:b/>
                              <w:bCs/>
                              <w:color w:val="ED7D31" w:themeColor="accent2"/>
                              <w:sz w:val="20"/>
                              <w:szCs w:val="20"/>
                            </w:rPr>
                            <w:t>Vienreizējie pasākumi</w:t>
                          </w:r>
                        </w:p>
                      </w:txbxContent>
                    </v:textbox>
                  </v:shape>
                  <v:shape id="Straight Arrow Connector 84" o:spid="_x0000_s1038" type="#_x0000_t32" style="position:absolute;left:48067;top:4667;width:1632;height:14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" strokecolor="windowText" strokeweight="1.5pt">
                    <v:stroke endarrow="block" joinstyle="miter"/>
                  </v:shape>
                </v:group>
                <v:shape id="TextBox 1" o:spid="_x0000_s1039" type="#_x0000_t202" style="position:absolute;left:46338;top:20893;width:8474;height:5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70E38A16" w14:textId="77777777" w:rsidR="005E1561" w:rsidRDefault="005E1561" w:rsidP="00D923BD">
                        <w:pPr>
                          <w:pStyle w:val="NormalWeb"/>
                          <w:spacing w:before="0" w:beforeAutospacing="0" w:after="0" w:afterAutospacing="0"/>
                        </w:pPr>
                        <w:r>
                          <w:rPr>
                            <w:b/>
                            <w:bCs/>
                            <w:color w:val="FF0000"/>
                          </w:rPr>
                          <w:t>∑= 20,4</w:t>
                        </w:r>
                      </w:p>
                    </w:txbxContent>
                  </v:textbox>
                </v:shape>
                <w10:anchorlock/>
              </v:group>
            </w:pict>
          </mc:Fallback>
        </mc:AlternateContent>
      </w:r>
    </w:p>
    <w:p w14:paraId="20DB0FDA" w14:textId="09C5178C" w:rsidR="00D923BD" w:rsidRDefault="00D923BD" w:rsidP="004F7505">
      <w:pPr>
        <w:ind w:firstLine="720"/>
        <w:jc w:val="both"/>
        <w:rPr>
          <w:rFonts w:cs="Times New Roman"/>
        </w:rPr>
      </w:pPr>
      <w:r>
        <w:rPr>
          <w:rFonts w:cs="Times New Roman"/>
        </w:rPr>
        <w:t>Analizējot apakšprogrammas 11.01.00 izdevumu dinamiku, secināms, ka, kopumā, apakšprogrammas finansējums nav piedzīvojis būtiskas svārstības. Izņēmums dinamikā ir 2019.</w:t>
      </w:r>
      <w:r w:rsidR="00DB061E">
        <w:rPr>
          <w:rFonts w:cs="Times New Roman"/>
        </w:rPr>
        <w:t xml:space="preserve"> </w:t>
      </w:r>
      <w:r>
        <w:rPr>
          <w:rFonts w:cs="Times New Roman"/>
        </w:rPr>
        <w:t>gads, kur apgūtais finansējums, salīdzinot ar 2018.</w:t>
      </w:r>
      <w:r w:rsidR="00DB061E">
        <w:rPr>
          <w:rFonts w:cs="Times New Roman"/>
        </w:rPr>
        <w:t xml:space="preserve"> </w:t>
      </w:r>
      <w:r>
        <w:rPr>
          <w:rFonts w:cs="Times New Roman"/>
        </w:rPr>
        <w:t xml:space="preserve">gadu, palielinājies par 3,8 milj. </w:t>
      </w:r>
      <w:r w:rsidRPr="00EE3293">
        <w:rPr>
          <w:rFonts w:cs="Times New Roman"/>
          <w:i/>
        </w:rPr>
        <w:t>euro</w:t>
      </w:r>
      <w:r>
        <w:rPr>
          <w:rFonts w:cs="Times New Roman"/>
        </w:rPr>
        <w:t xml:space="preserve">, sasniedzot 20,4 milj. </w:t>
      </w:r>
      <w:r w:rsidRPr="00EE3293">
        <w:rPr>
          <w:rFonts w:cs="Times New Roman"/>
          <w:i/>
        </w:rPr>
        <w:t>euro</w:t>
      </w:r>
      <w:r>
        <w:rPr>
          <w:rFonts w:cs="Times New Roman"/>
        </w:rPr>
        <w:t>. Izdevumu dinamikā redzams, ka ievērojamas neizpildes veidojušās pēdējo 2 gadu laikā, kur 2018.</w:t>
      </w:r>
      <w:r w:rsidR="00DB061E">
        <w:rPr>
          <w:rFonts w:cs="Times New Roman"/>
        </w:rPr>
        <w:t xml:space="preserve"> </w:t>
      </w:r>
      <w:r>
        <w:rPr>
          <w:rFonts w:cs="Times New Roman"/>
        </w:rPr>
        <w:t xml:space="preserve">gadā neapgūtais finansējums veidoja 2,4 milj. </w:t>
      </w:r>
      <w:r w:rsidRPr="00EE3293">
        <w:rPr>
          <w:rFonts w:cs="Times New Roman"/>
          <w:i/>
        </w:rPr>
        <w:t>euro</w:t>
      </w:r>
      <w:r>
        <w:rPr>
          <w:rFonts w:cs="Times New Roman"/>
        </w:rPr>
        <w:t>, savukārt 2019.</w:t>
      </w:r>
      <w:r w:rsidR="00DB061E">
        <w:rPr>
          <w:rFonts w:cs="Times New Roman"/>
        </w:rPr>
        <w:t xml:space="preserve"> </w:t>
      </w:r>
      <w:r>
        <w:rPr>
          <w:rFonts w:cs="Times New Roman"/>
        </w:rPr>
        <w:t xml:space="preserve">gadā – 1,3 </w:t>
      </w:r>
      <w:r w:rsidRPr="00EE3293">
        <w:rPr>
          <w:rFonts w:cs="Times New Roman"/>
          <w:i/>
        </w:rPr>
        <w:t>milj</w:t>
      </w:r>
      <w:r>
        <w:rPr>
          <w:rFonts w:cs="Times New Roman"/>
        </w:rPr>
        <w:t xml:space="preserve">. </w:t>
      </w:r>
      <w:r w:rsidRPr="00D923BD">
        <w:rPr>
          <w:rFonts w:cs="Times New Roman"/>
          <w:i/>
        </w:rPr>
        <w:t>euro</w:t>
      </w:r>
      <w:r>
        <w:rPr>
          <w:rFonts w:cs="Times New Roman"/>
        </w:rPr>
        <w:t xml:space="preserve"> jeb 5,8% no kopējā apa</w:t>
      </w:r>
      <w:r w:rsidR="004F7505">
        <w:rPr>
          <w:rFonts w:cs="Times New Roman"/>
        </w:rPr>
        <w:t>kšprogrammas budžeta.</w:t>
      </w:r>
    </w:p>
    <w:p w14:paraId="0EFBF4F7" w14:textId="040E287C" w:rsidR="00D923BD" w:rsidRDefault="00D923BD" w:rsidP="00D923BD">
      <w:pPr>
        <w:pStyle w:val="Caption"/>
      </w:pPr>
      <w:r>
        <w:t xml:space="preserve">Attēls Nr. </w:t>
      </w:r>
      <w:fldSimple w:instr=" SEQ Attēls_Nr. \* ARABIC ">
        <w:r w:rsidR="00D96F20">
          <w:rPr>
            <w:noProof/>
          </w:rPr>
          <w:t>66</w:t>
        </w:r>
      </w:fldSimple>
    </w:p>
    <w:p w14:paraId="72F1683E" w14:textId="77777777" w:rsidR="00D923BD" w:rsidRDefault="00D923BD" w:rsidP="00D923BD">
      <w:pPr>
        <w:jc w:val="center"/>
        <w:rPr>
          <w:rFonts w:cs="Times New Roman"/>
          <w:b/>
        </w:rPr>
      </w:pPr>
      <w:r w:rsidRPr="004D0C97">
        <w:rPr>
          <w:rFonts w:cs="Times New Roman"/>
          <w:b/>
        </w:rPr>
        <w:t>IeM apakšprogrammas 11.01.00 izmaiņas izdevumos, salīdzinot 2019.gadu izpildi ar 2018.gada izpildi</w:t>
      </w:r>
    </w:p>
    <w:tbl>
      <w:tblPr>
        <w:tblW w:w="8280" w:type="dxa"/>
        <w:jc w:val="center"/>
        <w:tblLook w:val="04A0" w:firstRow="1" w:lastRow="0" w:firstColumn="1" w:lastColumn="0" w:noHBand="0" w:noVBand="1"/>
      </w:tblPr>
      <w:tblGrid>
        <w:gridCol w:w="2860"/>
        <w:gridCol w:w="1640"/>
        <w:gridCol w:w="1780"/>
        <w:gridCol w:w="2000"/>
      </w:tblGrid>
      <w:tr w:rsidR="00D923BD" w:rsidRPr="00E6281D" w14:paraId="2E4FCACB" w14:textId="77777777" w:rsidTr="00242139">
        <w:trPr>
          <w:trHeight w:val="765"/>
          <w:tblHeader/>
          <w:jc w:val="center"/>
        </w:trPr>
        <w:tc>
          <w:tcPr>
            <w:tcW w:w="2860"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3238FB6D" w14:textId="7E814112" w:rsidR="00D923BD" w:rsidRPr="00E6281D" w:rsidRDefault="00D923BD" w:rsidP="00242139">
            <w:pPr>
              <w:spacing w:after="0" w:line="240" w:lineRule="auto"/>
              <w:jc w:val="center"/>
              <w:rPr>
                <w:rFonts w:eastAsia="Times New Roman" w:cs="Times New Roman"/>
                <w:b/>
                <w:bCs/>
                <w:color w:val="000000"/>
                <w:sz w:val="20"/>
                <w:szCs w:val="20"/>
                <w:lang w:eastAsia="lv-LV"/>
              </w:rPr>
            </w:pPr>
          </w:p>
        </w:tc>
        <w:tc>
          <w:tcPr>
            <w:tcW w:w="1640" w:type="dxa"/>
            <w:tcBorders>
              <w:top w:val="single" w:sz="4" w:space="0" w:color="auto"/>
              <w:left w:val="nil"/>
              <w:bottom w:val="single" w:sz="4" w:space="0" w:color="auto"/>
              <w:right w:val="single" w:sz="4" w:space="0" w:color="auto"/>
            </w:tcBorders>
            <w:shd w:val="clear" w:color="000000" w:fill="70AD47"/>
            <w:vAlign w:val="center"/>
            <w:hideMark/>
          </w:tcPr>
          <w:p w14:paraId="4F124376" w14:textId="77777777" w:rsidR="00D923BD" w:rsidRPr="00E6281D" w:rsidRDefault="00D923BD" w:rsidP="00242139">
            <w:pPr>
              <w:spacing w:after="0" w:line="240" w:lineRule="auto"/>
              <w:jc w:val="center"/>
              <w:rPr>
                <w:rFonts w:eastAsia="Times New Roman" w:cs="Times New Roman"/>
                <w:b/>
                <w:bCs/>
                <w:color w:val="000000"/>
                <w:sz w:val="20"/>
                <w:szCs w:val="20"/>
                <w:lang w:eastAsia="lv-LV"/>
              </w:rPr>
            </w:pPr>
            <w:r w:rsidRPr="00E6281D">
              <w:rPr>
                <w:rFonts w:eastAsia="Times New Roman" w:cs="Times New Roman"/>
                <w:b/>
                <w:bCs/>
                <w:color w:val="000000"/>
                <w:sz w:val="20"/>
                <w:szCs w:val="20"/>
                <w:lang w:eastAsia="lv-LV"/>
              </w:rPr>
              <w:t>izpilde, 2018.gads</w:t>
            </w:r>
            <w:r>
              <w:rPr>
                <w:rFonts w:eastAsia="Times New Roman" w:cs="Times New Roman"/>
                <w:b/>
                <w:bCs/>
                <w:color w:val="000000"/>
                <w:sz w:val="20"/>
                <w:szCs w:val="20"/>
                <w:lang w:eastAsia="lv-LV"/>
              </w:rPr>
              <w:t>,</w:t>
            </w:r>
            <w:r w:rsidRPr="00E6281D">
              <w:rPr>
                <w:rFonts w:eastAsia="Times New Roman" w:cs="Times New Roman"/>
                <w:b/>
                <w:bCs/>
                <w:color w:val="000000"/>
                <w:sz w:val="20"/>
                <w:szCs w:val="20"/>
                <w:lang w:eastAsia="lv-LV"/>
              </w:rPr>
              <w:t xml:space="preserve"> </w:t>
            </w:r>
            <w:r w:rsidRPr="00EE3293">
              <w:rPr>
                <w:rFonts w:eastAsia="Times New Roman" w:cs="Times New Roman"/>
                <w:b/>
                <w:bCs/>
                <w:i/>
                <w:color w:val="000000"/>
                <w:sz w:val="20"/>
                <w:szCs w:val="20"/>
                <w:lang w:eastAsia="lv-LV"/>
              </w:rPr>
              <w:t>euro</w:t>
            </w:r>
          </w:p>
        </w:tc>
        <w:tc>
          <w:tcPr>
            <w:tcW w:w="1780" w:type="dxa"/>
            <w:tcBorders>
              <w:top w:val="single" w:sz="4" w:space="0" w:color="auto"/>
              <w:left w:val="nil"/>
              <w:bottom w:val="single" w:sz="4" w:space="0" w:color="auto"/>
              <w:right w:val="single" w:sz="4" w:space="0" w:color="auto"/>
            </w:tcBorders>
            <w:shd w:val="clear" w:color="000000" w:fill="70AD47"/>
            <w:vAlign w:val="center"/>
            <w:hideMark/>
          </w:tcPr>
          <w:p w14:paraId="0AB2EEEC" w14:textId="77777777" w:rsidR="00D923BD" w:rsidRPr="00E6281D" w:rsidRDefault="00D923BD" w:rsidP="00242139">
            <w:pPr>
              <w:spacing w:after="0" w:line="240" w:lineRule="auto"/>
              <w:jc w:val="center"/>
              <w:rPr>
                <w:rFonts w:eastAsia="Times New Roman" w:cs="Times New Roman"/>
                <w:b/>
                <w:bCs/>
                <w:color w:val="000000"/>
                <w:sz w:val="20"/>
                <w:szCs w:val="20"/>
                <w:lang w:eastAsia="lv-LV"/>
              </w:rPr>
            </w:pPr>
            <w:r>
              <w:rPr>
                <w:rFonts w:eastAsia="Times New Roman" w:cs="Times New Roman"/>
                <w:b/>
                <w:bCs/>
                <w:color w:val="000000"/>
                <w:sz w:val="20"/>
                <w:szCs w:val="20"/>
                <w:lang w:eastAsia="lv-LV"/>
              </w:rPr>
              <w:t xml:space="preserve">izpilde, 2019.gads, </w:t>
            </w:r>
            <w:r w:rsidRPr="00EE3293">
              <w:rPr>
                <w:rFonts w:eastAsia="Times New Roman" w:cs="Times New Roman"/>
                <w:b/>
                <w:bCs/>
                <w:i/>
                <w:color w:val="000000"/>
                <w:sz w:val="20"/>
                <w:szCs w:val="20"/>
                <w:lang w:eastAsia="lv-LV"/>
              </w:rPr>
              <w:t>euro</w:t>
            </w:r>
          </w:p>
        </w:tc>
        <w:tc>
          <w:tcPr>
            <w:tcW w:w="2000" w:type="dxa"/>
            <w:tcBorders>
              <w:top w:val="single" w:sz="4" w:space="0" w:color="auto"/>
              <w:left w:val="nil"/>
              <w:bottom w:val="single" w:sz="4" w:space="0" w:color="auto"/>
              <w:right w:val="single" w:sz="4" w:space="0" w:color="auto"/>
            </w:tcBorders>
            <w:shd w:val="clear" w:color="000000" w:fill="70AD47"/>
            <w:vAlign w:val="center"/>
            <w:hideMark/>
          </w:tcPr>
          <w:p w14:paraId="0D847A2D" w14:textId="77777777" w:rsidR="00D923BD" w:rsidRPr="00E6281D" w:rsidRDefault="00D923BD" w:rsidP="00242139">
            <w:pPr>
              <w:spacing w:after="0" w:line="240" w:lineRule="auto"/>
              <w:jc w:val="center"/>
              <w:rPr>
                <w:rFonts w:eastAsia="Times New Roman" w:cs="Times New Roman"/>
                <w:b/>
                <w:bCs/>
                <w:color w:val="000000"/>
                <w:sz w:val="20"/>
                <w:szCs w:val="20"/>
                <w:lang w:eastAsia="lv-LV"/>
              </w:rPr>
            </w:pPr>
            <w:r w:rsidRPr="00E6281D">
              <w:rPr>
                <w:rFonts w:eastAsia="Times New Roman" w:cs="Times New Roman"/>
                <w:b/>
                <w:bCs/>
                <w:color w:val="000000"/>
                <w:sz w:val="20"/>
                <w:szCs w:val="20"/>
                <w:lang w:eastAsia="lv-LV"/>
              </w:rPr>
              <w:t>izmaiņas pret iepriekšējo gadu</w:t>
            </w:r>
            <w:r>
              <w:rPr>
                <w:rFonts w:eastAsia="Times New Roman" w:cs="Times New Roman"/>
                <w:b/>
                <w:bCs/>
                <w:color w:val="000000"/>
                <w:sz w:val="20"/>
                <w:szCs w:val="20"/>
                <w:lang w:eastAsia="lv-LV"/>
              </w:rPr>
              <w:t xml:space="preserve">, </w:t>
            </w:r>
            <w:r w:rsidRPr="00EE3293">
              <w:rPr>
                <w:rFonts w:eastAsia="Times New Roman" w:cs="Times New Roman"/>
                <w:b/>
                <w:bCs/>
                <w:i/>
                <w:color w:val="000000"/>
                <w:sz w:val="20"/>
                <w:szCs w:val="20"/>
                <w:lang w:eastAsia="lv-LV"/>
              </w:rPr>
              <w:t>euro</w:t>
            </w:r>
          </w:p>
        </w:tc>
      </w:tr>
      <w:tr w:rsidR="00D923BD" w:rsidRPr="00E6281D" w14:paraId="4A9381A5" w14:textId="77777777" w:rsidTr="007028EB">
        <w:trPr>
          <w:trHeight w:val="300"/>
          <w:jc w:val="center"/>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46239B4C" w14:textId="77777777" w:rsidR="00D923BD" w:rsidRPr="00E6281D" w:rsidRDefault="00D923BD" w:rsidP="007028EB">
            <w:pPr>
              <w:spacing w:after="0" w:line="240" w:lineRule="auto"/>
              <w:jc w:val="both"/>
              <w:rPr>
                <w:rFonts w:eastAsia="Times New Roman" w:cs="Times New Roman"/>
                <w:color w:val="000000"/>
                <w:sz w:val="20"/>
                <w:szCs w:val="20"/>
                <w:lang w:eastAsia="lv-LV"/>
              </w:rPr>
            </w:pPr>
            <w:r w:rsidRPr="00E6281D">
              <w:rPr>
                <w:rFonts w:eastAsia="Times New Roman" w:cs="Times New Roman"/>
                <w:color w:val="000000"/>
                <w:sz w:val="20"/>
                <w:szCs w:val="20"/>
                <w:lang w:eastAsia="lv-LV"/>
              </w:rPr>
              <w:t>1000 Atlīdzība</w:t>
            </w:r>
          </w:p>
        </w:tc>
        <w:tc>
          <w:tcPr>
            <w:tcW w:w="1640" w:type="dxa"/>
            <w:tcBorders>
              <w:top w:val="nil"/>
              <w:left w:val="nil"/>
              <w:bottom w:val="single" w:sz="4" w:space="0" w:color="auto"/>
              <w:right w:val="single" w:sz="4" w:space="0" w:color="auto"/>
            </w:tcBorders>
            <w:shd w:val="clear" w:color="auto" w:fill="auto"/>
            <w:noWrap/>
            <w:vAlign w:val="center"/>
            <w:hideMark/>
          </w:tcPr>
          <w:p w14:paraId="5F098C5F"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9 345 002</w:t>
            </w:r>
          </w:p>
        </w:tc>
        <w:tc>
          <w:tcPr>
            <w:tcW w:w="1780" w:type="dxa"/>
            <w:tcBorders>
              <w:top w:val="nil"/>
              <w:left w:val="nil"/>
              <w:bottom w:val="single" w:sz="4" w:space="0" w:color="auto"/>
              <w:right w:val="single" w:sz="4" w:space="0" w:color="auto"/>
            </w:tcBorders>
            <w:shd w:val="clear" w:color="auto" w:fill="auto"/>
            <w:noWrap/>
            <w:vAlign w:val="center"/>
            <w:hideMark/>
          </w:tcPr>
          <w:p w14:paraId="0C5B0995"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9 496 334</w:t>
            </w:r>
          </w:p>
        </w:tc>
        <w:tc>
          <w:tcPr>
            <w:tcW w:w="2000" w:type="dxa"/>
            <w:tcBorders>
              <w:top w:val="nil"/>
              <w:left w:val="nil"/>
              <w:bottom w:val="single" w:sz="4" w:space="0" w:color="auto"/>
              <w:right w:val="single" w:sz="4" w:space="0" w:color="auto"/>
            </w:tcBorders>
            <w:shd w:val="clear" w:color="auto" w:fill="auto"/>
            <w:noWrap/>
            <w:vAlign w:val="bottom"/>
            <w:hideMark/>
          </w:tcPr>
          <w:p w14:paraId="1B8B5047" w14:textId="77777777" w:rsidR="00D923BD" w:rsidRPr="00E6281D" w:rsidRDefault="00D923BD" w:rsidP="007028EB">
            <w:pPr>
              <w:spacing w:after="0" w:line="240" w:lineRule="auto"/>
              <w:rPr>
                <w:rFonts w:eastAsia="Times New Roman" w:cs="Times New Roman"/>
                <w:b/>
                <w:bCs/>
                <w:i/>
                <w:iCs/>
                <w:color w:val="70AD47"/>
                <w:sz w:val="20"/>
                <w:szCs w:val="20"/>
                <w:lang w:eastAsia="lv-LV"/>
              </w:rPr>
            </w:pPr>
            <w:r w:rsidRPr="00E6281D">
              <w:rPr>
                <w:rFonts w:eastAsia="Times New Roman" w:cs="Times New Roman"/>
                <w:b/>
                <w:bCs/>
                <w:i/>
                <w:iCs/>
                <w:color w:val="70AD47"/>
                <w:sz w:val="20"/>
                <w:szCs w:val="20"/>
                <w:lang w:eastAsia="lv-LV"/>
              </w:rPr>
              <w:t>151 332</w:t>
            </w:r>
          </w:p>
        </w:tc>
      </w:tr>
      <w:tr w:rsidR="00D923BD" w:rsidRPr="00E6281D" w14:paraId="6A2B3AF3" w14:textId="77777777" w:rsidTr="007028EB">
        <w:trPr>
          <w:trHeight w:val="300"/>
          <w:jc w:val="center"/>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17E16638" w14:textId="77777777" w:rsidR="00D923BD" w:rsidRPr="00E6281D" w:rsidRDefault="00D923BD" w:rsidP="007028EB">
            <w:pPr>
              <w:spacing w:after="0" w:line="240" w:lineRule="auto"/>
              <w:jc w:val="both"/>
              <w:rPr>
                <w:rFonts w:eastAsia="Times New Roman" w:cs="Times New Roman"/>
                <w:color w:val="000000"/>
                <w:sz w:val="20"/>
                <w:szCs w:val="20"/>
                <w:lang w:eastAsia="lv-LV"/>
              </w:rPr>
            </w:pPr>
            <w:r w:rsidRPr="00E6281D">
              <w:rPr>
                <w:rFonts w:eastAsia="Times New Roman" w:cs="Times New Roman"/>
                <w:color w:val="000000"/>
                <w:sz w:val="20"/>
                <w:szCs w:val="20"/>
                <w:lang w:eastAsia="lv-LV"/>
              </w:rPr>
              <w:t>2000 Preces un pakalpojumi</w:t>
            </w:r>
          </w:p>
        </w:tc>
        <w:tc>
          <w:tcPr>
            <w:tcW w:w="1640" w:type="dxa"/>
            <w:tcBorders>
              <w:top w:val="nil"/>
              <w:left w:val="nil"/>
              <w:bottom w:val="single" w:sz="4" w:space="0" w:color="auto"/>
              <w:right w:val="single" w:sz="4" w:space="0" w:color="auto"/>
            </w:tcBorders>
            <w:shd w:val="clear" w:color="auto" w:fill="auto"/>
            <w:noWrap/>
            <w:vAlign w:val="center"/>
            <w:hideMark/>
          </w:tcPr>
          <w:p w14:paraId="3D1B2C90"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6 359 919</w:t>
            </w:r>
          </w:p>
        </w:tc>
        <w:tc>
          <w:tcPr>
            <w:tcW w:w="1780" w:type="dxa"/>
            <w:tcBorders>
              <w:top w:val="nil"/>
              <w:left w:val="nil"/>
              <w:bottom w:val="single" w:sz="4" w:space="0" w:color="auto"/>
              <w:right w:val="single" w:sz="4" w:space="0" w:color="auto"/>
            </w:tcBorders>
            <w:shd w:val="clear" w:color="auto" w:fill="auto"/>
            <w:noWrap/>
            <w:vAlign w:val="center"/>
            <w:hideMark/>
          </w:tcPr>
          <w:p w14:paraId="56896F52"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7 801 462</w:t>
            </w:r>
          </w:p>
        </w:tc>
        <w:tc>
          <w:tcPr>
            <w:tcW w:w="2000" w:type="dxa"/>
            <w:tcBorders>
              <w:top w:val="nil"/>
              <w:left w:val="nil"/>
              <w:bottom w:val="single" w:sz="4" w:space="0" w:color="auto"/>
              <w:right w:val="single" w:sz="4" w:space="0" w:color="auto"/>
            </w:tcBorders>
            <w:shd w:val="clear" w:color="auto" w:fill="auto"/>
            <w:noWrap/>
            <w:vAlign w:val="bottom"/>
            <w:hideMark/>
          </w:tcPr>
          <w:p w14:paraId="718082EA" w14:textId="77777777" w:rsidR="00D923BD" w:rsidRPr="00E6281D" w:rsidRDefault="00D923BD" w:rsidP="007028EB">
            <w:pPr>
              <w:spacing w:after="0" w:line="240" w:lineRule="auto"/>
              <w:rPr>
                <w:rFonts w:eastAsia="Times New Roman" w:cs="Times New Roman"/>
                <w:b/>
                <w:bCs/>
                <w:i/>
                <w:iCs/>
                <w:color w:val="70AD47"/>
                <w:sz w:val="20"/>
                <w:szCs w:val="20"/>
                <w:lang w:eastAsia="lv-LV"/>
              </w:rPr>
            </w:pPr>
            <w:r w:rsidRPr="00E6281D">
              <w:rPr>
                <w:rFonts w:eastAsia="Times New Roman" w:cs="Times New Roman"/>
                <w:b/>
                <w:bCs/>
                <w:i/>
                <w:iCs/>
                <w:color w:val="70AD47"/>
                <w:sz w:val="20"/>
                <w:szCs w:val="20"/>
                <w:lang w:eastAsia="lv-LV"/>
              </w:rPr>
              <w:t>1 441 543</w:t>
            </w:r>
          </w:p>
        </w:tc>
      </w:tr>
      <w:tr w:rsidR="00D923BD" w:rsidRPr="00E6281D" w14:paraId="75F33609" w14:textId="77777777" w:rsidTr="007028EB">
        <w:trPr>
          <w:trHeight w:val="300"/>
          <w:jc w:val="center"/>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17816481" w14:textId="77777777" w:rsidR="00D923BD" w:rsidRPr="00E6281D" w:rsidRDefault="00D923BD" w:rsidP="007028EB">
            <w:pPr>
              <w:spacing w:after="0" w:line="240" w:lineRule="auto"/>
              <w:jc w:val="both"/>
              <w:rPr>
                <w:rFonts w:eastAsia="Times New Roman" w:cs="Times New Roman"/>
                <w:color w:val="000000"/>
                <w:sz w:val="20"/>
                <w:szCs w:val="20"/>
                <w:lang w:eastAsia="lv-LV"/>
              </w:rPr>
            </w:pPr>
            <w:r w:rsidRPr="00E6281D">
              <w:rPr>
                <w:rFonts w:eastAsia="Times New Roman" w:cs="Times New Roman"/>
                <w:color w:val="000000"/>
                <w:sz w:val="20"/>
                <w:szCs w:val="20"/>
                <w:lang w:eastAsia="lv-LV"/>
              </w:rPr>
              <w:t>3000 Subsīdijas un dotācijas</w:t>
            </w:r>
          </w:p>
        </w:tc>
        <w:tc>
          <w:tcPr>
            <w:tcW w:w="1640" w:type="dxa"/>
            <w:tcBorders>
              <w:top w:val="nil"/>
              <w:left w:val="nil"/>
              <w:bottom w:val="single" w:sz="4" w:space="0" w:color="auto"/>
              <w:right w:val="single" w:sz="4" w:space="0" w:color="auto"/>
            </w:tcBorders>
            <w:shd w:val="clear" w:color="auto" w:fill="auto"/>
            <w:noWrap/>
            <w:vAlign w:val="center"/>
            <w:hideMark/>
          </w:tcPr>
          <w:p w14:paraId="59F975BD"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0</w:t>
            </w:r>
          </w:p>
        </w:tc>
        <w:tc>
          <w:tcPr>
            <w:tcW w:w="1780" w:type="dxa"/>
            <w:tcBorders>
              <w:top w:val="nil"/>
              <w:left w:val="nil"/>
              <w:bottom w:val="single" w:sz="4" w:space="0" w:color="auto"/>
              <w:right w:val="single" w:sz="4" w:space="0" w:color="auto"/>
            </w:tcBorders>
            <w:shd w:val="clear" w:color="auto" w:fill="auto"/>
            <w:noWrap/>
            <w:vAlign w:val="center"/>
            <w:hideMark/>
          </w:tcPr>
          <w:p w14:paraId="5226BB6F"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2 248 653</w:t>
            </w:r>
          </w:p>
        </w:tc>
        <w:tc>
          <w:tcPr>
            <w:tcW w:w="2000" w:type="dxa"/>
            <w:tcBorders>
              <w:top w:val="nil"/>
              <w:left w:val="nil"/>
              <w:bottom w:val="single" w:sz="4" w:space="0" w:color="auto"/>
              <w:right w:val="single" w:sz="4" w:space="0" w:color="auto"/>
            </w:tcBorders>
            <w:shd w:val="clear" w:color="auto" w:fill="auto"/>
            <w:noWrap/>
            <w:vAlign w:val="bottom"/>
            <w:hideMark/>
          </w:tcPr>
          <w:p w14:paraId="32F1811E" w14:textId="77777777" w:rsidR="00D923BD" w:rsidRPr="00E6281D" w:rsidRDefault="00D923BD" w:rsidP="007028EB">
            <w:pPr>
              <w:spacing w:after="0" w:line="240" w:lineRule="auto"/>
              <w:rPr>
                <w:rFonts w:eastAsia="Times New Roman" w:cs="Times New Roman"/>
                <w:b/>
                <w:bCs/>
                <w:i/>
                <w:iCs/>
                <w:color w:val="70AD47"/>
                <w:sz w:val="20"/>
                <w:szCs w:val="20"/>
                <w:lang w:eastAsia="lv-LV"/>
              </w:rPr>
            </w:pPr>
            <w:r w:rsidRPr="00E6281D">
              <w:rPr>
                <w:rFonts w:eastAsia="Times New Roman" w:cs="Times New Roman"/>
                <w:b/>
                <w:bCs/>
                <w:i/>
                <w:iCs/>
                <w:color w:val="70AD47"/>
                <w:sz w:val="20"/>
                <w:szCs w:val="20"/>
                <w:lang w:eastAsia="lv-LV"/>
              </w:rPr>
              <w:t>2 248 653</w:t>
            </w:r>
          </w:p>
        </w:tc>
      </w:tr>
      <w:tr w:rsidR="00D923BD" w:rsidRPr="00E6281D" w14:paraId="56A34403" w14:textId="77777777" w:rsidTr="007028EB">
        <w:trPr>
          <w:trHeight w:val="300"/>
          <w:jc w:val="center"/>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0E6CE4D1" w14:textId="77777777" w:rsidR="00D923BD" w:rsidRPr="00E6281D" w:rsidRDefault="00D923BD" w:rsidP="007028EB">
            <w:pPr>
              <w:spacing w:after="0" w:line="240" w:lineRule="auto"/>
              <w:jc w:val="both"/>
              <w:rPr>
                <w:rFonts w:eastAsia="Times New Roman" w:cs="Times New Roman"/>
                <w:color w:val="000000"/>
                <w:sz w:val="20"/>
                <w:szCs w:val="20"/>
                <w:lang w:eastAsia="lv-LV"/>
              </w:rPr>
            </w:pPr>
            <w:r w:rsidRPr="00E6281D">
              <w:rPr>
                <w:rFonts w:eastAsia="Times New Roman" w:cs="Times New Roman"/>
                <w:color w:val="000000"/>
                <w:sz w:val="20"/>
                <w:szCs w:val="20"/>
                <w:lang w:eastAsia="lv-LV"/>
              </w:rPr>
              <w:t>5000 Pamatkapitāla veidošana</w:t>
            </w:r>
          </w:p>
        </w:tc>
        <w:tc>
          <w:tcPr>
            <w:tcW w:w="1640" w:type="dxa"/>
            <w:tcBorders>
              <w:top w:val="nil"/>
              <w:left w:val="nil"/>
              <w:bottom w:val="single" w:sz="4" w:space="0" w:color="auto"/>
              <w:right w:val="single" w:sz="4" w:space="0" w:color="auto"/>
            </w:tcBorders>
            <w:shd w:val="clear" w:color="auto" w:fill="auto"/>
            <w:noWrap/>
            <w:vAlign w:val="center"/>
            <w:hideMark/>
          </w:tcPr>
          <w:p w14:paraId="0292EEFC"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653 375</w:t>
            </w:r>
          </w:p>
        </w:tc>
        <w:tc>
          <w:tcPr>
            <w:tcW w:w="1780" w:type="dxa"/>
            <w:tcBorders>
              <w:top w:val="nil"/>
              <w:left w:val="nil"/>
              <w:bottom w:val="single" w:sz="4" w:space="0" w:color="auto"/>
              <w:right w:val="single" w:sz="4" w:space="0" w:color="auto"/>
            </w:tcBorders>
            <w:shd w:val="clear" w:color="auto" w:fill="auto"/>
            <w:noWrap/>
            <w:vAlign w:val="center"/>
            <w:hideMark/>
          </w:tcPr>
          <w:p w14:paraId="59E6F0D8"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632 619</w:t>
            </w:r>
          </w:p>
        </w:tc>
        <w:tc>
          <w:tcPr>
            <w:tcW w:w="2000" w:type="dxa"/>
            <w:tcBorders>
              <w:top w:val="nil"/>
              <w:left w:val="nil"/>
              <w:bottom w:val="single" w:sz="4" w:space="0" w:color="auto"/>
              <w:right w:val="single" w:sz="4" w:space="0" w:color="auto"/>
            </w:tcBorders>
            <w:shd w:val="clear" w:color="auto" w:fill="auto"/>
            <w:noWrap/>
            <w:vAlign w:val="bottom"/>
            <w:hideMark/>
          </w:tcPr>
          <w:p w14:paraId="0BB26A43" w14:textId="77777777" w:rsidR="00D923BD" w:rsidRPr="00E6281D" w:rsidRDefault="00D923BD" w:rsidP="007028EB">
            <w:pPr>
              <w:spacing w:after="0" w:line="240" w:lineRule="auto"/>
              <w:rPr>
                <w:rFonts w:eastAsia="Times New Roman" w:cs="Times New Roman"/>
                <w:b/>
                <w:bCs/>
                <w:i/>
                <w:iCs/>
                <w:color w:val="FF0000"/>
                <w:sz w:val="20"/>
                <w:szCs w:val="20"/>
                <w:lang w:eastAsia="lv-LV"/>
              </w:rPr>
            </w:pPr>
            <w:r w:rsidRPr="00E6281D">
              <w:rPr>
                <w:rFonts w:eastAsia="Times New Roman" w:cs="Times New Roman"/>
                <w:b/>
                <w:bCs/>
                <w:i/>
                <w:iCs/>
                <w:color w:val="FF0000"/>
                <w:sz w:val="20"/>
                <w:szCs w:val="20"/>
                <w:lang w:eastAsia="lv-LV"/>
              </w:rPr>
              <w:t>-20 756</w:t>
            </w:r>
          </w:p>
        </w:tc>
      </w:tr>
      <w:tr w:rsidR="00D923BD" w:rsidRPr="00E6281D" w14:paraId="3CC82841" w14:textId="77777777" w:rsidTr="007028EB">
        <w:trPr>
          <w:trHeight w:val="300"/>
          <w:jc w:val="center"/>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5074FF5B" w14:textId="77777777" w:rsidR="00D923BD" w:rsidRPr="00E6281D" w:rsidRDefault="00D923BD" w:rsidP="007028EB">
            <w:pPr>
              <w:spacing w:after="0" w:line="240" w:lineRule="auto"/>
              <w:jc w:val="both"/>
              <w:rPr>
                <w:rFonts w:eastAsia="Times New Roman" w:cs="Times New Roman"/>
                <w:color w:val="000000"/>
                <w:sz w:val="20"/>
                <w:szCs w:val="20"/>
                <w:lang w:eastAsia="lv-LV"/>
              </w:rPr>
            </w:pPr>
            <w:r w:rsidRPr="00E6281D">
              <w:rPr>
                <w:rFonts w:eastAsia="Times New Roman" w:cs="Times New Roman"/>
                <w:color w:val="000000"/>
                <w:sz w:val="20"/>
                <w:szCs w:val="20"/>
                <w:lang w:eastAsia="lv-LV"/>
              </w:rPr>
              <w:t>6000 Sociālie pabalsti</w:t>
            </w:r>
          </w:p>
        </w:tc>
        <w:tc>
          <w:tcPr>
            <w:tcW w:w="1640" w:type="dxa"/>
            <w:tcBorders>
              <w:top w:val="nil"/>
              <w:left w:val="nil"/>
              <w:bottom w:val="single" w:sz="4" w:space="0" w:color="auto"/>
              <w:right w:val="single" w:sz="4" w:space="0" w:color="auto"/>
            </w:tcBorders>
            <w:shd w:val="clear" w:color="auto" w:fill="auto"/>
            <w:noWrap/>
            <w:vAlign w:val="center"/>
            <w:hideMark/>
          </w:tcPr>
          <w:p w14:paraId="33751EDA"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193 196</w:t>
            </w:r>
          </w:p>
        </w:tc>
        <w:tc>
          <w:tcPr>
            <w:tcW w:w="1780" w:type="dxa"/>
            <w:tcBorders>
              <w:top w:val="nil"/>
              <w:left w:val="nil"/>
              <w:bottom w:val="single" w:sz="4" w:space="0" w:color="auto"/>
              <w:right w:val="single" w:sz="4" w:space="0" w:color="auto"/>
            </w:tcBorders>
            <w:shd w:val="clear" w:color="auto" w:fill="auto"/>
            <w:noWrap/>
            <w:vAlign w:val="center"/>
            <w:hideMark/>
          </w:tcPr>
          <w:p w14:paraId="2F2D4E0A"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180 160</w:t>
            </w:r>
          </w:p>
        </w:tc>
        <w:tc>
          <w:tcPr>
            <w:tcW w:w="2000" w:type="dxa"/>
            <w:tcBorders>
              <w:top w:val="nil"/>
              <w:left w:val="nil"/>
              <w:bottom w:val="single" w:sz="4" w:space="0" w:color="auto"/>
              <w:right w:val="single" w:sz="4" w:space="0" w:color="auto"/>
            </w:tcBorders>
            <w:shd w:val="clear" w:color="auto" w:fill="auto"/>
            <w:noWrap/>
            <w:vAlign w:val="bottom"/>
            <w:hideMark/>
          </w:tcPr>
          <w:p w14:paraId="78179BFD" w14:textId="77777777" w:rsidR="00D923BD" w:rsidRPr="00E6281D" w:rsidRDefault="00D923BD" w:rsidP="007028EB">
            <w:pPr>
              <w:spacing w:after="0" w:line="240" w:lineRule="auto"/>
              <w:rPr>
                <w:rFonts w:eastAsia="Times New Roman" w:cs="Times New Roman"/>
                <w:b/>
                <w:bCs/>
                <w:i/>
                <w:iCs/>
                <w:color w:val="FF0000"/>
                <w:sz w:val="20"/>
                <w:szCs w:val="20"/>
                <w:lang w:eastAsia="lv-LV"/>
              </w:rPr>
            </w:pPr>
            <w:r w:rsidRPr="00E6281D">
              <w:rPr>
                <w:rFonts w:eastAsia="Times New Roman" w:cs="Times New Roman"/>
                <w:b/>
                <w:bCs/>
                <w:i/>
                <w:iCs/>
                <w:color w:val="FF0000"/>
                <w:sz w:val="20"/>
                <w:szCs w:val="20"/>
                <w:lang w:eastAsia="lv-LV"/>
              </w:rPr>
              <w:t>-13 036</w:t>
            </w:r>
          </w:p>
        </w:tc>
      </w:tr>
      <w:tr w:rsidR="00D923BD" w:rsidRPr="00E6281D" w14:paraId="46C101A4" w14:textId="77777777" w:rsidTr="007028EB">
        <w:trPr>
          <w:trHeight w:val="510"/>
          <w:jc w:val="center"/>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65BD1C74" w14:textId="77777777" w:rsidR="00D923BD" w:rsidRPr="00E6281D" w:rsidRDefault="00D923BD" w:rsidP="007028EB">
            <w:pPr>
              <w:spacing w:after="0" w:line="240" w:lineRule="auto"/>
              <w:jc w:val="both"/>
              <w:rPr>
                <w:rFonts w:eastAsia="Times New Roman" w:cs="Times New Roman"/>
                <w:color w:val="000000"/>
                <w:sz w:val="20"/>
                <w:szCs w:val="20"/>
                <w:lang w:eastAsia="lv-LV"/>
              </w:rPr>
            </w:pPr>
            <w:r w:rsidRPr="00E6281D">
              <w:rPr>
                <w:rFonts w:eastAsia="Times New Roman" w:cs="Times New Roman"/>
                <w:color w:val="000000"/>
                <w:sz w:val="20"/>
                <w:szCs w:val="20"/>
                <w:lang w:eastAsia="lv-LV"/>
              </w:rPr>
              <w:t>7100 Valsts budžeta uzturēšanas izdevumu transferti</w:t>
            </w:r>
          </w:p>
        </w:tc>
        <w:tc>
          <w:tcPr>
            <w:tcW w:w="1640" w:type="dxa"/>
            <w:tcBorders>
              <w:top w:val="nil"/>
              <w:left w:val="nil"/>
              <w:bottom w:val="single" w:sz="4" w:space="0" w:color="auto"/>
              <w:right w:val="single" w:sz="4" w:space="0" w:color="auto"/>
            </w:tcBorders>
            <w:shd w:val="clear" w:color="auto" w:fill="auto"/>
            <w:noWrap/>
            <w:vAlign w:val="center"/>
            <w:hideMark/>
          </w:tcPr>
          <w:p w14:paraId="22F97BFD"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3 250</w:t>
            </w:r>
          </w:p>
        </w:tc>
        <w:tc>
          <w:tcPr>
            <w:tcW w:w="1780" w:type="dxa"/>
            <w:tcBorders>
              <w:top w:val="nil"/>
              <w:left w:val="nil"/>
              <w:bottom w:val="single" w:sz="4" w:space="0" w:color="auto"/>
              <w:right w:val="single" w:sz="4" w:space="0" w:color="auto"/>
            </w:tcBorders>
            <w:shd w:val="clear" w:color="auto" w:fill="auto"/>
            <w:noWrap/>
            <w:vAlign w:val="center"/>
            <w:hideMark/>
          </w:tcPr>
          <w:p w14:paraId="58165753"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125</w:t>
            </w:r>
          </w:p>
        </w:tc>
        <w:tc>
          <w:tcPr>
            <w:tcW w:w="2000" w:type="dxa"/>
            <w:tcBorders>
              <w:top w:val="nil"/>
              <w:left w:val="nil"/>
              <w:bottom w:val="single" w:sz="4" w:space="0" w:color="auto"/>
              <w:right w:val="single" w:sz="4" w:space="0" w:color="auto"/>
            </w:tcBorders>
            <w:shd w:val="clear" w:color="auto" w:fill="auto"/>
            <w:noWrap/>
            <w:vAlign w:val="bottom"/>
            <w:hideMark/>
          </w:tcPr>
          <w:p w14:paraId="6C20F0C1" w14:textId="77777777" w:rsidR="00D923BD" w:rsidRPr="00E6281D" w:rsidRDefault="00D923BD" w:rsidP="007028EB">
            <w:pPr>
              <w:spacing w:after="0" w:line="240" w:lineRule="auto"/>
              <w:rPr>
                <w:rFonts w:eastAsia="Times New Roman" w:cs="Times New Roman"/>
                <w:b/>
                <w:bCs/>
                <w:i/>
                <w:iCs/>
                <w:color w:val="FF0000"/>
                <w:sz w:val="20"/>
                <w:szCs w:val="20"/>
                <w:lang w:eastAsia="lv-LV"/>
              </w:rPr>
            </w:pPr>
            <w:r w:rsidRPr="00E6281D">
              <w:rPr>
                <w:rFonts w:eastAsia="Times New Roman" w:cs="Times New Roman"/>
                <w:b/>
                <w:bCs/>
                <w:i/>
                <w:iCs/>
                <w:color w:val="FF0000"/>
                <w:sz w:val="20"/>
                <w:szCs w:val="20"/>
                <w:lang w:eastAsia="lv-LV"/>
              </w:rPr>
              <w:t>-3 125</w:t>
            </w:r>
          </w:p>
        </w:tc>
      </w:tr>
      <w:tr w:rsidR="00D923BD" w:rsidRPr="00E6281D" w14:paraId="33F54874" w14:textId="77777777" w:rsidTr="007028EB">
        <w:trPr>
          <w:trHeight w:val="300"/>
          <w:jc w:val="center"/>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7568CF36" w14:textId="77777777" w:rsidR="00D923BD" w:rsidRPr="00E6281D" w:rsidRDefault="00D923BD" w:rsidP="007028EB">
            <w:pPr>
              <w:spacing w:after="0" w:line="240" w:lineRule="auto"/>
              <w:jc w:val="both"/>
              <w:rPr>
                <w:rFonts w:eastAsia="Times New Roman" w:cs="Times New Roman"/>
                <w:color w:val="000000"/>
                <w:sz w:val="20"/>
                <w:szCs w:val="20"/>
                <w:lang w:eastAsia="lv-LV"/>
              </w:rPr>
            </w:pPr>
            <w:r w:rsidRPr="00E6281D">
              <w:rPr>
                <w:rFonts w:eastAsia="Times New Roman" w:cs="Times New Roman"/>
                <w:color w:val="000000"/>
                <w:sz w:val="20"/>
                <w:szCs w:val="20"/>
                <w:lang w:eastAsia="lv-LV"/>
              </w:rPr>
              <w:t>7700 Starptautiskā sadarbība</w:t>
            </w:r>
          </w:p>
        </w:tc>
        <w:tc>
          <w:tcPr>
            <w:tcW w:w="1640" w:type="dxa"/>
            <w:tcBorders>
              <w:top w:val="nil"/>
              <w:left w:val="nil"/>
              <w:bottom w:val="single" w:sz="4" w:space="0" w:color="auto"/>
              <w:right w:val="single" w:sz="4" w:space="0" w:color="auto"/>
            </w:tcBorders>
            <w:shd w:val="clear" w:color="auto" w:fill="auto"/>
            <w:noWrap/>
            <w:vAlign w:val="center"/>
            <w:hideMark/>
          </w:tcPr>
          <w:p w14:paraId="50E23444"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44 831</w:t>
            </w:r>
          </w:p>
        </w:tc>
        <w:tc>
          <w:tcPr>
            <w:tcW w:w="1780" w:type="dxa"/>
            <w:tcBorders>
              <w:top w:val="nil"/>
              <w:left w:val="nil"/>
              <w:bottom w:val="single" w:sz="4" w:space="0" w:color="auto"/>
              <w:right w:val="single" w:sz="4" w:space="0" w:color="auto"/>
            </w:tcBorders>
            <w:shd w:val="clear" w:color="auto" w:fill="auto"/>
            <w:noWrap/>
            <w:vAlign w:val="center"/>
            <w:hideMark/>
          </w:tcPr>
          <w:p w14:paraId="10FBF30B" w14:textId="77777777" w:rsidR="00D923BD" w:rsidRPr="00E6281D" w:rsidRDefault="00D923BD" w:rsidP="007028EB">
            <w:pPr>
              <w:spacing w:after="0" w:line="240" w:lineRule="auto"/>
              <w:rPr>
                <w:rFonts w:eastAsia="Times New Roman" w:cs="Times New Roman"/>
                <w:color w:val="000000"/>
                <w:sz w:val="20"/>
                <w:szCs w:val="20"/>
                <w:lang w:eastAsia="lv-LV"/>
              </w:rPr>
            </w:pPr>
            <w:r w:rsidRPr="00E6281D">
              <w:rPr>
                <w:rFonts w:eastAsia="Times New Roman" w:cs="Times New Roman"/>
                <w:color w:val="000000"/>
                <w:sz w:val="20"/>
                <w:szCs w:val="20"/>
                <w:lang w:eastAsia="lv-LV"/>
              </w:rPr>
              <w:t>53 251</w:t>
            </w:r>
          </w:p>
        </w:tc>
        <w:tc>
          <w:tcPr>
            <w:tcW w:w="2000" w:type="dxa"/>
            <w:tcBorders>
              <w:top w:val="nil"/>
              <w:left w:val="nil"/>
              <w:bottom w:val="single" w:sz="4" w:space="0" w:color="auto"/>
              <w:right w:val="single" w:sz="4" w:space="0" w:color="auto"/>
            </w:tcBorders>
            <w:shd w:val="clear" w:color="auto" w:fill="auto"/>
            <w:noWrap/>
            <w:vAlign w:val="bottom"/>
            <w:hideMark/>
          </w:tcPr>
          <w:p w14:paraId="2CA79469" w14:textId="77777777" w:rsidR="00D923BD" w:rsidRPr="00E6281D" w:rsidRDefault="00D923BD" w:rsidP="007028EB">
            <w:pPr>
              <w:spacing w:after="0" w:line="240" w:lineRule="auto"/>
              <w:rPr>
                <w:rFonts w:eastAsia="Times New Roman" w:cs="Times New Roman"/>
                <w:b/>
                <w:bCs/>
                <w:i/>
                <w:iCs/>
                <w:color w:val="70AD47"/>
                <w:sz w:val="20"/>
                <w:szCs w:val="20"/>
                <w:lang w:eastAsia="lv-LV"/>
              </w:rPr>
            </w:pPr>
            <w:r w:rsidRPr="00E6281D">
              <w:rPr>
                <w:rFonts w:eastAsia="Times New Roman" w:cs="Times New Roman"/>
                <w:b/>
                <w:bCs/>
                <w:i/>
                <w:iCs/>
                <w:color w:val="70AD47"/>
                <w:sz w:val="20"/>
                <w:szCs w:val="20"/>
                <w:lang w:eastAsia="lv-LV"/>
              </w:rPr>
              <w:t>8 420</w:t>
            </w:r>
          </w:p>
        </w:tc>
      </w:tr>
      <w:tr w:rsidR="00D923BD" w:rsidRPr="00E6281D" w14:paraId="1D642B46" w14:textId="77777777" w:rsidTr="007028EB">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3E9487B" w14:textId="77777777" w:rsidR="00D923BD" w:rsidRPr="00E6281D" w:rsidRDefault="00D923BD" w:rsidP="007028EB">
            <w:pPr>
              <w:spacing w:after="0" w:line="240" w:lineRule="auto"/>
              <w:jc w:val="both"/>
              <w:rPr>
                <w:rFonts w:eastAsia="Times New Roman" w:cs="Times New Roman"/>
                <w:b/>
                <w:bCs/>
                <w:color w:val="000000"/>
                <w:sz w:val="20"/>
                <w:szCs w:val="20"/>
                <w:lang w:eastAsia="lv-LV"/>
              </w:rPr>
            </w:pPr>
            <w:r w:rsidRPr="00E6281D">
              <w:rPr>
                <w:rFonts w:eastAsia="Times New Roman" w:cs="Times New Roman"/>
                <w:b/>
                <w:bCs/>
                <w:color w:val="000000"/>
                <w:sz w:val="20"/>
                <w:szCs w:val="20"/>
                <w:lang w:eastAsia="lv-LV"/>
              </w:rPr>
              <w:t>Kopā</w:t>
            </w:r>
          </w:p>
        </w:tc>
        <w:tc>
          <w:tcPr>
            <w:tcW w:w="1640" w:type="dxa"/>
            <w:tcBorders>
              <w:top w:val="nil"/>
              <w:left w:val="nil"/>
              <w:bottom w:val="single" w:sz="4" w:space="0" w:color="auto"/>
              <w:right w:val="single" w:sz="4" w:space="0" w:color="auto"/>
            </w:tcBorders>
            <w:shd w:val="clear" w:color="auto" w:fill="auto"/>
            <w:noWrap/>
            <w:vAlign w:val="center"/>
            <w:hideMark/>
          </w:tcPr>
          <w:p w14:paraId="078E7552" w14:textId="77777777" w:rsidR="00D923BD" w:rsidRPr="00E6281D" w:rsidRDefault="00D923BD" w:rsidP="007028EB">
            <w:pPr>
              <w:spacing w:after="0" w:line="240" w:lineRule="auto"/>
              <w:rPr>
                <w:rFonts w:eastAsia="Times New Roman" w:cs="Times New Roman"/>
                <w:b/>
                <w:bCs/>
                <w:color w:val="000000"/>
                <w:sz w:val="20"/>
                <w:szCs w:val="20"/>
                <w:lang w:eastAsia="lv-LV"/>
              </w:rPr>
            </w:pPr>
            <w:r w:rsidRPr="00E6281D">
              <w:rPr>
                <w:rFonts w:eastAsia="Times New Roman" w:cs="Times New Roman"/>
                <w:b/>
                <w:bCs/>
                <w:color w:val="000000"/>
                <w:sz w:val="20"/>
                <w:szCs w:val="20"/>
                <w:lang w:eastAsia="lv-LV"/>
              </w:rPr>
              <w:t>16 599 573</w:t>
            </w:r>
          </w:p>
        </w:tc>
        <w:tc>
          <w:tcPr>
            <w:tcW w:w="1780" w:type="dxa"/>
            <w:tcBorders>
              <w:top w:val="nil"/>
              <w:left w:val="nil"/>
              <w:bottom w:val="single" w:sz="4" w:space="0" w:color="auto"/>
              <w:right w:val="single" w:sz="4" w:space="0" w:color="auto"/>
            </w:tcBorders>
            <w:shd w:val="clear" w:color="auto" w:fill="auto"/>
            <w:noWrap/>
            <w:vAlign w:val="center"/>
            <w:hideMark/>
          </w:tcPr>
          <w:p w14:paraId="7F378E12" w14:textId="77777777" w:rsidR="00D923BD" w:rsidRPr="00E6281D" w:rsidRDefault="00D923BD" w:rsidP="007028EB">
            <w:pPr>
              <w:spacing w:after="0" w:line="240" w:lineRule="auto"/>
              <w:rPr>
                <w:rFonts w:eastAsia="Times New Roman" w:cs="Times New Roman"/>
                <w:b/>
                <w:bCs/>
                <w:color w:val="000000"/>
                <w:sz w:val="20"/>
                <w:szCs w:val="20"/>
                <w:lang w:eastAsia="lv-LV"/>
              </w:rPr>
            </w:pPr>
            <w:r w:rsidRPr="00E6281D">
              <w:rPr>
                <w:rFonts w:eastAsia="Times New Roman" w:cs="Times New Roman"/>
                <w:b/>
                <w:bCs/>
                <w:color w:val="000000"/>
                <w:sz w:val="20"/>
                <w:szCs w:val="20"/>
                <w:lang w:eastAsia="lv-LV"/>
              </w:rPr>
              <w:t>20 412 605</w:t>
            </w:r>
          </w:p>
        </w:tc>
        <w:tc>
          <w:tcPr>
            <w:tcW w:w="2000" w:type="dxa"/>
            <w:tcBorders>
              <w:top w:val="nil"/>
              <w:left w:val="nil"/>
              <w:bottom w:val="single" w:sz="4" w:space="0" w:color="auto"/>
              <w:right w:val="single" w:sz="4" w:space="0" w:color="auto"/>
            </w:tcBorders>
            <w:shd w:val="clear" w:color="auto" w:fill="auto"/>
            <w:noWrap/>
            <w:vAlign w:val="bottom"/>
            <w:hideMark/>
          </w:tcPr>
          <w:p w14:paraId="11524D17" w14:textId="77777777" w:rsidR="00D923BD" w:rsidRPr="00E6281D" w:rsidRDefault="00D923BD" w:rsidP="007028EB">
            <w:pPr>
              <w:spacing w:after="0" w:line="240" w:lineRule="auto"/>
              <w:rPr>
                <w:rFonts w:eastAsia="Times New Roman" w:cs="Times New Roman"/>
                <w:b/>
                <w:bCs/>
                <w:i/>
                <w:iCs/>
                <w:color w:val="70AD47"/>
                <w:sz w:val="20"/>
                <w:szCs w:val="20"/>
                <w:lang w:eastAsia="lv-LV"/>
              </w:rPr>
            </w:pPr>
            <w:r w:rsidRPr="00E6281D">
              <w:rPr>
                <w:rFonts w:eastAsia="Times New Roman" w:cs="Times New Roman"/>
                <w:b/>
                <w:bCs/>
                <w:i/>
                <w:iCs/>
                <w:color w:val="70AD47"/>
                <w:sz w:val="20"/>
                <w:szCs w:val="20"/>
                <w:lang w:eastAsia="lv-LV"/>
              </w:rPr>
              <w:t>3 813 032</w:t>
            </w:r>
          </w:p>
        </w:tc>
      </w:tr>
    </w:tbl>
    <w:p w14:paraId="26DCCD96" w14:textId="77777777" w:rsidR="00D923BD" w:rsidRDefault="00D923BD" w:rsidP="00D923BD">
      <w:pPr>
        <w:jc w:val="center"/>
      </w:pPr>
    </w:p>
    <w:p w14:paraId="7FC7ACF5" w14:textId="43E89FD5" w:rsidR="00D923BD" w:rsidRPr="00D923BD" w:rsidRDefault="00D923BD" w:rsidP="00D923BD">
      <w:pPr>
        <w:ind w:firstLine="720"/>
        <w:jc w:val="both"/>
        <w:rPr>
          <w:rFonts w:cs="Times New Roman"/>
        </w:rPr>
      </w:pPr>
      <w:r>
        <w:rPr>
          <w:rFonts w:cs="Times New Roman"/>
        </w:rPr>
        <w:lastRenderedPageBreak/>
        <w:t>Salīdzinot 2019.</w:t>
      </w:r>
      <w:r w:rsidR="00DB061E">
        <w:rPr>
          <w:rFonts w:cs="Times New Roman"/>
        </w:rPr>
        <w:t xml:space="preserve"> </w:t>
      </w:r>
      <w:r>
        <w:rPr>
          <w:rFonts w:cs="Times New Roman"/>
        </w:rPr>
        <w:t>gada</w:t>
      </w:r>
      <w:r w:rsidRPr="00D923BD">
        <w:rPr>
          <w:rFonts w:cs="Times New Roman"/>
        </w:rPr>
        <w:t xml:space="preserve"> izmaiņas izdevumos ar 2018.</w:t>
      </w:r>
      <w:r w:rsidR="00DB061E">
        <w:rPr>
          <w:rFonts w:cs="Times New Roman"/>
        </w:rPr>
        <w:t xml:space="preserve"> </w:t>
      </w:r>
      <w:r w:rsidRPr="00D923BD">
        <w:rPr>
          <w:rFonts w:cs="Times New Roman"/>
        </w:rPr>
        <w:t>gada izpildi</w:t>
      </w:r>
      <w:r>
        <w:rPr>
          <w:rFonts w:cs="Times New Roman"/>
        </w:rPr>
        <w:t xml:space="preserve">, secināms, ka </w:t>
      </w:r>
      <w:r w:rsidRPr="00D923BD">
        <w:rPr>
          <w:rFonts w:cs="Times New Roman"/>
        </w:rPr>
        <w:t xml:space="preserve">būtiski pieauguši izdevumi subsīdijām un dotācijām – 2,2 milj. </w:t>
      </w:r>
      <w:r w:rsidRPr="00D923BD">
        <w:rPr>
          <w:rFonts w:cs="Times New Roman"/>
          <w:i/>
        </w:rPr>
        <w:t>euro</w:t>
      </w:r>
      <w:r w:rsidRPr="00D923BD">
        <w:rPr>
          <w:rFonts w:cs="Times New Roman"/>
        </w:rPr>
        <w:t xml:space="preserve"> 2019.</w:t>
      </w:r>
      <w:r w:rsidR="00DB061E">
        <w:rPr>
          <w:rFonts w:cs="Times New Roman"/>
        </w:rPr>
        <w:t xml:space="preserve"> </w:t>
      </w:r>
      <w:r w:rsidRPr="00D923BD">
        <w:rPr>
          <w:rFonts w:cs="Times New Roman"/>
        </w:rPr>
        <w:t>gadā, kur 2018.</w:t>
      </w:r>
      <w:r w:rsidR="00DB061E">
        <w:rPr>
          <w:rFonts w:cs="Times New Roman"/>
        </w:rPr>
        <w:t xml:space="preserve"> </w:t>
      </w:r>
      <w:r w:rsidRPr="00D923BD">
        <w:rPr>
          <w:rFonts w:cs="Times New Roman"/>
        </w:rPr>
        <w:t>gadā tam netika tērēts finansējums, kā arī precēm un pakalpojumiem, kur izdevumi 2019.</w:t>
      </w:r>
      <w:r w:rsidR="00DB061E">
        <w:rPr>
          <w:rFonts w:cs="Times New Roman"/>
        </w:rPr>
        <w:t xml:space="preserve"> </w:t>
      </w:r>
      <w:r w:rsidRPr="00D923BD">
        <w:rPr>
          <w:rFonts w:cs="Times New Roman"/>
        </w:rPr>
        <w:t xml:space="preserve">gadā palielinājušies par 1,4 milj. </w:t>
      </w:r>
      <w:r w:rsidRPr="00D923BD">
        <w:rPr>
          <w:rFonts w:cs="Times New Roman"/>
          <w:i/>
        </w:rPr>
        <w:t>euro</w:t>
      </w:r>
      <w:r w:rsidRPr="00D923BD">
        <w:rPr>
          <w:rFonts w:cs="Times New Roman"/>
        </w:rPr>
        <w:t>. Iepriekšminētais finansējuma palielinājums, skaidrojams ar E</w:t>
      </w:r>
      <w:r w:rsidR="00B74030">
        <w:rPr>
          <w:rFonts w:cs="Times New Roman"/>
        </w:rPr>
        <w:t>iropas parlamenta</w:t>
      </w:r>
      <w:r w:rsidRPr="00D923BD">
        <w:rPr>
          <w:rFonts w:cs="Times New Roman"/>
        </w:rPr>
        <w:t xml:space="preserve"> vēlēšanu norises nodrošināšanu</w:t>
      </w:r>
      <w:r w:rsidR="00B74030">
        <w:rPr>
          <w:rFonts w:cs="Times New Roman"/>
        </w:rPr>
        <w:t xml:space="preserve">, </w:t>
      </w:r>
      <w:r w:rsidR="00B74030" w:rsidRPr="00B74030">
        <w:rPr>
          <w:rFonts w:cs="Times New Roman"/>
        </w:rPr>
        <w:t xml:space="preserve">veikto maksājumu Latvijas valsts radio un televīzijas centram VAS-eParaksts eID kartē, kā arī 2019.gadā no budžeta resora “74.Gadskārtējā valsts budžeta izpildes procesā pārdalāmais finansējums” budžeta programmas 01.00.00 “Apropriācijas rezerve” piešķirto finansējumu 2 259 898 </w:t>
      </w:r>
      <w:r w:rsidR="00B74030" w:rsidRPr="00B74030">
        <w:rPr>
          <w:rFonts w:cs="Times New Roman"/>
          <w:i/>
        </w:rPr>
        <w:t>euro</w:t>
      </w:r>
      <w:r w:rsidR="00B74030" w:rsidRPr="00B74030">
        <w:rPr>
          <w:rFonts w:cs="Times New Roman"/>
        </w:rPr>
        <w:t xml:space="preserve"> apmērā, lai ilgtermiņa saistību pasākuma “Eiropas Savienības prasībām atbilstošu pasu, elektronisko identifikācijas karšu un uzturēšanās atļauju izsniegšanu” ietvaros veiktu gala maksājumu par personas apliecību sagatavju (eID karšu) un pasu sagatavju piegādi.</w:t>
      </w:r>
    </w:p>
    <w:p w14:paraId="2A433F6C" w14:textId="533A6521" w:rsidR="00D923BD" w:rsidRDefault="00D923BD" w:rsidP="00D923BD">
      <w:pPr>
        <w:pStyle w:val="Caption"/>
      </w:pPr>
      <w:bookmarkStart w:id="163" w:name="_Ref47340678"/>
      <w:r>
        <w:t xml:space="preserve">Attēls Nr. </w:t>
      </w:r>
      <w:fldSimple w:instr=" SEQ Attēls_Nr. \* ARABIC ">
        <w:r w:rsidR="00D96F20">
          <w:rPr>
            <w:noProof/>
          </w:rPr>
          <w:t>67</w:t>
        </w:r>
      </w:fldSimple>
      <w:bookmarkEnd w:id="163"/>
    </w:p>
    <w:p w14:paraId="70E4D4FE" w14:textId="07EC2A99" w:rsidR="00D923BD" w:rsidRDefault="00D923BD" w:rsidP="00242139">
      <w:pPr>
        <w:jc w:val="center"/>
        <w:rPr>
          <w:rFonts w:cs="Times New Roman"/>
        </w:rPr>
      </w:pPr>
      <w:r>
        <w:rPr>
          <w:rFonts w:cs="Times New Roman"/>
          <w:b/>
        </w:rPr>
        <w:t xml:space="preserve">IeM apakšprogrammas </w:t>
      </w:r>
      <w:r w:rsidRPr="00D923BD">
        <w:rPr>
          <w:rFonts w:cs="Times New Roman"/>
          <w:b/>
        </w:rPr>
        <w:t>11.01.00 Pilsonības un migrācijas lietu pārvalde</w:t>
      </w:r>
      <w:r w:rsidRPr="00256245">
        <w:rPr>
          <w:rFonts w:cs="Times New Roman"/>
          <w:b/>
          <w:i/>
        </w:rPr>
        <w:t xml:space="preserve"> </w:t>
      </w:r>
      <w:r w:rsidRPr="003C18E8">
        <w:rPr>
          <w:rFonts w:cs="Times New Roman"/>
          <w:b/>
        </w:rPr>
        <w:t>izdevumu sadalījums 2019.</w:t>
      </w:r>
      <w:r w:rsidR="00DB061E">
        <w:rPr>
          <w:rFonts w:cs="Times New Roman"/>
          <w:b/>
        </w:rPr>
        <w:t xml:space="preserve"> </w:t>
      </w:r>
      <w:r w:rsidRPr="003C18E8">
        <w:rPr>
          <w:rFonts w:cs="Times New Roman"/>
          <w:b/>
        </w:rPr>
        <w:t xml:space="preserve">gadā pēc EKK </w:t>
      </w:r>
      <w:r w:rsidRPr="003C18E8">
        <w:rPr>
          <w:rFonts w:cs="Times New Roman"/>
        </w:rPr>
        <w:t xml:space="preserve">(milj. </w:t>
      </w:r>
      <w:r w:rsidRPr="007671EE">
        <w:rPr>
          <w:rFonts w:cs="Times New Roman"/>
          <w:i/>
        </w:rPr>
        <w:t>euro</w:t>
      </w:r>
      <w:r w:rsidRPr="003C18E8">
        <w:rPr>
          <w:rFonts w:cs="Times New Roman"/>
        </w:rPr>
        <w:t>)</w:t>
      </w:r>
    </w:p>
    <w:tbl>
      <w:tblPr>
        <w:tblW w:w="9067" w:type="dxa"/>
        <w:jc w:val="center"/>
        <w:tblLook w:val="04A0" w:firstRow="1" w:lastRow="0" w:firstColumn="1" w:lastColumn="0" w:noHBand="0" w:noVBand="1"/>
      </w:tblPr>
      <w:tblGrid>
        <w:gridCol w:w="1696"/>
        <w:gridCol w:w="1306"/>
        <w:gridCol w:w="1138"/>
        <w:gridCol w:w="1242"/>
        <w:gridCol w:w="1417"/>
        <w:gridCol w:w="1066"/>
        <w:gridCol w:w="1202"/>
      </w:tblGrid>
      <w:tr w:rsidR="00D923BD" w:rsidRPr="00D923BD" w14:paraId="1B334B1B" w14:textId="77777777" w:rsidTr="00D923BD">
        <w:trPr>
          <w:trHeight w:val="759"/>
          <w:jc w:val="center"/>
        </w:trPr>
        <w:tc>
          <w:tcPr>
            <w:tcW w:w="169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5CC0E69"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 </w:t>
            </w:r>
          </w:p>
        </w:tc>
        <w:tc>
          <w:tcPr>
            <w:tcW w:w="1306" w:type="dxa"/>
            <w:tcBorders>
              <w:top w:val="single" w:sz="4" w:space="0" w:color="auto"/>
              <w:left w:val="nil"/>
              <w:bottom w:val="single" w:sz="4" w:space="0" w:color="auto"/>
              <w:right w:val="single" w:sz="4" w:space="0" w:color="auto"/>
            </w:tcBorders>
            <w:shd w:val="clear" w:color="000000" w:fill="70AD47"/>
            <w:vAlign w:val="center"/>
            <w:hideMark/>
          </w:tcPr>
          <w:p w14:paraId="5051889E"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 xml:space="preserve">Izsludinātais plāns, </w:t>
            </w:r>
            <w:r w:rsidRPr="00D923BD">
              <w:rPr>
                <w:rFonts w:eastAsia="Times New Roman" w:cs="Times New Roman"/>
                <w:b/>
                <w:bCs/>
                <w:i/>
                <w:color w:val="000000"/>
                <w:sz w:val="20"/>
                <w:szCs w:val="20"/>
                <w:lang w:eastAsia="lv-LV"/>
              </w:rPr>
              <w:t>euro</w:t>
            </w:r>
          </w:p>
        </w:tc>
        <w:tc>
          <w:tcPr>
            <w:tcW w:w="1138" w:type="dxa"/>
            <w:tcBorders>
              <w:top w:val="single" w:sz="4" w:space="0" w:color="auto"/>
              <w:left w:val="nil"/>
              <w:bottom w:val="single" w:sz="4" w:space="0" w:color="auto"/>
              <w:right w:val="single" w:sz="4" w:space="0" w:color="auto"/>
            </w:tcBorders>
            <w:shd w:val="clear" w:color="000000" w:fill="70AD47"/>
            <w:vAlign w:val="center"/>
            <w:hideMark/>
          </w:tcPr>
          <w:p w14:paraId="62F2F142"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 xml:space="preserve">Precizētais plāns, </w:t>
            </w:r>
            <w:r w:rsidRPr="00D923BD">
              <w:rPr>
                <w:rFonts w:eastAsia="Times New Roman" w:cs="Times New Roman"/>
                <w:b/>
                <w:bCs/>
                <w:i/>
                <w:color w:val="000000"/>
                <w:sz w:val="20"/>
                <w:szCs w:val="20"/>
                <w:lang w:eastAsia="lv-LV"/>
              </w:rPr>
              <w:t>euro</w:t>
            </w:r>
          </w:p>
        </w:tc>
        <w:tc>
          <w:tcPr>
            <w:tcW w:w="1242" w:type="dxa"/>
            <w:tcBorders>
              <w:top w:val="single" w:sz="4" w:space="0" w:color="auto"/>
              <w:left w:val="nil"/>
              <w:bottom w:val="single" w:sz="4" w:space="0" w:color="auto"/>
              <w:right w:val="single" w:sz="4" w:space="0" w:color="auto"/>
            </w:tcBorders>
            <w:shd w:val="clear" w:color="000000" w:fill="70AD47"/>
            <w:vAlign w:val="center"/>
            <w:hideMark/>
          </w:tcPr>
          <w:p w14:paraId="1D1E6558"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 xml:space="preserve">Izpilde, </w:t>
            </w:r>
            <w:r w:rsidRPr="00D923BD">
              <w:rPr>
                <w:rFonts w:eastAsia="Times New Roman" w:cs="Times New Roman"/>
                <w:b/>
                <w:bCs/>
                <w:i/>
                <w:color w:val="000000"/>
                <w:sz w:val="20"/>
                <w:szCs w:val="20"/>
                <w:lang w:eastAsia="lv-LV"/>
              </w:rPr>
              <w:t>euro</w:t>
            </w:r>
          </w:p>
        </w:tc>
        <w:tc>
          <w:tcPr>
            <w:tcW w:w="1417" w:type="dxa"/>
            <w:tcBorders>
              <w:top w:val="single" w:sz="4" w:space="0" w:color="auto"/>
              <w:left w:val="nil"/>
              <w:bottom w:val="single" w:sz="4" w:space="0" w:color="auto"/>
              <w:right w:val="single" w:sz="4" w:space="0" w:color="auto"/>
            </w:tcBorders>
            <w:shd w:val="clear" w:color="000000" w:fill="70AD47"/>
            <w:vAlign w:val="center"/>
            <w:hideMark/>
          </w:tcPr>
          <w:p w14:paraId="322297D1"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Novirze izsludinātais-precizētais, %</w:t>
            </w:r>
          </w:p>
        </w:tc>
        <w:tc>
          <w:tcPr>
            <w:tcW w:w="1066" w:type="dxa"/>
            <w:tcBorders>
              <w:top w:val="single" w:sz="4" w:space="0" w:color="auto"/>
              <w:left w:val="nil"/>
              <w:bottom w:val="single" w:sz="4" w:space="0" w:color="auto"/>
              <w:right w:val="single" w:sz="4" w:space="0" w:color="auto"/>
            </w:tcBorders>
            <w:shd w:val="clear" w:color="000000" w:fill="70AD47"/>
            <w:vAlign w:val="center"/>
            <w:hideMark/>
          </w:tcPr>
          <w:p w14:paraId="74270543"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 xml:space="preserve">Neizpilde, </w:t>
            </w:r>
            <w:r w:rsidRPr="00D923BD">
              <w:rPr>
                <w:rFonts w:eastAsia="Times New Roman" w:cs="Times New Roman"/>
                <w:b/>
                <w:bCs/>
                <w:i/>
                <w:color w:val="000000"/>
                <w:sz w:val="20"/>
                <w:szCs w:val="20"/>
                <w:lang w:eastAsia="lv-LV"/>
              </w:rPr>
              <w:t>euro</w:t>
            </w:r>
          </w:p>
        </w:tc>
        <w:tc>
          <w:tcPr>
            <w:tcW w:w="1202" w:type="dxa"/>
            <w:tcBorders>
              <w:top w:val="single" w:sz="4" w:space="0" w:color="auto"/>
              <w:left w:val="nil"/>
              <w:bottom w:val="single" w:sz="4" w:space="0" w:color="auto"/>
              <w:right w:val="single" w:sz="4" w:space="0" w:color="auto"/>
            </w:tcBorders>
            <w:shd w:val="clear" w:color="000000" w:fill="70AD47"/>
            <w:vAlign w:val="center"/>
            <w:hideMark/>
          </w:tcPr>
          <w:p w14:paraId="1801E177"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Novirze precizētais-izpilde, %</w:t>
            </w:r>
          </w:p>
        </w:tc>
      </w:tr>
      <w:tr w:rsidR="00D923BD" w:rsidRPr="00D923BD" w14:paraId="4D27F4B3" w14:textId="77777777" w:rsidTr="00D923BD">
        <w:trPr>
          <w:trHeight w:val="223"/>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19D4F91E"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1000 Atlīdzība</w:t>
            </w:r>
          </w:p>
        </w:tc>
        <w:tc>
          <w:tcPr>
            <w:tcW w:w="1306" w:type="dxa"/>
            <w:tcBorders>
              <w:top w:val="nil"/>
              <w:left w:val="nil"/>
              <w:bottom w:val="single" w:sz="4" w:space="0" w:color="auto"/>
              <w:right w:val="single" w:sz="4" w:space="0" w:color="auto"/>
            </w:tcBorders>
            <w:shd w:val="clear" w:color="auto" w:fill="auto"/>
            <w:noWrap/>
            <w:vAlign w:val="center"/>
            <w:hideMark/>
          </w:tcPr>
          <w:p w14:paraId="1A65B11E"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9 497 110</w:t>
            </w:r>
          </w:p>
        </w:tc>
        <w:tc>
          <w:tcPr>
            <w:tcW w:w="1138" w:type="dxa"/>
            <w:tcBorders>
              <w:top w:val="nil"/>
              <w:left w:val="nil"/>
              <w:bottom w:val="single" w:sz="4" w:space="0" w:color="auto"/>
              <w:right w:val="single" w:sz="4" w:space="0" w:color="auto"/>
            </w:tcBorders>
            <w:shd w:val="clear" w:color="auto" w:fill="auto"/>
            <w:noWrap/>
            <w:vAlign w:val="center"/>
            <w:hideMark/>
          </w:tcPr>
          <w:p w14:paraId="4A488EBC"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9 496 334</w:t>
            </w:r>
          </w:p>
        </w:tc>
        <w:tc>
          <w:tcPr>
            <w:tcW w:w="1242" w:type="dxa"/>
            <w:tcBorders>
              <w:top w:val="nil"/>
              <w:left w:val="nil"/>
              <w:bottom w:val="single" w:sz="4" w:space="0" w:color="auto"/>
              <w:right w:val="single" w:sz="4" w:space="0" w:color="auto"/>
            </w:tcBorders>
            <w:shd w:val="clear" w:color="auto" w:fill="auto"/>
            <w:noWrap/>
            <w:vAlign w:val="center"/>
            <w:hideMark/>
          </w:tcPr>
          <w:p w14:paraId="5C989D09"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9 496 334</w:t>
            </w:r>
          </w:p>
        </w:tc>
        <w:tc>
          <w:tcPr>
            <w:tcW w:w="1417" w:type="dxa"/>
            <w:tcBorders>
              <w:top w:val="nil"/>
              <w:left w:val="nil"/>
              <w:bottom w:val="single" w:sz="4" w:space="0" w:color="auto"/>
              <w:right w:val="single" w:sz="4" w:space="0" w:color="auto"/>
            </w:tcBorders>
            <w:shd w:val="clear" w:color="auto" w:fill="auto"/>
            <w:noWrap/>
            <w:vAlign w:val="center"/>
            <w:hideMark/>
          </w:tcPr>
          <w:p w14:paraId="65CD3AD5"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0.0%</w:t>
            </w:r>
          </w:p>
        </w:tc>
        <w:tc>
          <w:tcPr>
            <w:tcW w:w="1066" w:type="dxa"/>
            <w:tcBorders>
              <w:top w:val="nil"/>
              <w:left w:val="nil"/>
              <w:bottom w:val="single" w:sz="4" w:space="0" w:color="auto"/>
              <w:right w:val="single" w:sz="4" w:space="0" w:color="auto"/>
            </w:tcBorders>
            <w:shd w:val="clear" w:color="auto" w:fill="auto"/>
            <w:noWrap/>
            <w:vAlign w:val="center"/>
            <w:hideMark/>
          </w:tcPr>
          <w:p w14:paraId="0D56F20C" w14:textId="77777777" w:rsidR="00D923BD" w:rsidRPr="00D923BD" w:rsidRDefault="00D923BD" w:rsidP="00D923BD">
            <w:pPr>
              <w:spacing w:after="0" w:line="240" w:lineRule="auto"/>
              <w:jc w:val="both"/>
              <w:rPr>
                <w:rFonts w:eastAsia="Times New Roman" w:cs="Times New Roman"/>
                <w:sz w:val="20"/>
                <w:szCs w:val="20"/>
                <w:lang w:eastAsia="lv-LV"/>
              </w:rPr>
            </w:pPr>
            <w:r w:rsidRPr="00D923BD">
              <w:rPr>
                <w:rFonts w:eastAsia="Times New Roman" w:cs="Times New Roman"/>
                <w:sz w:val="20"/>
                <w:szCs w:val="20"/>
                <w:lang w:eastAsia="lv-LV"/>
              </w:rPr>
              <w:t>0</w:t>
            </w:r>
          </w:p>
        </w:tc>
        <w:tc>
          <w:tcPr>
            <w:tcW w:w="1202" w:type="dxa"/>
            <w:tcBorders>
              <w:top w:val="nil"/>
              <w:left w:val="nil"/>
              <w:bottom w:val="single" w:sz="4" w:space="0" w:color="auto"/>
              <w:right w:val="single" w:sz="4" w:space="0" w:color="auto"/>
            </w:tcBorders>
            <w:shd w:val="clear" w:color="auto" w:fill="auto"/>
            <w:noWrap/>
            <w:vAlign w:val="center"/>
            <w:hideMark/>
          </w:tcPr>
          <w:p w14:paraId="5B9062B7"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0.0%</w:t>
            </w:r>
          </w:p>
        </w:tc>
      </w:tr>
      <w:tr w:rsidR="00D923BD" w:rsidRPr="00D923BD" w14:paraId="669A3101" w14:textId="77777777" w:rsidTr="00D923BD">
        <w:trPr>
          <w:trHeight w:val="223"/>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10E3584A"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2000 Preces un pakalpojumi</w:t>
            </w:r>
          </w:p>
        </w:tc>
        <w:tc>
          <w:tcPr>
            <w:tcW w:w="1306" w:type="dxa"/>
            <w:tcBorders>
              <w:top w:val="nil"/>
              <w:left w:val="nil"/>
              <w:bottom w:val="single" w:sz="4" w:space="0" w:color="auto"/>
              <w:right w:val="single" w:sz="4" w:space="0" w:color="auto"/>
            </w:tcBorders>
            <w:shd w:val="clear" w:color="auto" w:fill="auto"/>
            <w:noWrap/>
            <w:vAlign w:val="center"/>
            <w:hideMark/>
          </w:tcPr>
          <w:p w14:paraId="7CBEB983"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6 889 267</w:t>
            </w:r>
          </w:p>
        </w:tc>
        <w:tc>
          <w:tcPr>
            <w:tcW w:w="1138" w:type="dxa"/>
            <w:tcBorders>
              <w:top w:val="nil"/>
              <w:left w:val="nil"/>
              <w:bottom w:val="single" w:sz="4" w:space="0" w:color="auto"/>
              <w:right w:val="single" w:sz="4" w:space="0" w:color="auto"/>
            </w:tcBorders>
            <w:shd w:val="clear" w:color="auto" w:fill="auto"/>
            <w:noWrap/>
            <w:vAlign w:val="center"/>
            <w:hideMark/>
          </w:tcPr>
          <w:p w14:paraId="3BDFE45B"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9 021 613</w:t>
            </w:r>
          </w:p>
        </w:tc>
        <w:tc>
          <w:tcPr>
            <w:tcW w:w="1242" w:type="dxa"/>
            <w:tcBorders>
              <w:top w:val="nil"/>
              <w:left w:val="nil"/>
              <w:bottom w:val="single" w:sz="4" w:space="0" w:color="auto"/>
              <w:right w:val="single" w:sz="4" w:space="0" w:color="auto"/>
            </w:tcBorders>
            <w:shd w:val="clear" w:color="auto" w:fill="auto"/>
            <w:noWrap/>
            <w:vAlign w:val="center"/>
            <w:hideMark/>
          </w:tcPr>
          <w:p w14:paraId="17484403"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7 801 462</w:t>
            </w:r>
          </w:p>
        </w:tc>
        <w:tc>
          <w:tcPr>
            <w:tcW w:w="1417" w:type="dxa"/>
            <w:tcBorders>
              <w:top w:val="nil"/>
              <w:left w:val="nil"/>
              <w:bottom w:val="single" w:sz="4" w:space="0" w:color="auto"/>
              <w:right w:val="single" w:sz="4" w:space="0" w:color="auto"/>
            </w:tcBorders>
            <w:shd w:val="clear" w:color="auto" w:fill="auto"/>
            <w:noWrap/>
            <w:vAlign w:val="center"/>
            <w:hideMark/>
          </w:tcPr>
          <w:p w14:paraId="4A65EF78"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31.0%</w:t>
            </w:r>
          </w:p>
        </w:tc>
        <w:tc>
          <w:tcPr>
            <w:tcW w:w="1066" w:type="dxa"/>
            <w:tcBorders>
              <w:top w:val="nil"/>
              <w:left w:val="nil"/>
              <w:bottom w:val="single" w:sz="4" w:space="0" w:color="auto"/>
              <w:right w:val="single" w:sz="4" w:space="0" w:color="auto"/>
            </w:tcBorders>
            <w:shd w:val="clear" w:color="auto" w:fill="auto"/>
            <w:noWrap/>
            <w:vAlign w:val="center"/>
            <w:hideMark/>
          </w:tcPr>
          <w:p w14:paraId="43A0BA44" w14:textId="77777777" w:rsidR="00D923BD" w:rsidRPr="00D923BD" w:rsidRDefault="00D923BD" w:rsidP="00D923BD">
            <w:pPr>
              <w:spacing w:after="0" w:line="240" w:lineRule="auto"/>
              <w:jc w:val="both"/>
              <w:rPr>
                <w:rFonts w:eastAsia="Times New Roman" w:cs="Times New Roman"/>
                <w:color w:val="FF0000"/>
                <w:sz w:val="20"/>
                <w:szCs w:val="20"/>
                <w:lang w:eastAsia="lv-LV"/>
              </w:rPr>
            </w:pPr>
            <w:r w:rsidRPr="00D923BD">
              <w:rPr>
                <w:rFonts w:eastAsia="Times New Roman" w:cs="Times New Roman"/>
                <w:color w:val="FF0000"/>
                <w:sz w:val="20"/>
                <w:szCs w:val="20"/>
                <w:lang w:eastAsia="lv-LV"/>
              </w:rPr>
              <w:t>1 220 151</w:t>
            </w:r>
          </w:p>
        </w:tc>
        <w:tc>
          <w:tcPr>
            <w:tcW w:w="1202" w:type="dxa"/>
            <w:tcBorders>
              <w:top w:val="nil"/>
              <w:left w:val="nil"/>
              <w:bottom w:val="single" w:sz="4" w:space="0" w:color="auto"/>
              <w:right w:val="single" w:sz="4" w:space="0" w:color="auto"/>
            </w:tcBorders>
            <w:shd w:val="clear" w:color="auto" w:fill="auto"/>
            <w:noWrap/>
            <w:vAlign w:val="center"/>
            <w:hideMark/>
          </w:tcPr>
          <w:p w14:paraId="08169D38"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-13.5%</w:t>
            </w:r>
          </w:p>
        </w:tc>
      </w:tr>
      <w:tr w:rsidR="00D923BD" w:rsidRPr="00D923BD" w14:paraId="695ACD07" w14:textId="77777777" w:rsidTr="00D923BD">
        <w:trPr>
          <w:trHeight w:val="223"/>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456CE07"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3000 Subsīdijas un dotācijas</w:t>
            </w:r>
          </w:p>
        </w:tc>
        <w:tc>
          <w:tcPr>
            <w:tcW w:w="1306" w:type="dxa"/>
            <w:tcBorders>
              <w:top w:val="nil"/>
              <w:left w:val="nil"/>
              <w:bottom w:val="single" w:sz="4" w:space="0" w:color="auto"/>
              <w:right w:val="single" w:sz="4" w:space="0" w:color="auto"/>
            </w:tcBorders>
            <w:shd w:val="clear" w:color="auto" w:fill="auto"/>
            <w:noWrap/>
            <w:vAlign w:val="center"/>
            <w:hideMark/>
          </w:tcPr>
          <w:p w14:paraId="512AB424"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2 248 653</w:t>
            </w:r>
          </w:p>
        </w:tc>
        <w:tc>
          <w:tcPr>
            <w:tcW w:w="1138" w:type="dxa"/>
            <w:tcBorders>
              <w:top w:val="nil"/>
              <w:left w:val="nil"/>
              <w:bottom w:val="single" w:sz="4" w:space="0" w:color="auto"/>
              <w:right w:val="single" w:sz="4" w:space="0" w:color="auto"/>
            </w:tcBorders>
            <w:shd w:val="clear" w:color="auto" w:fill="auto"/>
            <w:noWrap/>
            <w:vAlign w:val="center"/>
            <w:hideMark/>
          </w:tcPr>
          <w:p w14:paraId="6E4D9B7F"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2 248 653</w:t>
            </w:r>
          </w:p>
        </w:tc>
        <w:tc>
          <w:tcPr>
            <w:tcW w:w="1242" w:type="dxa"/>
            <w:tcBorders>
              <w:top w:val="nil"/>
              <w:left w:val="nil"/>
              <w:bottom w:val="single" w:sz="4" w:space="0" w:color="auto"/>
              <w:right w:val="single" w:sz="4" w:space="0" w:color="auto"/>
            </w:tcBorders>
            <w:shd w:val="clear" w:color="auto" w:fill="auto"/>
            <w:noWrap/>
            <w:vAlign w:val="center"/>
            <w:hideMark/>
          </w:tcPr>
          <w:p w14:paraId="32534FD9"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2 248 653</w:t>
            </w:r>
          </w:p>
        </w:tc>
        <w:tc>
          <w:tcPr>
            <w:tcW w:w="1417" w:type="dxa"/>
            <w:tcBorders>
              <w:top w:val="nil"/>
              <w:left w:val="nil"/>
              <w:bottom w:val="single" w:sz="4" w:space="0" w:color="auto"/>
              <w:right w:val="single" w:sz="4" w:space="0" w:color="auto"/>
            </w:tcBorders>
            <w:shd w:val="clear" w:color="auto" w:fill="auto"/>
            <w:noWrap/>
            <w:vAlign w:val="center"/>
            <w:hideMark/>
          </w:tcPr>
          <w:p w14:paraId="412B0349"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0.0%</w:t>
            </w:r>
          </w:p>
        </w:tc>
        <w:tc>
          <w:tcPr>
            <w:tcW w:w="1066" w:type="dxa"/>
            <w:tcBorders>
              <w:top w:val="nil"/>
              <w:left w:val="nil"/>
              <w:bottom w:val="single" w:sz="4" w:space="0" w:color="auto"/>
              <w:right w:val="single" w:sz="4" w:space="0" w:color="auto"/>
            </w:tcBorders>
            <w:shd w:val="clear" w:color="auto" w:fill="auto"/>
            <w:noWrap/>
            <w:vAlign w:val="center"/>
            <w:hideMark/>
          </w:tcPr>
          <w:p w14:paraId="2A29DDFD" w14:textId="77777777" w:rsidR="00D923BD" w:rsidRPr="00D923BD" w:rsidRDefault="00D923BD" w:rsidP="00D923BD">
            <w:pPr>
              <w:spacing w:after="0" w:line="240" w:lineRule="auto"/>
              <w:jc w:val="both"/>
              <w:rPr>
                <w:rFonts w:eastAsia="Times New Roman" w:cs="Times New Roman"/>
                <w:sz w:val="20"/>
                <w:szCs w:val="20"/>
                <w:lang w:eastAsia="lv-LV"/>
              </w:rPr>
            </w:pPr>
            <w:r w:rsidRPr="00D923BD">
              <w:rPr>
                <w:rFonts w:eastAsia="Times New Roman" w:cs="Times New Roman"/>
                <w:sz w:val="20"/>
                <w:szCs w:val="20"/>
                <w:lang w:eastAsia="lv-LV"/>
              </w:rPr>
              <w:t>0</w:t>
            </w:r>
          </w:p>
        </w:tc>
        <w:tc>
          <w:tcPr>
            <w:tcW w:w="1202" w:type="dxa"/>
            <w:tcBorders>
              <w:top w:val="nil"/>
              <w:left w:val="nil"/>
              <w:bottom w:val="single" w:sz="4" w:space="0" w:color="auto"/>
              <w:right w:val="single" w:sz="4" w:space="0" w:color="auto"/>
            </w:tcBorders>
            <w:shd w:val="clear" w:color="auto" w:fill="auto"/>
            <w:noWrap/>
            <w:vAlign w:val="center"/>
            <w:hideMark/>
          </w:tcPr>
          <w:p w14:paraId="2335FDEA"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0.0%</w:t>
            </w:r>
          </w:p>
        </w:tc>
      </w:tr>
      <w:tr w:rsidR="00D923BD" w:rsidRPr="00D923BD" w14:paraId="175A281D" w14:textId="77777777" w:rsidTr="00D923BD">
        <w:trPr>
          <w:trHeight w:val="223"/>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5B786945"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5000 Pamatkapitāla veidošana</w:t>
            </w:r>
          </w:p>
        </w:tc>
        <w:tc>
          <w:tcPr>
            <w:tcW w:w="1306" w:type="dxa"/>
            <w:tcBorders>
              <w:top w:val="nil"/>
              <w:left w:val="nil"/>
              <w:bottom w:val="single" w:sz="4" w:space="0" w:color="auto"/>
              <w:right w:val="single" w:sz="4" w:space="0" w:color="auto"/>
            </w:tcBorders>
            <w:shd w:val="clear" w:color="auto" w:fill="auto"/>
            <w:noWrap/>
            <w:vAlign w:val="center"/>
            <w:hideMark/>
          </w:tcPr>
          <w:p w14:paraId="356B7334"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777 313</w:t>
            </w:r>
          </w:p>
        </w:tc>
        <w:tc>
          <w:tcPr>
            <w:tcW w:w="1138" w:type="dxa"/>
            <w:tcBorders>
              <w:top w:val="nil"/>
              <w:left w:val="nil"/>
              <w:bottom w:val="single" w:sz="4" w:space="0" w:color="auto"/>
              <w:right w:val="single" w:sz="4" w:space="0" w:color="auto"/>
            </w:tcBorders>
            <w:shd w:val="clear" w:color="auto" w:fill="auto"/>
            <w:noWrap/>
            <w:vAlign w:val="center"/>
            <w:hideMark/>
          </w:tcPr>
          <w:p w14:paraId="762F6462"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634 362</w:t>
            </w:r>
          </w:p>
        </w:tc>
        <w:tc>
          <w:tcPr>
            <w:tcW w:w="1242" w:type="dxa"/>
            <w:tcBorders>
              <w:top w:val="nil"/>
              <w:left w:val="nil"/>
              <w:bottom w:val="single" w:sz="4" w:space="0" w:color="auto"/>
              <w:right w:val="single" w:sz="4" w:space="0" w:color="auto"/>
            </w:tcBorders>
            <w:shd w:val="clear" w:color="auto" w:fill="auto"/>
            <w:noWrap/>
            <w:vAlign w:val="center"/>
            <w:hideMark/>
          </w:tcPr>
          <w:p w14:paraId="132B0348"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632 619</w:t>
            </w:r>
          </w:p>
        </w:tc>
        <w:tc>
          <w:tcPr>
            <w:tcW w:w="1417" w:type="dxa"/>
            <w:tcBorders>
              <w:top w:val="nil"/>
              <w:left w:val="nil"/>
              <w:bottom w:val="single" w:sz="4" w:space="0" w:color="auto"/>
              <w:right w:val="single" w:sz="4" w:space="0" w:color="auto"/>
            </w:tcBorders>
            <w:shd w:val="clear" w:color="auto" w:fill="auto"/>
            <w:noWrap/>
            <w:vAlign w:val="center"/>
            <w:hideMark/>
          </w:tcPr>
          <w:p w14:paraId="7429A869"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-18.4%</w:t>
            </w:r>
          </w:p>
        </w:tc>
        <w:tc>
          <w:tcPr>
            <w:tcW w:w="1066" w:type="dxa"/>
            <w:tcBorders>
              <w:top w:val="nil"/>
              <w:left w:val="nil"/>
              <w:bottom w:val="single" w:sz="4" w:space="0" w:color="auto"/>
              <w:right w:val="single" w:sz="4" w:space="0" w:color="auto"/>
            </w:tcBorders>
            <w:shd w:val="clear" w:color="auto" w:fill="auto"/>
            <w:noWrap/>
            <w:vAlign w:val="center"/>
            <w:hideMark/>
          </w:tcPr>
          <w:p w14:paraId="7D2EBA61" w14:textId="77777777" w:rsidR="00D923BD" w:rsidRPr="00D923BD" w:rsidRDefault="00D923BD" w:rsidP="00D923BD">
            <w:pPr>
              <w:spacing w:after="0" w:line="240" w:lineRule="auto"/>
              <w:jc w:val="both"/>
              <w:rPr>
                <w:rFonts w:eastAsia="Times New Roman" w:cs="Times New Roman"/>
                <w:color w:val="FF0000"/>
                <w:sz w:val="20"/>
                <w:szCs w:val="20"/>
                <w:lang w:eastAsia="lv-LV"/>
              </w:rPr>
            </w:pPr>
            <w:r w:rsidRPr="00D923BD">
              <w:rPr>
                <w:rFonts w:eastAsia="Times New Roman" w:cs="Times New Roman"/>
                <w:color w:val="FF0000"/>
                <w:sz w:val="20"/>
                <w:szCs w:val="20"/>
                <w:lang w:eastAsia="lv-LV"/>
              </w:rPr>
              <w:t>1 743</w:t>
            </w:r>
          </w:p>
        </w:tc>
        <w:tc>
          <w:tcPr>
            <w:tcW w:w="1202" w:type="dxa"/>
            <w:tcBorders>
              <w:top w:val="nil"/>
              <w:left w:val="nil"/>
              <w:bottom w:val="single" w:sz="4" w:space="0" w:color="auto"/>
              <w:right w:val="single" w:sz="4" w:space="0" w:color="auto"/>
            </w:tcBorders>
            <w:shd w:val="clear" w:color="auto" w:fill="auto"/>
            <w:noWrap/>
            <w:vAlign w:val="center"/>
            <w:hideMark/>
          </w:tcPr>
          <w:p w14:paraId="04B10D5C"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-0.3%</w:t>
            </w:r>
          </w:p>
        </w:tc>
      </w:tr>
      <w:tr w:rsidR="00D923BD" w:rsidRPr="00D923BD" w14:paraId="061E3C13" w14:textId="77777777" w:rsidTr="00D923BD">
        <w:trPr>
          <w:trHeight w:val="223"/>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8C1A205"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6000 Sociālie pabalsti</w:t>
            </w:r>
          </w:p>
        </w:tc>
        <w:tc>
          <w:tcPr>
            <w:tcW w:w="1306" w:type="dxa"/>
            <w:tcBorders>
              <w:top w:val="nil"/>
              <w:left w:val="nil"/>
              <w:bottom w:val="single" w:sz="4" w:space="0" w:color="auto"/>
              <w:right w:val="single" w:sz="4" w:space="0" w:color="auto"/>
            </w:tcBorders>
            <w:shd w:val="clear" w:color="auto" w:fill="auto"/>
            <w:noWrap/>
            <w:vAlign w:val="center"/>
            <w:hideMark/>
          </w:tcPr>
          <w:p w14:paraId="37719094"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133 191</w:t>
            </w:r>
          </w:p>
        </w:tc>
        <w:tc>
          <w:tcPr>
            <w:tcW w:w="1138" w:type="dxa"/>
            <w:tcBorders>
              <w:top w:val="nil"/>
              <w:left w:val="nil"/>
              <w:bottom w:val="single" w:sz="4" w:space="0" w:color="auto"/>
              <w:right w:val="single" w:sz="4" w:space="0" w:color="auto"/>
            </w:tcBorders>
            <w:shd w:val="clear" w:color="auto" w:fill="auto"/>
            <w:noWrap/>
            <w:vAlign w:val="center"/>
            <w:hideMark/>
          </w:tcPr>
          <w:p w14:paraId="1AC453DC"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200 488</w:t>
            </w:r>
          </w:p>
        </w:tc>
        <w:tc>
          <w:tcPr>
            <w:tcW w:w="1242" w:type="dxa"/>
            <w:tcBorders>
              <w:top w:val="nil"/>
              <w:left w:val="nil"/>
              <w:bottom w:val="single" w:sz="4" w:space="0" w:color="auto"/>
              <w:right w:val="single" w:sz="4" w:space="0" w:color="auto"/>
            </w:tcBorders>
            <w:shd w:val="clear" w:color="auto" w:fill="auto"/>
            <w:noWrap/>
            <w:vAlign w:val="center"/>
            <w:hideMark/>
          </w:tcPr>
          <w:p w14:paraId="78D1ED72"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180 160</w:t>
            </w:r>
          </w:p>
        </w:tc>
        <w:tc>
          <w:tcPr>
            <w:tcW w:w="1417" w:type="dxa"/>
            <w:tcBorders>
              <w:top w:val="nil"/>
              <w:left w:val="nil"/>
              <w:bottom w:val="single" w:sz="4" w:space="0" w:color="auto"/>
              <w:right w:val="single" w:sz="4" w:space="0" w:color="auto"/>
            </w:tcBorders>
            <w:shd w:val="clear" w:color="auto" w:fill="auto"/>
            <w:noWrap/>
            <w:vAlign w:val="center"/>
            <w:hideMark/>
          </w:tcPr>
          <w:p w14:paraId="288F160B"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50.5%</w:t>
            </w:r>
          </w:p>
        </w:tc>
        <w:tc>
          <w:tcPr>
            <w:tcW w:w="1066" w:type="dxa"/>
            <w:tcBorders>
              <w:top w:val="nil"/>
              <w:left w:val="nil"/>
              <w:bottom w:val="single" w:sz="4" w:space="0" w:color="auto"/>
              <w:right w:val="single" w:sz="4" w:space="0" w:color="auto"/>
            </w:tcBorders>
            <w:shd w:val="clear" w:color="auto" w:fill="auto"/>
            <w:noWrap/>
            <w:vAlign w:val="center"/>
            <w:hideMark/>
          </w:tcPr>
          <w:p w14:paraId="144D5F91" w14:textId="77777777" w:rsidR="00D923BD" w:rsidRPr="00D923BD" w:rsidRDefault="00D923BD" w:rsidP="00D923BD">
            <w:pPr>
              <w:spacing w:after="0" w:line="240" w:lineRule="auto"/>
              <w:jc w:val="both"/>
              <w:rPr>
                <w:rFonts w:eastAsia="Times New Roman" w:cs="Times New Roman"/>
                <w:color w:val="FF0000"/>
                <w:sz w:val="20"/>
                <w:szCs w:val="20"/>
                <w:lang w:eastAsia="lv-LV"/>
              </w:rPr>
            </w:pPr>
            <w:r w:rsidRPr="00D923BD">
              <w:rPr>
                <w:rFonts w:eastAsia="Times New Roman" w:cs="Times New Roman"/>
                <w:color w:val="FF0000"/>
                <w:sz w:val="20"/>
                <w:szCs w:val="20"/>
                <w:lang w:eastAsia="lv-LV"/>
              </w:rPr>
              <w:t>20 328</w:t>
            </w:r>
          </w:p>
        </w:tc>
        <w:tc>
          <w:tcPr>
            <w:tcW w:w="1202" w:type="dxa"/>
            <w:tcBorders>
              <w:top w:val="nil"/>
              <w:left w:val="nil"/>
              <w:bottom w:val="single" w:sz="4" w:space="0" w:color="auto"/>
              <w:right w:val="single" w:sz="4" w:space="0" w:color="auto"/>
            </w:tcBorders>
            <w:shd w:val="clear" w:color="auto" w:fill="auto"/>
            <w:noWrap/>
            <w:vAlign w:val="center"/>
            <w:hideMark/>
          </w:tcPr>
          <w:p w14:paraId="775800A9"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-10.1%</w:t>
            </w:r>
          </w:p>
        </w:tc>
      </w:tr>
      <w:tr w:rsidR="00D923BD" w:rsidRPr="00D923BD" w14:paraId="5DF5400D" w14:textId="77777777" w:rsidTr="00D923BD">
        <w:trPr>
          <w:trHeight w:val="379"/>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50F34EF0"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7100 Valsts budžeta uzturēšanas izdevumu transferti</w:t>
            </w:r>
          </w:p>
        </w:tc>
        <w:tc>
          <w:tcPr>
            <w:tcW w:w="1306" w:type="dxa"/>
            <w:tcBorders>
              <w:top w:val="nil"/>
              <w:left w:val="nil"/>
              <w:bottom w:val="single" w:sz="4" w:space="0" w:color="auto"/>
              <w:right w:val="single" w:sz="4" w:space="0" w:color="auto"/>
            </w:tcBorders>
            <w:shd w:val="clear" w:color="auto" w:fill="auto"/>
            <w:noWrap/>
            <w:vAlign w:val="center"/>
            <w:hideMark/>
          </w:tcPr>
          <w:p w14:paraId="21282335"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125</w:t>
            </w:r>
          </w:p>
        </w:tc>
        <w:tc>
          <w:tcPr>
            <w:tcW w:w="1138" w:type="dxa"/>
            <w:tcBorders>
              <w:top w:val="nil"/>
              <w:left w:val="nil"/>
              <w:bottom w:val="single" w:sz="4" w:space="0" w:color="auto"/>
              <w:right w:val="single" w:sz="4" w:space="0" w:color="auto"/>
            </w:tcBorders>
            <w:shd w:val="clear" w:color="auto" w:fill="auto"/>
            <w:noWrap/>
            <w:vAlign w:val="center"/>
            <w:hideMark/>
          </w:tcPr>
          <w:p w14:paraId="1BDB6FD0"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125</w:t>
            </w:r>
          </w:p>
        </w:tc>
        <w:tc>
          <w:tcPr>
            <w:tcW w:w="1242" w:type="dxa"/>
            <w:tcBorders>
              <w:top w:val="nil"/>
              <w:left w:val="nil"/>
              <w:bottom w:val="single" w:sz="4" w:space="0" w:color="auto"/>
              <w:right w:val="single" w:sz="4" w:space="0" w:color="auto"/>
            </w:tcBorders>
            <w:shd w:val="clear" w:color="auto" w:fill="auto"/>
            <w:noWrap/>
            <w:vAlign w:val="center"/>
            <w:hideMark/>
          </w:tcPr>
          <w:p w14:paraId="4C5D43F2"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125</w:t>
            </w:r>
          </w:p>
        </w:tc>
        <w:tc>
          <w:tcPr>
            <w:tcW w:w="1417" w:type="dxa"/>
            <w:tcBorders>
              <w:top w:val="nil"/>
              <w:left w:val="nil"/>
              <w:bottom w:val="single" w:sz="4" w:space="0" w:color="auto"/>
              <w:right w:val="single" w:sz="4" w:space="0" w:color="auto"/>
            </w:tcBorders>
            <w:shd w:val="clear" w:color="auto" w:fill="auto"/>
            <w:noWrap/>
            <w:vAlign w:val="center"/>
            <w:hideMark/>
          </w:tcPr>
          <w:p w14:paraId="31047C66"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0.0%</w:t>
            </w:r>
          </w:p>
        </w:tc>
        <w:tc>
          <w:tcPr>
            <w:tcW w:w="1066" w:type="dxa"/>
            <w:tcBorders>
              <w:top w:val="nil"/>
              <w:left w:val="nil"/>
              <w:bottom w:val="single" w:sz="4" w:space="0" w:color="auto"/>
              <w:right w:val="single" w:sz="4" w:space="0" w:color="auto"/>
            </w:tcBorders>
            <w:shd w:val="clear" w:color="auto" w:fill="auto"/>
            <w:noWrap/>
            <w:vAlign w:val="center"/>
            <w:hideMark/>
          </w:tcPr>
          <w:p w14:paraId="14251499" w14:textId="77777777" w:rsidR="00D923BD" w:rsidRPr="00D923BD" w:rsidRDefault="00D923BD" w:rsidP="00D923BD">
            <w:pPr>
              <w:spacing w:after="0" w:line="240" w:lineRule="auto"/>
              <w:jc w:val="both"/>
              <w:rPr>
                <w:rFonts w:eastAsia="Times New Roman" w:cs="Times New Roman"/>
                <w:sz w:val="20"/>
                <w:szCs w:val="20"/>
                <w:lang w:eastAsia="lv-LV"/>
              </w:rPr>
            </w:pPr>
            <w:r w:rsidRPr="00D923BD">
              <w:rPr>
                <w:rFonts w:eastAsia="Times New Roman" w:cs="Times New Roman"/>
                <w:sz w:val="20"/>
                <w:szCs w:val="20"/>
                <w:lang w:eastAsia="lv-LV"/>
              </w:rPr>
              <w:t>0</w:t>
            </w:r>
          </w:p>
        </w:tc>
        <w:tc>
          <w:tcPr>
            <w:tcW w:w="1202" w:type="dxa"/>
            <w:tcBorders>
              <w:top w:val="nil"/>
              <w:left w:val="nil"/>
              <w:bottom w:val="single" w:sz="4" w:space="0" w:color="auto"/>
              <w:right w:val="single" w:sz="4" w:space="0" w:color="auto"/>
            </w:tcBorders>
            <w:shd w:val="clear" w:color="auto" w:fill="auto"/>
            <w:noWrap/>
            <w:vAlign w:val="center"/>
            <w:hideMark/>
          </w:tcPr>
          <w:p w14:paraId="6D93E641"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0.0%</w:t>
            </w:r>
          </w:p>
        </w:tc>
      </w:tr>
      <w:tr w:rsidR="00D923BD" w:rsidRPr="00D923BD" w14:paraId="3B5DA058" w14:textId="77777777" w:rsidTr="00D923BD">
        <w:trPr>
          <w:trHeight w:val="223"/>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24A7170E"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7700 Starptautiskā sadarbība</w:t>
            </w:r>
          </w:p>
        </w:tc>
        <w:tc>
          <w:tcPr>
            <w:tcW w:w="1306" w:type="dxa"/>
            <w:tcBorders>
              <w:top w:val="nil"/>
              <w:left w:val="nil"/>
              <w:bottom w:val="single" w:sz="4" w:space="0" w:color="auto"/>
              <w:right w:val="single" w:sz="4" w:space="0" w:color="auto"/>
            </w:tcBorders>
            <w:shd w:val="clear" w:color="auto" w:fill="auto"/>
            <w:noWrap/>
            <w:vAlign w:val="center"/>
            <w:hideMark/>
          </w:tcPr>
          <w:p w14:paraId="392C2FE1"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59 632</w:t>
            </w:r>
          </w:p>
        </w:tc>
        <w:tc>
          <w:tcPr>
            <w:tcW w:w="1138" w:type="dxa"/>
            <w:tcBorders>
              <w:top w:val="nil"/>
              <w:left w:val="nil"/>
              <w:bottom w:val="single" w:sz="4" w:space="0" w:color="auto"/>
              <w:right w:val="single" w:sz="4" w:space="0" w:color="auto"/>
            </w:tcBorders>
            <w:shd w:val="clear" w:color="auto" w:fill="auto"/>
            <w:noWrap/>
            <w:vAlign w:val="center"/>
            <w:hideMark/>
          </w:tcPr>
          <w:p w14:paraId="6F35A2A0"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61 782</w:t>
            </w:r>
          </w:p>
        </w:tc>
        <w:tc>
          <w:tcPr>
            <w:tcW w:w="1242" w:type="dxa"/>
            <w:tcBorders>
              <w:top w:val="nil"/>
              <w:left w:val="nil"/>
              <w:bottom w:val="single" w:sz="4" w:space="0" w:color="auto"/>
              <w:right w:val="single" w:sz="4" w:space="0" w:color="auto"/>
            </w:tcBorders>
            <w:shd w:val="clear" w:color="auto" w:fill="auto"/>
            <w:noWrap/>
            <w:vAlign w:val="center"/>
            <w:hideMark/>
          </w:tcPr>
          <w:p w14:paraId="77ACD6CC"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53 251</w:t>
            </w:r>
          </w:p>
        </w:tc>
        <w:tc>
          <w:tcPr>
            <w:tcW w:w="1417" w:type="dxa"/>
            <w:tcBorders>
              <w:top w:val="nil"/>
              <w:left w:val="nil"/>
              <w:bottom w:val="single" w:sz="4" w:space="0" w:color="auto"/>
              <w:right w:val="single" w:sz="4" w:space="0" w:color="auto"/>
            </w:tcBorders>
            <w:shd w:val="clear" w:color="auto" w:fill="auto"/>
            <w:noWrap/>
            <w:vAlign w:val="center"/>
            <w:hideMark/>
          </w:tcPr>
          <w:p w14:paraId="3CB947EC"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3.6%</w:t>
            </w:r>
          </w:p>
        </w:tc>
        <w:tc>
          <w:tcPr>
            <w:tcW w:w="1066" w:type="dxa"/>
            <w:tcBorders>
              <w:top w:val="nil"/>
              <w:left w:val="nil"/>
              <w:bottom w:val="single" w:sz="4" w:space="0" w:color="auto"/>
              <w:right w:val="single" w:sz="4" w:space="0" w:color="auto"/>
            </w:tcBorders>
            <w:shd w:val="clear" w:color="auto" w:fill="auto"/>
            <w:noWrap/>
            <w:vAlign w:val="center"/>
            <w:hideMark/>
          </w:tcPr>
          <w:p w14:paraId="2B08ED4C" w14:textId="77777777" w:rsidR="00D923BD" w:rsidRPr="00D923BD" w:rsidRDefault="00D923BD" w:rsidP="00D923BD">
            <w:pPr>
              <w:spacing w:after="0" w:line="240" w:lineRule="auto"/>
              <w:jc w:val="both"/>
              <w:rPr>
                <w:rFonts w:eastAsia="Times New Roman" w:cs="Times New Roman"/>
                <w:color w:val="FF0000"/>
                <w:sz w:val="20"/>
                <w:szCs w:val="20"/>
                <w:lang w:eastAsia="lv-LV"/>
              </w:rPr>
            </w:pPr>
            <w:r w:rsidRPr="00D923BD">
              <w:rPr>
                <w:rFonts w:eastAsia="Times New Roman" w:cs="Times New Roman"/>
                <w:color w:val="FF0000"/>
                <w:sz w:val="20"/>
                <w:szCs w:val="20"/>
                <w:lang w:eastAsia="lv-LV"/>
              </w:rPr>
              <w:t>8 531</w:t>
            </w:r>
          </w:p>
        </w:tc>
        <w:tc>
          <w:tcPr>
            <w:tcW w:w="1202" w:type="dxa"/>
            <w:tcBorders>
              <w:top w:val="nil"/>
              <w:left w:val="nil"/>
              <w:bottom w:val="single" w:sz="4" w:space="0" w:color="auto"/>
              <w:right w:val="single" w:sz="4" w:space="0" w:color="auto"/>
            </w:tcBorders>
            <w:shd w:val="clear" w:color="auto" w:fill="auto"/>
            <w:noWrap/>
            <w:vAlign w:val="center"/>
            <w:hideMark/>
          </w:tcPr>
          <w:p w14:paraId="108437CE" w14:textId="77777777" w:rsidR="00D923BD" w:rsidRPr="00D923BD" w:rsidRDefault="00D923BD" w:rsidP="00D923BD">
            <w:pPr>
              <w:spacing w:after="0" w:line="240" w:lineRule="auto"/>
              <w:jc w:val="both"/>
              <w:rPr>
                <w:rFonts w:eastAsia="Times New Roman" w:cs="Times New Roman"/>
                <w:color w:val="000000"/>
                <w:sz w:val="20"/>
                <w:szCs w:val="20"/>
                <w:lang w:eastAsia="lv-LV"/>
              </w:rPr>
            </w:pPr>
            <w:r w:rsidRPr="00D923BD">
              <w:rPr>
                <w:rFonts w:eastAsia="Times New Roman" w:cs="Times New Roman"/>
                <w:color w:val="000000"/>
                <w:sz w:val="20"/>
                <w:szCs w:val="20"/>
                <w:lang w:eastAsia="lv-LV"/>
              </w:rPr>
              <w:t>-13.8%</w:t>
            </w:r>
          </w:p>
        </w:tc>
      </w:tr>
      <w:tr w:rsidR="00D923BD" w:rsidRPr="00D923BD" w14:paraId="3D59D320" w14:textId="77777777" w:rsidTr="00D923BD">
        <w:trPr>
          <w:trHeight w:val="223"/>
          <w:jc w:val="center"/>
        </w:trPr>
        <w:tc>
          <w:tcPr>
            <w:tcW w:w="1696" w:type="dxa"/>
            <w:tcBorders>
              <w:top w:val="nil"/>
              <w:left w:val="single" w:sz="4" w:space="0" w:color="auto"/>
              <w:bottom w:val="single" w:sz="4" w:space="0" w:color="auto"/>
              <w:right w:val="single" w:sz="4" w:space="0" w:color="auto"/>
            </w:tcBorders>
            <w:shd w:val="clear" w:color="000000" w:fill="BFBFBF"/>
            <w:noWrap/>
            <w:vAlign w:val="center"/>
            <w:hideMark/>
          </w:tcPr>
          <w:p w14:paraId="11DD26E4"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Kopā</w:t>
            </w:r>
          </w:p>
        </w:tc>
        <w:tc>
          <w:tcPr>
            <w:tcW w:w="1306" w:type="dxa"/>
            <w:tcBorders>
              <w:top w:val="nil"/>
              <w:left w:val="nil"/>
              <w:bottom w:val="single" w:sz="4" w:space="0" w:color="auto"/>
              <w:right w:val="single" w:sz="4" w:space="0" w:color="auto"/>
            </w:tcBorders>
            <w:shd w:val="clear" w:color="000000" w:fill="BFBFBF"/>
            <w:noWrap/>
            <w:vAlign w:val="center"/>
            <w:hideMark/>
          </w:tcPr>
          <w:p w14:paraId="6C29A0EA"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19 605 291</w:t>
            </w:r>
          </w:p>
        </w:tc>
        <w:tc>
          <w:tcPr>
            <w:tcW w:w="1138" w:type="dxa"/>
            <w:tcBorders>
              <w:top w:val="nil"/>
              <w:left w:val="nil"/>
              <w:bottom w:val="single" w:sz="4" w:space="0" w:color="auto"/>
              <w:right w:val="single" w:sz="4" w:space="0" w:color="auto"/>
            </w:tcBorders>
            <w:shd w:val="clear" w:color="000000" w:fill="BFBFBF"/>
            <w:noWrap/>
            <w:vAlign w:val="center"/>
            <w:hideMark/>
          </w:tcPr>
          <w:p w14:paraId="140F11AB"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21 663 357</w:t>
            </w:r>
          </w:p>
        </w:tc>
        <w:tc>
          <w:tcPr>
            <w:tcW w:w="1242" w:type="dxa"/>
            <w:tcBorders>
              <w:top w:val="nil"/>
              <w:left w:val="nil"/>
              <w:bottom w:val="single" w:sz="4" w:space="0" w:color="auto"/>
              <w:right w:val="single" w:sz="4" w:space="0" w:color="auto"/>
            </w:tcBorders>
            <w:shd w:val="clear" w:color="000000" w:fill="BFBFBF"/>
            <w:noWrap/>
            <w:vAlign w:val="center"/>
            <w:hideMark/>
          </w:tcPr>
          <w:p w14:paraId="21258CE3"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20 412 605</w:t>
            </w:r>
          </w:p>
        </w:tc>
        <w:tc>
          <w:tcPr>
            <w:tcW w:w="1417" w:type="dxa"/>
            <w:tcBorders>
              <w:top w:val="nil"/>
              <w:left w:val="nil"/>
              <w:bottom w:val="single" w:sz="4" w:space="0" w:color="auto"/>
              <w:right w:val="single" w:sz="4" w:space="0" w:color="auto"/>
            </w:tcBorders>
            <w:shd w:val="clear" w:color="000000" w:fill="BFBFBF"/>
            <w:noWrap/>
            <w:vAlign w:val="center"/>
            <w:hideMark/>
          </w:tcPr>
          <w:p w14:paraId="389AAA0C"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10.5%</w:t>
            </w:r>
          </w:p>
        </w:tc>
        <w:tc>
          <w:tcPr>
            <w:tcW w:w="1066" w:type="dxa"/>
            <w:tcBorders>
              <w:top w:val="nil"/>
              <w:left w:val="nil"/>
              <w:bottom w:val="single" w:sz="4" w:space="0" w:color="auto"/>
              <w:right w:val="single" w:sz="4" w:space="0" w:color="auto"/>
            </w:tcBorders>
            <w:shd w:val="clear" w:color="000000" w:fill="BFBFBF"/>
            <w:noWrap/>
            <w:vAlign w:val="center"/>
            <w:hideMark/>
          </w:tcPr>
          <w:p w14:paraId="207A5013" w14:textId="77777777" w:rsidR="00D923BD" w:rsidRPr="00D923BD" w:rsidRDefault="00D923BD" w:rsidP="00D923BD">
            <w:pPr>
              <w:spacing w:after="0" w:line="240" w:lineRule="auto"/>
              <w:jc w:val="both"/>
              <w:rPr>
                <w:rFonts w:eastAsia="Times New Roman" w:cs="Times New Roman"/>
                <w:b/>
                <w:bCs/>
                <w:color w:val="FF0000"/>
                <w:sz w:val="20"/>
                <w:szCs w:val="20"/>
                <w:lang w:eastAsia="lv-LV"/>
              </w:rPr>
            </w:pPr>
            <w:r w:rsidRPr="00D923BD">
              <w:rPr>
                <w:rFonts w:eastAsia="Times New Roman" w:cs="Times New Roman"/>
                <w:b/>
                <w:bCs/>
                <w:color w:val="FF0000"/>
                <w:sz w:val="20"/>
                <w:szCs w:val="20"/>
                <w:lang w:eastAsia="lv-LV"/>
              </w:rPr>
              <w:t>1 250 752</w:t>
            </w:r>
          </w:p>
        </w:tc>
        <w:tc>
          <w:tcPr>
            <w:tcW w:w="1202" w:type="dxa"/>
            <w:tcBorders>
              <w:top w:val="nil"/>
              <w:left w:val="nil"/>
              <w:bottom w:val="single" w:sz="4" w:space="0" w:color="auto"/>
              <w:right w:val="single" w:sz="4" w:space="0" w:color="auto"/>
            </w:tcBorders>
            <w:shd w:val="clear" w:color="000000" w:fill="BFBFBF"/>
            <w:noWrap/>
            <w:vAlign w:val="center"/>
            <w:hideMark/>
          </w:tcPr>
          <w:p w14:paraId="0F5EA7D8" w14:textId="77777777" w:rsidR="00D923BD" w:rsidRPr="00D923BD" w:rsidRDefault="00D923BD" w:rsidP="00D923BD">
            <w:pPr>
              <w:spacing w:after="0" w:line="240" w:lineRule="auto"/>
              <w:jc w:val="both"/>
              <w:rPr>
                <w:rFonts w:eastAsia="Times New Roman" w:cs="Times New Roman"/>
                <w:b/>
                <w:bCs/>
                <w:color w:val="000000"/>
                <w:sz w:val="20"/>
                <w:szCs w:val="20"/>
                <w:lang w:eastAsia="lv-LV"/>
              </w:rPr>
            </w:pPr>
            <w:r w:rsidRPr="00D923BD">
              <w:rPr>
                <w:rFonts w:eastAsia="Times New Roman" w:cs="Times New Roman"/>
                <w:b/>
                <w:bCs/>
                <w:color w:val="000000"/>
                <w:sz w:val="20"/>
                <w:szCs w:val="20"/>
                <w:lang w:eastAsia="lv-LV"/>
              </w:rPr>
              <w:t>-5.8%</w:t>
            </w:r>
          </w:p>
        </w:tc>
      </w:tr>
    </w:tbl>
    <w:p w14:paraId="75C10084" w14:textId="67700AB1" w:rsidR="00D923BD" w:rsidRPr="00D923BD" w:rsidRDefault="00D923BD" w:rsidP="00D923BD"/>
    <w:p w14:paraId="43CA4B07" w14:textId="6D120CF6" w:rsidR="004F7505" w:rsidRPr="00856FF9" w:rsidRDefault="00D923BD" w:rsidP="00856FF9">
      <w:pPr>
        <w:ind w:firstLine="720"/>
        <w:jc w:val="both"/>
        <w:rPr>
          <w:rFonts w:cs="Times New Roman"/>
        </w:rPr>
      </w:pPr>
      <w:r>
        <w:rPr>
          <w:rFonts w:cs="Times New Roman"/>
        </w:rPr>
        <w:t xml:space="preserve">Analizējot </w:t>
      </w:r>
      <w:r w:rsidRPr="00D923BD">
        <w:rPr>
          <w:rFonts w:cs="Times New Roman"/>
        </w:rPr>
        <w:t>11.01.00 apakšprogrammas izdevumus 2019.</w:t>
      </w:r>
      <w:r w:rsidR="00DB061E">
        <w:rPr>
          <w:rFonts w:cs="Times New Roman"/>
        </w:rPr>
        <w:t xml:space="preserve"> </w:t>
      </w:r>
      <w:r w:rsidRPr="00D923BD">
        <w:rPr>
          <w:rFonts w:cs="Times New Roman"/>
        </w:rPr>
        <w:t>gadā (</w:t>
      </w:r>
      <w:r>
        <w:rPr>
          <w:rFonts w:cs="Times New Roman"/>
        </w:rPr>
        <w:fldChar w:fldCharType="begin"/>
      </w:r>
      <w:r>
        <w:rPr>
          <w:rFonts w:cs="Times New Roman"/>
        </w:rPr>
        <w:instrText xml:space="preserve"> REF _Ref47340678 \h </w:instrText>
      </w:r>
      <w:r>
        <w:rPr>
          <w:rFonts w:cs="Times New Roman"/>
        </w:rPr>
      </w:r>
      <w:r>
        <w:rPr>
          <w:rFonts w:cs="Times New Roman"/>
        </w:rPr>
        <w:fldChar w:fldCharType="separate"/>
      </w:r>
      <w:r w:rsidR="00D96F20">
        <w:t xml:space="preserve">Attēls Nr. </w:t>
      </w:r>
      <w:r w:rsidR="00D96F20">
        <w:rPr>
          <w:noProof/>
        </w:rPr>
        <w:t>67</w:t>
      </w:r>
      <w:r>
        <w:rPr>
          <w:rFonts w:cs="Times New Roman"/>
        </w:rPr>
        <w:fldChar w:fldCharType="end"/>
      </w:r>
      <w:r w:rsidRPr="00D923BD">
        <w:rPr>
          <w:rFonts w:cs="Times New Roman"/>
        </w:rPr>
        <w:t xml:space="preserve">) konstatēts, ka lielākā neizpilde veidojas izdevumos </w:t>
      </w:r>
      <w:r w:rsidR="007028EB">
        <w:rPr>
          <w:rFonts w:cs="Times New Roman"/>
        </w:rPr>
        <w:t xml:space="preserve">par precēm un pakalpojumiem (1,2 milj. </w:t>
      </w:r>
      <w:r w:rsidRPr="00D923BD">
        <w:rPr>
          <w:rFonts w:cs="Times New Roman"/>
          <w:i/>
        </w:rPr>
        <w:t>euro</w:t>
      </w:r>
      <w:r w:rsidRPr="00D923BD">
        <w:rPr>
          <w:rFonts w:cs="Times New Roman"/>
        </w:rPr>
        <w:t xml:space="preserve">), kas veido 98% no kopējā neapgūto līdzekļu apjoma. Kopumā izdevumiem precēm un pakalpojumiem apakšprogrammas ietvaros tika pieprasīts papildus finansējums 2,1 milj. </w:t>
      </w:r>
      <w:r w:rsidRPr="00D923BD">
        <w:rPr>
          <w:rFonts w:cs="Times New Roman"/>
          <w:i/>
        </w:rPr>
        <w:t>euro</w:t>
      </w:r>
      <w:r w:rsidRPr="00D923BD">
        <w:rPr>
          <w:rFonts w:cs="Times New Roman"/>
        </w:rPr>
        <w:t xml:space="preserve"> apmērā, neapgūti gada beigās - 1,2 milj. </w:t>
      </w:r>
      <w:r w:rsidRPr="00D923BD">
        <w:rPr>
          <w:rFonts w:cs="Times New Roman"/>
          <w:i/>
        </w:rPr>
        <w:t>euro</w:t>
      </w:r>
      <w:r w:rsidRPr="00D923BD">
        <w:rPr>
          <w:rFonts w:cs="Times New Roman"/>
        </w:rPr>
        <w:t>.</w:t>
      </w:r>
      <w:bookmarkStart w:id="164" w:name="_Ref47340813"/>
      <w:r w:rsidR="00856FF9">
        <w:rPr>
          <w:rFonts w:cs="Times New Roman"/>
        </w:rPr>
        <w:t xml:space="preserve"> </w:t>
      </w:r>
    </w:p>
    <w:p w14:paraId="5A60AE01" w14:textId="77777777" w:rsidR="00174653" w:rsidRDefault="00174653" w:rsidP="007028EB">
      <w:pPr>
        <w:pStyle w:val="Caption"/>
      </w:pPr>
      <w:bookmarkStart w:id="165" w:name="_Ref47961262"/>
    </w:p>
    <w:p w14:paraId="59E8DEC2" w14:textId="77777777" w:rsidR="00174653" w:rsidRDefault="00174653" w:rsidP="007028EB">
      <w:pPr>
        <w:pStyle w:val="Caption"/>
      </w:pPr>
    </w:p>
    <w:p w14:paraId="6CBB0296" w14:textId="77777777" w:rsidR="00174653" w:rsidRDefault="00174653" w:rsidP="007028EB">
      <w:pPr>
        <w:pStyle w:val="Caption"/>
      </w:pPr>
    </w:p>
    <w:p w14:paraId="59186721" w14:textId="5B9DE68C" w:rsidR="00174653" w:rsidRDefault="00174653" w:rsidP="00083858">
      <w:pPr>
        <w:pStyle w:val="Caption"/>
        <w:jc w:val="left"/>
      </w:pPr>
    </w:p>
    <w:p w14:paraId="53A2804B" w14:textId="77777777" w:rsidR="00083858" w:rsidRPr="00083858" w:rsidRDefault="00083858" w:rsidP="00083858"/>
    <w:p w14:paraId="42D5F37E" w14:textId="596BAB2A" w:rsidR="00D923BD" w:rsidRDefault="007028EB" w:rsidP="007028EB">
      <w:pPr>
        <w:pStyle w:val="Caption"/>
      </w:pPr>
      <w:bookmarkStart w:id="166" w:name="_Ref47966761"/>
      <w:r>
        <w:lastRenderedPageBreak/>
        <w:t xml:space="preserve">Attēls Nr. </w:t>
      </w:r>
      <w:fldSimple w:instr=" SEQ Attēls_Nr. \* ARABIC ">
        <w:r w:rsidR="00D96F20">
          <w:rPr>
            <w:noProof/>
          </w:rPr>
          <w:t>68</w:t>
        </w:r>
      </w:fldSimple>
      <w:bookmarkEnd w:id="164"/>
      <w:bookmarkEnd w:id="165"/>
      <w:bookmarkEnd w:id="166"/>
    </w:p>
    <w:p w14:paraId="24EAF55A" w14:textId="77777777" w:rsidR="007028EB" w:rsidRPr="00CE33C2" w:rsidRDefault="007028EB" w:rsidP="007028EB">
      <w:pPr>
        <w:jc w:val="center"/>
        <w:rPr>
          <w:rFonts w:cs="Times New Roman"/>
          <w:b/>
        </w:rPr>
      </w:pPr>
      <w:r w:rsidRPr="00CE33C2">
        <w:rPr>
          <w:rFonts w:cs="Times New Roman"/>
          <w:b/>
        </w:rPr>
        <w:t>IeM apakšprogrammas 11.01.00 kopējo izdevumu un ieņēmumu no pasu un personas apliecību izsniegšanas dinamika</w:t>
      </w:r>
      <w:r>
        <w:rPr>
          <w:rFonts w:cs="Times New Roman"/>
          <w:b/>
        </w:rPr>
        <w:t xml:space="preserve"> (milj. </w:t>
      </w:r>
      <w:r w:rsidRPr="00C17628">
        <w:rPr>
          <w:rFonts w:cs="Times New Roman"/>
          <w:b/>
          <w:i/>
        </w:rPr>
        <w:t>euro</w:t>
      </w:r>
      <w:r>
        <w:rPr>
          <w:rFonts w:cs="Times New Roman"/>
          <w:b/>
        </w:rPr>
        <w:t>)</w:t>
      </w:r>
      <w:r w:rsidRPr="00CE33C2">
        <w:rPr>
          <w:rFonts w:cs="Times New Roman"/>
          <w:b/>
        </w:rPr>
        <w:t>, izdotās pases un personu apliecības</w:t>
      </w:r>
      <w:r>
        <w:rPr>
          <w:rFonts w:cs="Times New Roman"/>
          <w:b/>
        </w:rPr>
        <w:t xml:space="preserve"> (milj.)</w:t>
      </w:r>
    </w:p>
    <w:p w14:paraId="64D34999" w14:textId="77777777" w:rsidR="007028EB" w:rsidRDefault="007028EB" w:rsidP="007028EB">
      <w:r>
        <w:rPr>
          <w:noProof/>
          <w:lang w:eastAsia="lv-LV"/>
        </w:rPr>
        <w:drawing>
          <wp:inline distT="0" distB="0" distL="0" distR="0" wp14:anchorId="4A890D14" wp14:editId="3E118845">
            <wp:extent cx="5760085" cy="3108960"/>
            <wp:effectExtent l="0" t="0" r="12065" b="1524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6C22220" w14:textId="40CBF65C" w:rsidR="00B74030" w:rsidRDefault="007028EB" w:rsidP="00B74030">
      <w:pPr>
        <w:spacing w:before="120" w:after="120" w:line="240" w:lineRule="auto"/>
        <w:ind w:firstLine="720"/>
        <w:jc w:val="both"/>
        <w:rPr>
          <w:rFonts w:eastAsia="Calibri" w:cs="Times New Roman"/>
          <w:iCs/>
          <w:szCs w:val="18"/>
        </w:rPr>
      </w:pPr>
      <w:r>
        <w:rPr>
          <w:rFonts w:cs="Times New Roman"/>
        </w:rPr>
        <w:t>I</w:t>
      </w:r>
      <w:r w:rsidRPr="007028EB">
        <w:rPr>
          <w:rFonts w:cs="Times New Roman"/>
        </w:rPr>
        <w:t>zsniegto personas apliecinošu dokumentu skaits kopumā ir pazeminājies</w:t>
      </w:r>
      <w:r>
        <w:rPr>
          <w:rFonts w:cs="Times New Roman"/>
        </w:rPr>
        <w:t xml:space="preserve"> (</w:t>
      </w:r>
      <w:r w:rsidR="00174653">
        <w:rPr>
          <w:rFonts w:cs="Times New Roman"/>
        </w:rPr>
        <w:fldChar w:fldCharType="begin"/>
      </w:r>
      <w:r w:rsidR="00174653">
        <w:rPr>
          <w:rFonts w:cs="Times New Roman"/>
        </w:rPr>
        <w:instrText xml:space="preserve"> REF _Ref47966761 \h </w:instrText>
      </w:r>
      <w:r w:rsidR="00174653">
        <w:rPr>
          <w:rFonts w:cs="Times New Roman"/>
        </w:rPr>
      </w:r>
      <w:r w:rsidR="00174653">
        <w:rPr>
          <w:rFonts w:cs="Times New Roman"/>
        </w:rPr>
        <w:fldChar w:fldCharType="separate"/>
      </w:r>
      <w:r w:rsidR="00D96F20">
        <w:t xml:space="preserve">Attēls Nr. </w:t>
      </w:r>
      <w:r w:rsidR="00D96F20">
        <w:rPr>
          <w:noProof/>
        </w:rPr>
        <w:t>68</w:t>
      </w:r>
      <w:r w:rsidR="00174653">
        <w:rPr>
          <w:rFonts w:cs="Times New Roman"/>
        </w:rPr>
        <w:fldChar w:fldCharType="end"/>
      </w:r>
      <w:r>
        <w:rPr>
          <w:rFonts w:cs="Times New Roman"/>
        </w:rPr>
        <w:t>)</w:t>
      </w:r>
      <w:r w:rsidRPr="007028EB">
        <w:rPr>
          <w:rFonts w:cs="Times New Roman"/>
        </w:rPr>
        <w:t>, kas rezultējies ar ieņēmumu no nodevām par pasu un personas apliecību izsniegšanu samazināšanos. 2019.</w:t>
      </w:r>
      <w:r w:rsidR="00DB061E">
        <w:rPr>
          <w:rFonts w:cs="Times New Roman"/>
        </w:rPr>
        <w:t xml:space="preserve"> </w:t>
      </w:r>
      <w:r w:rsidRPr="007028EB">
        <w:rPr>
          <w:rFonts w:cs="Times New Roman"/>
        </w:rPr>
        <w:t>gadā, salīdzinot ar 2015.</w:t>
      </w:r>
      <w:r w:rsidR="00DB061E">
        <w:rPr>
          <w:rFonts w:cs="Times New Roman"/>
        </w:rPr>
        <w:t xml:space="preserve"> </w:t>
      </w:r>
      <w:r w:rsidRPr="007028EB">
        <w:rPr>
          <w:rFonts w:cs="Times New Roman"/>
        </w:rPr>
        <w:t xml:space="preserve">gadu, kopējais izsniegto pasu un personas apliecību skaits ir krities par 120 301 vienību, ieņēmumi no nodevām šajā laika posmā – par 4,3 milj. </w:t>
      </w:r>
      <w:r w:rsidRPr="007028EB">
        <w:rPr>
          <w:rFonts w:cs="Times New Roman"/>
          <w:i/>
        </w:rPr>
        <w:t>euro</w:t>
      </w:r>
      <w:r w:rsidR="00B74030" w:rsidRPr="00917597">
        <w:rPr>
          <w:rFonts w:eastAsia="Calibri" w:cs="Times New Roman"/>
          <w:iCs/>
          <w:szCs w:val="18"/>
        </w:rPr>
        <w:t xml:space="preserve">, </w:t>
      </w:r>
      <w:r w:rsidR="00B74030">
        <w:rPr>
          <w:rFonts w:eastAsia="Calibri" w:cs="Times New Roman"/>
          <w:iCs/>
          <w:szCs w:val="18"/>
        </w:rPr>
        <w:t xml:space="preserve">ko ietekmēja apstāklis, ka to gadījumu skaits, kad iepriekš izsniegtajiem personu apliecinošajiem dokumentiem beidzas derīguma termiņš, </w:t>
      </w:r>
      <w:r w:rsidR="00B74030" w:rsidRPr="000F5745">
        <w:rPr>
          <w:rFonts w:eastAsia="Calibri" w:cs="Times New Roman"/>
          <w:iCs/>
          <w:szCs w:val="18"/>
        </w:rPr>
        <w:t>nav vienmērīgs</w:t>
      </w:r>
      <w:r w:rsidR="00B74030">
        <w:rPr>
          <w:rFonts w:eastAsia="Calibri" w:cs="Times New Roman"/>
          <w:iCs/>
          <w:szCs w:val="18"/>
        </w:rPr>
        <w:t xml:space="preserve">. Ņemot vērā, ka 2008. - 2012.gadā, uzsākot pasēs iekļaut biometrijas datus, pases tika izsniegtas ar piecu gadu derīguma termiņu, bet, sākot ar 2012.gadu, attīstoties tehnoloģiskajām iespējām un līdz ar personas apliecību ieviešanu, pases </w:t>
      </w:r>
      <w:r w:rsidR="00B74030" w:rsidRPr="00863EE8">
        <w:rPr>
          <w:rFonts w:eastAsia="Calibri" w:cs="Times New Roman"/>
          <w:iCs/>
          <w:szCs w:val="18"/>
        </w:rPr>
        <w:t>tika izsniegtas</w:t>
      </w:r>
      <w:r w:rsidR="00B74030">
        <w:rPr>
          <w:rFonts w:eastAsia="Calibri" w:cs="Times New Roman"/>
          <w:iCs/>
          <w:szCs w:val="18"/>
        </w:rPr>
        <w:t xml:space="preserve"> ar derīguma termiņu 10 gadu, to personu skaits, kurām nepieciešams saņemt jaunu pasi sakarā ar derīguma termiņa beigšanos, strauji pieauga laika posmā no 2013. līdz 2018.gadam, bet saruka 2019.gadā. Savukārt, no 2023.gada paredzams izsniegto personu apliecinošo dokumentu skaita būtisks pieaugums, ņemot vērā, ka beigsies desmit gadu derīguma termiņš pasēm, kas tika izsniegtas sākot ar 2013.gadu.</w:t>
      </w:r>
    </w:p>
    <w:p w14:paraId="18BB4C80" w14:textId="32026AC3" w:rsidR="007028EB" w:rsidRPr="00B74030" w:rsidRDefault="00B74030" w:rsidP="00B74030">
      <w:pPr>
        <w:spacing w:before="120" w:after="120" w:line="240" w:lineRule="auto"/>
        <w:ind w:firstLine="720"/>
        <w:jc w:val="both"/>
        <w:rPr>
          <w:rFonts w:eastAsia="Calibri" w:cs="Times New Roman"/>
          <w:iCs/>
          <w:szCs w:val="18"/>
        </w:rPr>
      </w:pPr>
      <w:r>
        <w:rPr>
          <w:rFonts w:eastAsia="Calibri" w:cs="Times New Roman"/>
          <w:iCs/>
          <w:szCs w:val="18"/>
        </w:rPr>
        <w:t>Tā kā 2019.gada septembrī tika uzsākta jauna parauga personas apliecību izsniegšana ar desmit gadu derīguma termiņu, līdz ar to 2019.gadā samazinājās Latvijas pilsoņu un nepilsoņu motivācija saņemt iepriekšējā parauga personas apliecības, kuru derīguma termiņš bija pieci gadi.</w:t>
      </w:r>
    </w:p>
    <w:p w14:paraId="2557F29C" w14:textId="7AAE9BDF" w:rsidR="00D815BE" w:rsidRPr="00D815BE" w:rsidRDefault="00D815BE" w:rsidP="00D815BE">
      <w:pPr>
        <w:ind w:firstLine="720"/>
        <w:jc w:val="both"/>
        <w:rPr>
          <w:rFonts w:cs="Times New Roman"/>
        </w:rPr>
      </w:pPr>
      <w:r w:rsidRPr="00D815BE">
        <w:rPr>
          <w:rFonts w:cs="Times New Roman"/>
        </w:rPr>
        <w:t>Izvērtējot apakšprogrammas 11.01.00 rezultatīvo rādītāju dinamiku, secināms, ka, papildus izsniegto personas apliecinošo dokumentu kritumam, ir samazinājies izskatīto naturalizācijas un personu tiesiskā statusa lietu skaits, kā arī ar iedzīvotāju uzskaites veikšanu saistītie rezultatīvie rādītāji. Savukārt, migrācijas un patvēruma lietu jomā ir novērojams palielinājums izsniegto uzturēšanās atļauju skaitā.</w:t>
      </w:r>
    </w:p>
    <w:p w14:paraId="4CDB2C82" w14:textId="3C6A465C" w:rsidR="006A59E3" w:rsidRDefault="006A59E3" w:rsidP="006A59E3">
      <w:pPr>
        <w:ind w:firstLine="720"/>
        <w:jc w:val="both"/>
        <w:rPr>
          <w:rFonts w:cs="Times New Roman"/>
        </w:rPr>
      </w:pPr>
      <w:r>
        <w:rPr>
          <w:rFonts w:cs="Times New Roman"/>
        </w:rPr>
        <w:t>Laikposmā no 2013.</w:t>
      </w:r>
      <w:r w:rsidR="00E176F0">
        <w:rPr>
          <w:rFonts w:cs="Times New Roman"/>
        </w:rPr>
        <w:t xml:space="preserve"> </w:t>
      </w:r>
      <w:r>
        <w:rPr>
          <w:rFonts w:cs="Times New Roman"/>
        </w:rPr>
        <w:t>gada līdz 2019.</w:t>
      </w:r>
      <w:r w:rsidR="00E176F0">
        <w:rPr>
          <w:rFonts w:cs="Times New Roman"/>
        </w:rPr>
        <w:t xml:space="preserve"> </w:t>
      </w:r>
      <w:r>
        <w:rPr>
          <w:rFonts w:cs="Times New Roman"/>
        </w:rPr>
        <w:t xml:space="preserve">gadam IeM kopumā piešķirti 422,7 milj. </w:t>
      </w:r>
      <w:r w:rsidRPr="00DD630C">
        <w:rPr>
          <w:rFonts w:cs="Times New Roman"/>
          <w:i/>
        </w:rPr>
        <w:t>euro</w:t>
      </w:r>
      <w:r>
        <w:rPr>
          <w:rFonts w:cs="Times New Roman"/>
        </w:rPr>
        <w:t xml:space="preserve"> prioritāro pasākumu īstenošanai. Zemāk (</w:t>
      </w:r>
      <w:r w:rsidR="00D90DFF">
        <w:rPr>
          <w:rFonts w:cs="Times New Roman"/>
        </w:rPr>
        <w:fldChar w:fldCharType="begin"/>
      </w:r>
      <w:r w:rsidR="00D90DFF">
        <w:rPr>
          <w:rFonts w:cs="Times New Roman"/>
        </w:rPr>
        <w:instrText xml:space="preserve"> REF _Ref47346392 \h </w:instrText>
      </w:r>
      <w:r w:rsidR="00D90DFF">
        <w:rPr>
          <w:rFonts w:cs="Times New Roman"/>
        </w:rPr>
      </w:r>
      <w:r w:rsidR="00D90DFF">
        <w:rPr>
          <w:rFonts w:cs="Times New Roman"/>
        </w:rPr>
        <w:fldChar w:fldCharType="separate"/>
      </w:r>
      <w:r w:rsidR="00D96F20">
        <w:t xml:space="preserve">Attēls Nr. </w:t>
      </w:r>
      <w:r w:rsidR="00D96F20">
        <w:rPr>
          <w:noProof/>
        </w:rPr>
        <w:t>69</w:t>
      </w:r>
      <w:r w:rsidR="00D90DFF">
        <w:rPr>
          <w:rFonts w:cs="Times New Roman"/>
        </w:rPr>
        <w:fldChar w:fldCharType="end"/>
      </w:r>
      <w:r>
        <w:rPr>
          <w:rFonts w:cs="Times New Roman"/>
        </w:rPr>
        <w:t>) redzams piešķirtā PP finansējuma kopsavilkums.</w:t>
      </w:r>
    </w:p>
    <w:p w14:paraId="0F474C46" w14:textId="227AC26D" w:rsidR="006A59E3" w:rsidRDefault="006A59E3" w:rsidP="006A59E3">
      <w:pPr>
        <w:pStyle w:val="Caption"/>
      </w:pPr>
      <w:bookmarkStart w:id="167" w:name="_Ref47346392"/>
      <w:r>
        <w:lastRenderedPageBreak/>
        <w:t xml:space="preserve">Attēls Nr. </w:t>
      </w:r>
      <w:fldSimple w:instr=" SEQ Attēls_Nr. \* ARABIC ">
        <w:r w:rsidR="00D96F20">
          <w:rPr>
            <w:noProof/>
          </w:rPr>
          <w:t>69</w:t>
        </w:r>
      </w:fldSimple>
      <w:bookmarkEnd w:id="167"/>
    </w:p>
    <w:p w14:paraId="3D45D320" w14:textId="0AA50854" w:rsidR="006A59E3" w:rsidRPr="00A97983" w:rsidRDefault="006A59E3" w:rsidP="006A59E3">
      <w:pPr>
        <w:ind w:firstLine="426"/>
        <w:jc w:val="center"/>
        <w:rPr>
          <w:rFonts w:cs="Times New Roman"/>
          <w:b/>
        </w:rPr>
      </w:pPr>
      <w:r w:rsidRPr="00A97983">
        <w:rPr>
          <w:rFonts w:cs="Times New Roman"/>
          <w:b/>
        </w:rPr>
        <w:t>PP piešķirtais finansējums IeM no 2013. līdz 2022.</w:t>
      </w:r>
      <w:r w:rsidR="00E176F0">
        <w:rPr>
          <w:rFonts w:cs="Times New Roman"/>
          <w:b/>
        </w:rPr>
        <w:t xml:space="preserve"> </w:t>
      </w:r>
      <w:r w:rsidRPr="00A97983">
        <w:rPr>
          <w:rFonts w:cs="Times New Roman"/>
          <w:b/>
        </w:rPr>
        <w:t>gadam (</w:t>
      </w:r>
      <w:r w:rsidRPr="00A97983">
        <w:rPr>
          <w:rFonts w:cs="Times New Roman"/>
        </w:rPr>
        <w:t xml:space="preserve">milj. </w:t>
      </w:r>
      <w:r w:rsidRPr="00A97983">
        <w:rPr>
          <w:rFonts w:cs="Times New Roman"/>
          <w:i/>
        </w:rPr>
        <w:t>euro</w:t>
      </w:r>
      <w:r w:rsidRPr="00A97983">
        <w:rPr>
          <w:rFonts w:cs="Times New Roman"/>
          <w:b/>
        </w:rPr>
        <w:t>)</w:t>
      </w:r>
    </w:p>
    <w:tbl>
      <w:tblPr>
        <w:tblW w:w="8070" w:type="dxa"/>
        <w:jc w:val="center"/>
        <w:tblLook w:val="04A0" w:firstRow="1" w:lastRow="0" w:firstColumn="1" w:lastColumn="0" w:noHBand="0" w:noVBand="1"/>
      </w:tblPr>
      <w:tblGrid>
        <w:gridCol w:w="1093"/>
        <w:gridCol w:w="642"/>
        <w:gridCol w:w="616"/>
        <w:gridCol w:w="616"/>
        <w:gridCol w:w="709"/>
        <w:gridCol w:w="709"/>
        <w:gridCol w:w="708"/>
        <w:gridCol w:w="709"/>
        <w:gridCol w:w="709"/>
        <w:gridCol w:w="709"/>
        <w:gridCol w:w="850"/>
      </w:tblGrid>
      <w:tr w:rsidR="006A59E3" w:rsidRPr="006A59E3" w14:paraId="4944EE66" w14:textId="77777777" w:rsidTr="006A59E3">
        <w:trPr>
          <w:trHeight w:val="252"/>
          <w:jc w:val="center"/>
        </w:trPr>
        <w:tc>
          <w:tcPr>
            <w:tcW w:w="1093" w:type="dxa"/>
            <w:tcBorders>
              <w:top w:val="single" w:sz="8" w:space="0" w:color="auto"/>
              <w:left w:val="single" w:sz="8" w:space="0" w:color="auto"/>
              <w:bottom w:val="single" w:sz="4" w:space="0" w:color="auto"/>
              <w:right w:val="single" w:sz="4" w:space="0" w:color="auto"/>
            </w:tcBorders>
            <w:shd w:val="clear" w:color="DDEBF7" w:fill="70AD47"/>
            <w:vAlign w:val="center"/>
            <w:hideMark/>
          </w:tcPr>
          <w:p w14:paraId="3AC14738"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 </w:t>
            </w:r>
          </w:p>
        </w:tc>
        <w:tc>
          <w:tcPr>
            <w:tcW w:w="642" w:type="dxa"/>
            <w:tcBorders>
              <w:top w:val="single" w:sz="8" w:space="0" w:color="auto"/>
              <w:left w:val="nil"/>
              <w:bottom w:val="single" w:sz="4" w:space="0" w:color="auto"/>
              <w:right w:val="single" w:sz="4" w:space="0" w:color="auto"/>
            </w:tcBorders>
            <w:shd w:val="clear" w:color="DDEBF7" w:fill="70AD47"/>
            <w:noWrap/>
            <w:vAlign w:val="center"/>
            <w:hideMark/>
          </w:tcPr>
          <w:p w14:paraId="23D60BF5"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2013</w:t>
            </w:r>
          </w:p>
        </w:tc>
        <w:tc>
          <w:tcPr>
            <w:tcW w:w="616" w:type="dxa"/>
            <w:tcBorders>
              <w:top w:val="single" w:sz="8" w:space="0" w:color="auto"/>
              <w:left w:val="nil"/>
              <w:bottom w:val="single" w:sz="4" w:space="0" w:color="auto"/>
              <w:right w:val="single" w:sz="4" w:space="0" w:color="auto"/>
            </w:tcBorders>
            <w:shd w:val="clear" w:color="DDEBF7" w:fill="70AD47"/>
            <w:noWrap/>
            <w:vAlign w:val="center"/>
            <w:hideMark/>
          </w:tcPr>
          <w:p w14:paraId="65957CF6"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2014</w:t>
            </w:r>
          </w:p>
        </w:tc>
        <w:tc>
          <w:tcPr>
            <w:tcW w:w="616" w:type="dxa"/>
            <w:tcBorders>
              <w:top w:val="single" w:sz="8" w:space="0" w:color="auto"/>
              <w:left w:val="nil"/>
              <w:bottom w:val="single" w:sz="4" w:space="0" w:color="auto"/>
              <w:right w:val="single" w:sz="4" w:space="0" w:color="auto"/>
            </w:tcBorders>
            <w:shd w:val="clear" w:color="DDEBF7" w:fill="70AD47"/>
            <w:noWrap/>
            <w:vAlign w:val="center"/>
            <w:hideMark/>
          </w:tcPr>
          <w:p w14:paraId="32E7C3BB"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2015</w:t>
            </w:r>
          </w:p>
        </w:tc>
        <w:tc>
          <w:tcPr>
            <w:tcW w:w="709" w:type="dxa"/>
            <w:tcBorders>
              <w:top w:val="single" w:sz="8" w:space="0" w:color="auto"/>
              <w:left w:val="nil"/>
              <w:bottom w:val="single" w:sz="4" w:space="0" w:color="auto"/>
              <w:right w:val="single" w:sz="4" w:space="0" w:color="auto"/>
            </w:tcBorders>
            <w:shd w:val="clear" w:color="DDEBF7" w:fill="70AD47"/>
            <w:noWrap/>
            <w:vAlign w:val="center"/>
            <w:hideMark/>
          </w:tcPr>
          <w:p w14:paraId="004CB906"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2016</w:t>
            </w:r>
          </w:p>
        </w:tc>
        <w:tc>
          <w:tcPr>
            <w:tcW w:w="709" w:type="dxa"/>
            <w:tcBorders>
              <w:top w:val="single" w:sz="8" w:space="0" w:color="auto"/>
              <w:left w:val="nil"/>
              <w:bottom w:val="single" w:sz="4" w:space="0" w:color="auto"/>
              <w:right w:val="single" w:sz="4" w:space="0" w:color="auto"/>
            </w:tcBorders>
            <w:shd w:val="clear" w:color="DDEBF7" w:fill="70AD47"/>
            <w:noWrap/>
            <w:vAlign w:val="center"/>
            <w:hideMark/>
          </w:tcPr>
          <w:p w14:paraId="1A62D7B9"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2017</w:t>
            </w:r>
          </w:p>
        </w:tc>
        <w:tc>
          <w:tcPr>
            <w:tcW w:w="708" w:type="dxa"/>
            <w:tcBorders>
              <w:top w:val="single" w:sz="8" w:space="0" w:color="auto"/>
              <w:left w:val="nil"/>
              <w:bottom w:val="single" w:sz="4" w:space="0" w:color="auto"/>
              <w:right w:val="single" w:sz="4" w:space="0" w:color="auto"/>
            </w:tcBorders>
            <w:shd w:val="clear" w:color="DDEBF7" w:fill="70AD47"/>
            <w:noWrap/>
            <w:vAlign w:val="center"/>
            <w:hideMark/>
          </w:tcPr>
          <w:p w14:paraId="5CFAA50E"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2018</w:t>
            </w:r>
          </w:p>
        </w:tc>
        <w:tc>
          <w:tcPr>
            <w:tcW w:w="709" w:type="dxa"/>
            <w:tcBorders>
              <w:top w:val="single" w:sz="8" w:space="0" w:color="auto"/>
              <w:left w:val="nil"/>
              <w:bottom w:val="single" w:sz="4" w:space="0" w:color="auto"/>
              <w:right w:val="single" w:sz="4" w:space="0" w:color="auto"/>
            </w:tcBorders>
            <w:shd w:val="clear" w:color="DDEBF7" w:fill="70AD47"/>
            <w:noWrap/>
            <w:vAlign w:val="center"/>
            <w:hideMark/>
          </w:tcPr>
          <w:p w14:paraId="169AF1EC"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2019</w:t>
            </w:r>
          </w:p>
        </w:tc>
        <w:tc>
          <w:tcPr>
            <w:tcW w:w="709" w:type="dxa"/>
            <w:tcBorders>
              <w:top w:val="single" w:sz="8" w:space="0" w:color="auto"/>
              <w:left w:val="nil"/>
              <w:bottom w:val="single" w:sz="4" w:space="0" w:color="auto"/>
              <w:right w:val="single" w:sz="4" w:space="0" w:color="auto"/>
            </w:tcBorders>
            <w:shd w:val="clear" w:color="DDEBF7" w:fill="70AD47"/>
            <w:noWrap/>
            <w:vAlign w:val="center"/>
            <w:hideMark/>
          </w:tcPr>
          <w:p w14:paraId="513F9CA3"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2020</w:t>
            </w:r>
          </w:p>
        </w:tc>
        <w:tc>
          <w:tcPr>
            <w:tcW w:w="709" w:type="dxa"/>
            <w:tcBorders>
              <w:top w:val="single" w:sz="8" w:space="0" w:color="auto"/>
              <w:left w:val="nil"/>
              <w:bottom w:val="single" w:sz="4" w:space="0" w:color="auto"/>
              <w:right w:val="single" w:sz="4" w:space="0" w:color="auto"/>
            </w:tcBorders>
            <w:shd w:val="clear" w:color="DDEBF7" w:fill="70AD47"/>
            <w:noWrap/>
            <w:vAlign w:val="center"/>
            <w:hideMark/>
          </w:tcPr>
          <w:p w14:paraId="1068F202"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2021</w:t>
            </w:r>
          </w:p>
        </w:tc>
        <w:tc>
          <w:tcPr>
            <w:tcW w:w="850" w:type="dxa"/>
            <w:tcBorders>
              <w:top w:val="single" w:sz="8" w:space="0" w:color="auto"/>
              <w:left w:val="nil"/>
              <w:bottom w:val="single" w:sz="4" w:space="0" w:color="auto"/>
              <w:right w:val="single" w:sz="8" w:space="0" w:color="auto"/>
            </w:tcBorders>
            <w:shd w:val="clear" w:color="DDEBF7" w:fill="70AD47"/>
            <w:noWrap/>
            <w:vAlign w:val="center"/>
            <w:hideMark/>
          </w:tcPr>
          <w:p w14:paraId="2518F392"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2022</w:t>
            </w:r>
          </w:p>
        </w:tc>
      </w:tr>
      <w:tr w:rsidR="006A59E3" w:rsidRPr="006A59E3" w14:paraId="5756AF8A" w14:textId="77777777" w:rsidTr="006A59E3">
        <w:trPr>
          <w:trHeight w:val="252"/>
          <w:jc w:val="center"/>
        </w:trPr>
        <w:tc>
          <w:tcPr>
            <w:tcW w:w="1093" w:type="dxa"/>
            <w:tcBorders>
              <w:top w:val="nil"/>
              <w:left w:val="single" w:sz="8" w:space="0" w:color="auto"/>
              <w:bottom w:val="single" w:sz="4" w:space="0" w:color="auto"/>
              <w:right w:val="single" w:sz="4" w:space="0" w:color="auto"/>
            </w:tcBorders>
            <w:shd w:val="clear" w:color="auto" w:fill="auto"/>
            <w:vAlign w:val="center"/>
            <w:hideMark/>
          </w:tcPr>
          <w:p w14:paraId="747A8808"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2013-2015</w:t>
            </w:r>
          </w:p>
        </w:tc>
        <w:tc>
          <w:tcPr>
            <w:tcW w:w="642" w:type="dxa"/>
            <w:tcBorders>
              <w:top w:val="nil"/>
              <w:left w:val="nil"/>
              <w:bottom w:val="single" w:sz="4" w:space="0" w:color="auto"/>
              <w:right w:val="single" w:sz="4" w:space="0" w:color="auto"/>
            </w:tcBorders>
            <w:shd w:val="clear" w:color="auto" w:fill="auto"/>
            <w:noWrap/>
            <w:vAlign w:val="center"/>
            <w:hideMark/>
          </w:tcPr>
          <w:p w14:paraId="1BC197F7"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28,2</w:t>
            </w:r>
          </w:p>
        </w:tc>
        <w:tc>
          <w:tcPr>
            <w:tcW w:w="616" w:type="dxa"/>
            <w:tcBorders>
              <w:top w:val="nil"/>
              <w:left w:val="nil"/>
              <w:bottom w:val="single" w:sz="4" w:space="0" w:color="auto"/>
              <w:right w:val="single" w:sz="4" w:space="0" w:color="auto"/>
            </w:tcBorders>
            <w:shd w:val="clear" w:color="auto" w:fill="auto"/>
            <w:noWrap/>
            <w:vAlign w:val="center"/>
            <w:hideMark/>
          </w:tcPr>
          <w:p w14:paraId="6CEF9859"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25,0</w:t>
            </w:r>
          </w:p>
        </w:tc>
        <w:tc>
          <w:tcPr>
            <w:tcW w:w="616" w:type="dxa"/>
            <w:tcBorders>
              <w:top w:val="nil"/>
              <w:left w:val="nil"/>
              <w:bottom w:val="single" w:sz="4" w:space="0" w:color="auto"/>
              <w:right w:val="single" w:sz="4" w:space="0" w:color="auto"/>
            </w:tcBorders>
            <w:shd w:val="clear" w:color="auto" w:fill="auto"/>
            <w:noWrap/>
            <w:vAlign w:val="center"/>
            <w:hideMark/>
          </w:tcPr>
          <w:p w14:paraId="3EB48252"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24,4</w:t>
            </w:r>
          </w:p>
        </w:tc>
        <w:tc>
          <w:tcPr>
            <w:tcW w:w="709" w:type="dxa"/>
            <w:tcBorders>
              <w:top w:val="nil"/>
              <w:left w:val="nil"/>
              <w:bottom w:val="single" w:sz="4" w:space="0" w:color="auto"/>
              <w:right w:val="single" w:sz="4" w:space="0" w:color="auto"/>
            </w:tcBorders>
            <w:shd w:val="clear" w:color="auto" w:fill="auto"/>
            <w:noWrap/>
            <w:vAlign w:val="center"/>
            <w:hideMark/>
          </w:tcPr>
          <w:p w14:paraId="2DF86486"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2D352F43"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8" w:type="dxa"/>
            <w:tcBorders>
              <w:top w:val="nil"/>
              <w:left w:val="nil"/>
              <w:bottom w:val="single" w:sz="4" w:space="0" w:color="auto"/>
              <w:right w:val="single" w:sz="4" w:space="0" w:color="auto"/>
            </w:tcBorders>
            <w:shd w:val="clear" w:color="auto" w:fill="auto"/>
            <w:noWrap/>
            <w:vAlign w:val="center"/>
            <w:hideMark/>
          </w:tcPr>
          <w:p w14:paraId="6C62FB39"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2C4CAA67"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1431EC17"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5A3AEA72"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850" w:type="dxa"/>
            <w:tcBorders>
              <w:top w:val="nil"/>
              <w:left w:val="nil"/>
              <w:bottom w:val="single" w:sz="4" w:space="0" w:color="auto"/>
              <w:right w:val="single" w:sz="8" w:space="0" w:color="auto"/>
            </w:tcBorders>
            <w:shd w:val="clear" w:color="auto" w:fill="auto"/>
            <w:noWrap/>
            <w:vAlign w:val="center"/>
            <w:hideMark/>
          </w:tcPr>
          <w:p w14:paraId="21410B2E"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r>
      <w:tr w:rsidR="006A59E3" w:rsidRPr="006A59E3" w14:paraId="576E6B26" w14:textId="77777777" w:rsidTr="006A59E3">
        <w:trPr>
          <w:trHeight w:val="252"/>
          <w:jc w:val="center"/>
        </w:trPr>
        <w:tc>
          <w:tcPr>
            <w:tcW w:w="1093" w:type="dxa"/>
            <w:tcBorders>
              <w:top w:val="nil"/>
              <w:left w:val="single" w:sz="8" w:space="0" w:color="auto"/>
              <w:bottom w:val="single" w:sz="4" w:space="0" w:color="auto"/>
              <w:right w:val="single" w:sz="4" w:space="0" w:color="auto"/>
            </w:tcBorders>
            <w:shd w:val="clear" w:color="auto" w:fill="auto"/>
            <w:vAlign w:val="center"/>
            <w:hideMark/>
          </w:tcPr>
          <w:p w14:paraId="33991414"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2014-2016</w:t>
            </w:r>
          </w:p>
        </w:tc>
        <w:tc>
          <w:tcPr>
            <w:tcW w:w="642" w:type="dxa"/>
            <w:tcBorders>
              <w:top w:val="nil"/>
              <w:left w:val="nil"/>
              <w:bottom w:val="single" w:sz="4" w:space="0" w:color="auto"/>
              <w:right w:val="single" w:sz="4" w:space="0" w:color="auto"/>
            </w:tcBorders>
            <w:shd w:val="clear" w:color="auto" w:fill="auto"/>
            <w:noWrap/>
            <w:vAlign w:val="center"/>
            <w:hideMark/>
          </w:tcPr>
          <w:p w14:paraId="12A42008"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3D6D8170"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13,9</w:t>
            </w:r>
          </w:p>
        </w:tc>
        <w:tc>
          <w:tcPr>
            <w:tcW w:w="616" w:type="dxa"/>
            <w:tcBorders>
              <w:top w:val="nil"/>
              <w:left w:val="nil"/>
              <w:bottom w:val="single" w:sz="4" w:space="0" w:color="auto"/>
              <w:right w:val="single" w:sz="4" w:space="0" w:color="auto"/>
            </w:tcBorders>
            <w:shd w:val="clear" w:color="auto" w:fill="auto"/>
            <w:noWrap/>
            <w:vAlign w:val="center"/>
            <w:hideMark/>
          </w:tcPr>
          <w:p w14:paraId="2D0B77CF"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17,9</w:t>
            </w:r>
          </w:p>
        </w:tc>
        <w:tc>
          <w:tcPr>
            <w:tcW w:w="709" w:type="dxa"/>
            <w:tcBorders>
              <w:top w:val="nil"/>
              <w:left w:val="nil"/>
              <w:bottom w:val="single" w:sz="4" w:space="0" w:color="auto"/>
              <w:right w:val="single" w:sz="4" w:space="0" w:color="auto"/>
            </w:tcBorders>
            <w:shd w:val="clear" w:color="auto" w:fill="auto"/>
            <w:noWrap/>
            <w:vAlign w:val="center"/>
            <w:hideMark/>
          </w:tcPr>
          <w:p w14:paraId="2C001D09"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32,4</w:t>
            </w:r>
          </w:p>
        </w:tc>
        <w:tc>
          <w:tcPr>
            <w:tcW w:w="709" w:type="dxa"/>
            <w:tcBorders>
              <w:top w:val="nil"/>
              <w:left w:val="nil"/>
              <w:bottom w:val="single" w:sz="4" w:space="0" w:color="auto"/>
              <w:right w:val="single" w:sz="4" w:space="0" w:color="auto"/>
            </w:tcBorders>
            <w:shd w:val="clear" w:color="auto" w:fill="auto"/>
            <w:noWrap/>
            <w:vAlign w:val="center"/>
            <w:hideMark/>
          </w:tcPr>
          <w:p w14:paraId="1B66BE22"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8" w:type="dxa"/>
            <w:tcBorders>
              <w:top w:val="nil"/>
              <w:left w:val="nil"/>
              <w:bottom w:val="single" w:sz="4" w:space="0" w:color="auto"/>
              <w:right w:val="single" w:sz="4" w:space="0" w:color="auto"/>
            </w:tcBorders>
            <w:shd w:val="clear" w:color="auto" w:fill="auto"/>
            <w:noWrap/>
            <w:vAlign w:val="center"/>
            <w:hideMark/>
          </w:tcPr>
          <w:p w14:paraId="4F98EC5A"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38B015E8"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56453D9F"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3959DC85"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850" w:type="dxa"/>
            <w:tcBorders>
              <w:top w:val="nil"/>
              <w:left w:val="nil"/>
              <w:bottom w:val="single" w:sz="4" w:space="0" w:color="auto"/>
              <w:right w:val="single" w:sz="8" w:space="0" w:color="auto"/>
            </w:tcBorders>
            <w:shd w:val="clear" w:color="auto" w:fill="auto"/>
            <w:noWrap/>
            <w:vAlign w:val="center"/>
            <w:hideMark/>
          </w:tcPr>
          <w:p w14:paraId="476DB966"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r>
      <w:tr w:rsidR="006A59E3" w:rsidRPr="006A59E3" w14:paraId="2FC62880" w14:textId="77777777" w:rsidTr="006A59E3">
        <w:trPr>
          <w:trHeight w:val="252"/>
          <w:jc w:val="center"/>
        </w:trPr>
        <w:tc>
          <w:tcPr>
            <w:tcW w:w="1093" w:type="dxa"/>
            <w:tcBorders>
              <w:top w:val="nil"/>
              <w:left w:val="single" w:sz="8" w:space="0" w:color="auto"/>
              <w:bottom w:val="single" w:sz="4" w:space="0" w:color="auto"/>
              <w:right w:val="single" w:sz="4" w:space="0" w:color="auto"/>
            </w:tcBorders>
            <w:shd w:val="clear" w:color="auto" w:fill="auto"/>
            <w:vAlign w:val="center"/>
            <w:hideMark/>
          </w:tcPr>
          <w:p w14:paraId="42117CA0"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2015-2017</w:t>
            </w:r>
          </w:p>
        </w:tc>
        <w:tc>
          <w:tcPr>
            <w:tcW w:w="642" w:type="dxa"/>
            <w:tcBorders>
              <w:top w:val="nil"/>
              <w:left w:val="nil"/>
              <w:bottom w:val="single" w:sz="4" w:space="0" w:color="auto"/>
              <w:right w:val="single" w:sz="4" w:space="0" w:color="auto"/>
            </w:tcBorders>
            <w:shd w:val="clear" w:color="auto" w:fill="auto"/>
            <w:noWrap/>
            <w:vAlign w:val="center"/>
            <w:hideMark/>
          </w:tcPr>
          <w:p w14:paraId="33E6EE93"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3D5B5F2F"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755F697C"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11,6</w:t>
            </w:r>
          </w:p>
        </w:tc>
        <w:tc>
          <w:tcPr>
            <w:tcW w:w="709" w:type="dxa"/>
            <w:tcBorders>
              <w:top w:val="nil"/>
              <w:left w:val="nil"/>
              <w:bottom w:val="single" w:sz="4" w:space="0" w:color="auto"/>
              <w:right w:val="single" w:sz="4" w:space="0" w:color="auto"/>
            </w:tcBorders>
            <w:shd w:val="clear" w:color="auto" w:fill="auto"/>
            <w:noWrap/>
            <w:vAlign w:val="center"/>
            <w:hideMark/>
          </w:tcPr>
          <w:p w14:paraId="685EAAF6"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12,1</w:t>
            </w:r>
          </w:p>
        </w:tc>
        <w:tc>
          <w:tcPr>
            <w:tcW w:w="709" w:type="dxa"/>
            <w:tcBorders>
              <w:top w:val="nil"/>
              <w:left w:val="nil"/>
              <w:bottom w:val="single" w:sz="4" w:space="0" w:color="auto"/>
              <w:right w:val="single" w:sz="4" w:space="0" w:color="auto"/>
            </w:tcBorders>
            <w:shd w:val="clear" w:color="auto" w:fill="auto"/>
            <w:noWrap/>
            <w:vAlign w:val="center"/>
            <w:hideMark/>
          </w:tcPr>
          <w:p w14:paraId="12D19562"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11,8</w:t>
            </w:r>
          </w:p>
        </w:tc>
        <w:tc>
          <w:tcPr>
            <w:tcW w:w="708" w:type="dxa"/>
            <w:tcBorders>
              <w:top w:val="nil"/>
              <w:left w:val="nil"/>
              <w:bottom w:val="single" w:sz="4" w:space="0" w:color="auto"/>
              <w:right w:val="single" w:sz="4" w:space="0" w:color="auto"/>
            </w:tcBorders>
            <w:shd w:val="clear" w:color="auto" w:fill="auto"/>
            <w:noWrap/>
            <w:vAlign w:val="center"/>
            <w:hideMark/>
          </w:tcPr>
          <w:p w14:paraId="0D5C874D"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31BF5F61"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15BACDE1"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3A78E8B6"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850" w:type="dxa"/>
            <w:tcBorders>
              <w:top w:val="nil"/>
              <w:left w:val="nil"/>
              <w:bottom w:val="single" w:sz="4" w:space="0" w:color="auto"/>
              <w:right w:val="single" w:sz="8" w:space="0" w:color="auto"/>
            </w:tcBorders>
            <w:shd w:val="clear" w:color="auto" w:fill="auto"/>
            <w:noWrap/>
            <w:vAlign w:val="center"/>
            <w:hideMark/>
          </w:tcPr>
          <w:p w14:paraId="4B845BE4"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r>
      <w:tr w:rsidR="006A59E3" w:rsidRPr="006A59E3" w14:paraId="343DA478" w14:textId="77777777" w:rsidTr="006A59E3">
        <w:trPr>
          <w:trHeight w:val="252"/>
          <w:jc w:val="center"/>
        </w:trPr>
        <w:tc>
          <w:tcPr>
            <w:tcW w:w="1093" w:type="dxa"/>
            <w:tcBorders>
              <w:top w:val="nil"/>
              <w:left w:val="single" w:sz="8" w:space="0" w:color="auto"/>
              <w:bottom w:val="single" w:sz="4" w:space="0" w:color="auto"/>
              <w:right w:val="single" w:sz="4" w:space="0" w:color="auto"/>
            </w:tcBorders>
            <w:shd w:val="clear" w:color="auto" w:fill="auto"/>
            <w:vAlign w:val="center"/>
            <w:hideMark/>
          </w:tcPr>
          <w:p w14:paraId="600C74D7"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2016-2018</w:t>
            </w:r>
          </w:p>
        </w:tc>
        <w:tc>
          <w:tcPr>
            <w:tcW w:w="642" w:type="dxa"/>
            <w:tcBorders>
              <w:top w:val="nil"/>
              <w:left w:val="nil"/>
              <w:bottom w:val="single" w:sz="4" w:space="0" w:color="auto"/>
              <w:right w:val="single" w:sz="4" w:space="0" w:color="auto"/>
            </w:tcBorders>
            <w:shd w:val="clear" w:color="auto" w:fill="auto"/>
            <w:noWrap/>
            <w:vAlign w:val="center"/>
            <w:hideMark/>
          </w:tcPr>
          <w:p w14:paraId="58EB3ABD"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53394E4F"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587E0AE2"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7674664D"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36,6</w:t>
            </w:r>
          </w:p>
        </w:tc>
        <w:tc>
          <w:tcPr>
            <w:tcW w:w="709" w:type="dxa"/>
            <w:tcBorders>
              <w:top w:val="nil"/>
              <w:left w:val="nil"/>
              <w:bottom w:val="single" w:sz="4" w:space="0" w:color="auto"/>
              <w:right w:val="single" w:sz="4" w:space="0" w:color="auto"/>
            </w:tcBorders>
            <w:shd w:val="clear" w:color="auto" w:fill="auto"/>
            <w:noWrap/>
            <w:vAlign w:val="center"/>
            <w:hideMark/>
          </w:tcPr>
          <w:p w14:paraId="6A858EE2"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37,1</w:t>
            </w:r>
          </w:p>
        </w:tc>
        <w:tc>
          <w:tcPr>
            <w:tcW w:w="708" w:type="dxa"/>
            <w:tcBorders>
              <w:top w:val="nil"/>
              <w:left w:val="nil"/>
              <w:bottom w:val="single" w:sz="4" w:space="0" w:color="auto"/>
              <w:right w:val="single" w:sz="4" w:space="0" w:color="auto"/>
            </w:tcBorders>
            <w:shd w:val="clear" w:color="auto" w:fill="auto"/>
            <w:noWrap/>
            <w:vAlign w:val="center"/>
            <w:hideMark/>
          </w:tcPr>
          <w:p w14:paraId="20C75822"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35,7</w:t>
            </w:r>
          </w:p>
        </w:tc>
        <w:tc>
          <w:tcPr>
            <w:tcW w:w="709" w:type="dxa"/>
            <w:tcBorders>
              <w:top w:val="nil"/>
              <w:left w:val="nil"/>
              <w:bottom w:val="single" w:sz="4" w:space="0" w:color="auto"/>
              <w:right w:val="single" w:sz="4" w:space="0" w:color="auto"/>
            </w:tcBorders>
            <w:shd w:val="clear" w:color="auto" w:fill="auto"/>
            <w:noWrap/>
            <w:vAlign w:val="center"/>
            <w:hideMark/>
          </w:tcPr>
          <w:p w14:paraId="1A8CD6A3"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2812ED3A"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7923A4E1"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850" w:type="dxa"/>
            <w:tcBorders>
              <w:top w:val="nil"/>
              <w:left w:val="nil"/>
              <w:bottom w:val="single" w:sz="4" w:space="0" w:color="auto"/>
              <w:right w:val="single" w:sz="8" w:space="0" w:color="auto"/>
            </w:tcBorders>
            <w:shd w:val="clear" w:color="auto" w:fill="auto"/>
            <w:noWrap/>
            <w:vAlign w:val="center"/>
            <w:hideMark/>
          </w:tcPr>
          <w:p w14:paraId="677951A2"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r>
      <w:tr w:rsidR="006A59E3" w:rsidRPr="006A59E3" w14:paraId="2343BE45" w14:textId="77777777" w:rsidTr="006A59E3">
        <w:trPr>
          <w:trHeight w:val="252"/>
          <w:jc w:val="center"/>
        </w:trPr>
        <w:tc>
          <w:tcPr>
            <w:tcW w:w="1093" w:type="dxa"/>
            <w:tcBorders>
              <w:top w:val="nil"/>
              <w:left w:val="single" w:sz="8" w:space="0" w:color="auto"/>
              <w:bottom w:val="single" w:sz="4" w:space="0" w:color="auto"/>
              <w:right w:val="single" w:sz="4" w:space="0" w:color="auto"/>
            </w:tcBorders>
            <w:shd w:val="clear" w:color="auto" w:fill="auto"/>
            <w:vAlign w:val="center"/>
            <w:hideMark/>
          </w:tcPr>
          <w:p w14:paraId="3BDB69A8"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2017-2019</w:t>
            </w:r>
          </w:p>
        </w:tc>
        <w:tc>
          <w:tcPr>
            <w:tcW w:w="642" w:type="dxa"/>
            <w:tcBorders>
              <w:top w:val="nil"/>
              <w:left w:val="nil"/>
              <w:bottom w:val="single" w:sz="4" w:space="0" w:color="auto"/>
              <w:right w:val="single" w:sz="4" w:space="0" w:color="auto"/>
            </w:tcBorders>
            <w:shd w:val="clear" w:color="auto" w:fill="auto"/>
            <w:noWrap/>
            <w:vAlign w:val="center"/>
            <w:hideMark/>
          </w:tcPr>
          <w:p w14:paraId="6B71389B"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719585B2"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1036F361"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27239181"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1A91BD5C"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36,6</w:t>
            </w:r>
          </w:p>
        </w:tc>
        <w:tc>
          <w:tcPr>
            <w:tcW w:w="708" w:type="dxa"/>
            <w:tcBorders>
              <w:top w:val="nil"/>
              <w:left w:val="nil"/>
              <w:bottom w:val="single" w:sz="4" w:space="0" w:color="auto"/>
              <w:right w:val="single" w:sz="4" w:space="0" w:color="auto"/>
            </w:tcBorders>
            <w:shd w:val="clear" w:color="auto" w:fill="auto"/>
            <w:noWrap/>
            <w:vAlign w:val="center"/>
            <w:hideMark/>
          </w:tcPr>
          <w:p w14:paraId="641A2E70"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36,6</w:t>
            </w:r>
          </w:p>
        </w:tc>
        <w:tc>
          <w:tcPr>
            <w:tcW w:w="709" w:type="dxa"/>
            <w:tcBorders>
              <w:top w:val="nil"/>
              <w:left w:val="nil"/>
              <w:bottom w:val="single" w:sz="4" w:space="0" w:color="auto"/>
              <w:right w:val="single" w:sz="4" w:space="0" w:color="auto"/>
            </w:tcBorders>
            <w:shd w:val="clear" w:color="auto" w:fill="auto"/>
            <w:noWrap/>
            <w:vAlign w:val="center"/>
            <w:hideMark/>
          </w:tcPr>
          <w:p w14:paraId="5B746B7B"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36,6</w:t>
            </w:r>
          </w:p>
        </w:tc>
        <w:tc>
          <w:tcPr>
            <w:tcW w:w="709" w:type="dxa"/>
            <w:tcBorders>
              <w:top w:val="nil"/>
              <w:left w:val="nil"/>
              <w:bottom w:val="single" w:sz="4" w:space="0" w:color="auto"/>
              <w:right w:val="single" w:sz="4" w:space="0" w:color="auto"/>
            </w:tcBorders>
            <w:shd w:val="clear" w:color="auto" w:fill="auto"/>
            <w:noWrap/>
            <w:vAlign w:val="center"/>
            <w:hideMark/>
          </w:tcPr>
          <w:p w14:paraId="1C4C43FF"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34D96035"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850" w:type="dxa"/>
            <w:tcBorders>
              <w:top w:val="nil"/>
              <w:left w:val="nil"/>
              <w:bottom w:val="single" w:sz="4" w:space="0" w:color="auto"/>
              <w:right w:val="single" w:sz="8" w:space="0" w:color="auto"/>
            </w:tcBorders>
            <w:shd w:val="clear" w:color="auto" w:fill="auto"/>
            <w:noWrap/>
            <w:vAlign w:val="center"/>
            <w:hideMark/>
          </w:tcPr>
          <w:p w14:paraId="124CB18A"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r>
      <w:tr w:rsidR="006A59E3" w:rsidRPr="006A59E3" w14:paraId="24C96B39" w14:textId="77777777" w:rsidTr="006A59E3">
        <w:trPr>
          <w:trHeight w:val="252"/>
          <w:jc w:val="center"/>
        </w:trPr>
        <w:tc>
          <w:tcPr>
            <w:tcW w:w="1093" w:type="dxa"/>
            <w:tcBorders>
              <w:top w:val="nil"/>
              <w:left w:val="single" w:sz="8" w:space="0" w:color="auto"/>
              <w:bottom w:val="single" w:sz="4" w:space="0" w:color="auto"/>
              <w:right w:val="single" w:sz="4" w:space="0" w:color="auto"/>
            </w:tcBorders>
            <w:shd w:val="clear" w:color="auto" w:fill="auto"/>
            <w:vAlign w:val="center"/>
            <w:hideMark/>
          </w:tcPr>
          <w:p w14:paraId="78E72D50"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2018-2020</w:t>
            </w:r>
          </w:p>
        </w:tc>
        <w:tc>
          <w:tcPr>
            <w:tcW w:w="642" w:type="dxa"/>
            <w:tcBorders>
              <w:top w:val="nil"/>
              <w:left w:val="nil"/>
              <w:bottom w:val="single" w:sz="4" w:space="0" w:color="auto"/>
              <w:right w:val="single" w:sz="4" w:space="0" w:color="auto"/>
            </w:tcBorders>
            <w:shd w:val="clear" w:color="auto" w:fill="auto"/>
            <w:noWrap/>
            <w:vAlign w:val="center"/>
            <w:hideMark/>
          </w:tcPr>
          <w:p w14:paraId="57C24481"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52CAFF2D"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50AC33EB"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79509EA7"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24E3562B"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8" w:type="dxa"/>
            <w:tcBorders>
              <w:top w:val="nil"/>
              <w:left w:val="nil"/>
              <w:bottom w:val="single" w:sz="4" w:space="0" w:color="auto"/>
              <w:right w:val="single" w:sz="4" w:space="0" w:color="auto"/>
            </w:tcBorders>
            <w:shd w:val="clear" w:color="auto" w:fill="auto"/>
            <w:noWrap/>
            <w:vAlign w:val="center"/>
            <w:hideMark/>
          </w:tcPr>
          <w:p w14:paraId="406D7FDF"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11,4</w:t>
            </w:r>
          </w:p>
        </w:tc>
        <w:tc>
          <w:tcPr>
            <w:tcW w:w="709" w:type="dxa"/>
            <w:tcBorders>
              <w:top w:val="nil"/>
              <w:left w:val="nil"/>
              <w:bottom w:val="single" w:sz="4" w:space="0" w:color="auto"/>
              <w:right w:val="single" w:sz="4" w:space="0" w:color="auto"/>
            </w:tcBorders>
            <w:shd w:val="clear" w:color="auto" w:fill="auto"/>
            <w:noWrap/>
            <w:vAlign w:val="center"/>
            <w:hideMark/>
          </w:tcPr>
          <w:p w14:paraId="43CF5618"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10,7</w:t>
            </w:r>
          </w:p>
        </w:tc>
        <w:tc>
          <w:tcPr>
            <w:tcW w:w="709" w:type="dxa"/>
            <w:tcBorders>
              <w:top w:val="nil"/>
              <w:left w:val="nil"/>
              <w:bottom w:val="single" w:sz="4" w:space="0" w:color="auto"/>
              <w:right w:val="single" w:sz="4" w:space="0" w:color="auto"/>
            </w:tcBorders>
            <w:shd w:val="clear" w:color="auto" w:fill="auto"/>
            <w:noWrap/>
            <w:vAlign w:val="center"/>
            <w:hideMark/>
          </w:tcPr>
          <w:p w14:paraId="0426A685"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14,5</w:t>
            </w:r>
          </w:p>
        </w:tc>
        <w:tc>
          <w:tcPr>
            <w:tcW w:w="709" w:type="dxa"/>
            <w:tcBorders>
              <w:top w:val="nil"/>
              <w:left w:val="nil"/>
              <w:bottom w:val="single" w:sz="4" w:space="0" w:color="auto"/>
              <w:right w:val="single" w:sz="4" w:space="0" w:color="auto"/>
            </w:tcBorders>
            <w:shd w:val="clear" w:color="auto" w:fill="auto"/>
            <w:noWrap/>
            <w:vAlign w:val="center"/>
            <w:hideMark/>
          </w:tcPr>
          <w:p w14:paraId="59CF00F3"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850" w:type="dxa"/>
            <w:tcBorders>
              <w:top w:val="nil"/>
              <w:left w:val="nil"/>
              <w:bottom w:val="single" w:sz="4" w:space="0" w:color="auto"/>
              <w:right w:val="single" w:sz="8" w:space="0" w:color="auto"/>
            </w:tcBorders>
            <w:shd w:val="clear" w:color="auto" w:fill="auto"/>
            <w:noWrap/>
            <w:vAlign w:val="center"/>
            <w:hideMark/>
          </w:tcPr>
          <w:p w14:paraId="756452CD"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r>
      <w:tr w:rsidR="006A59E3" w:rsidRPr="006A59E3" w14:paraId="2804106F" w14:textId="77777777" w:rsidTr="006A59E3">
        <w:trPr>
          <w:trHeight w:val="252"/>
          <w:jc w:val="center"/>
        </w:trPr>
        <w:tc>
          <w:tcPr>
            <w:tcW w:w="1093" w:type="dxa"/>
            <w:tcBorders>
              <w:top w:val="nil"/>
              <w:left w:val="single" w:sz="8" w:space="0" w:color="auto"/>
              <w:bottom w:val="single" w:sz="4" w:space="0" w:color="auto"/>
              <w:right w:val="single" w:sz="4" w:space="0" w:color="auto"/>
            </w:tcBorders>
            <w:shd w:val="clear" w:color="auto" w:fill="auto"/>
            <w:vAlign w:val="center"/>
            <w:hideMark/>
          </w:tcPr>
          <w:p w14:paraId="5E234126"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2019-2021</w:t>
            </w:r>
          </w:p>
        </w:tc>
        <w:tc>
          <w:tcPr>
            <w:tcW w:w="642" w:type="dxa"/>
            <w:tcBorders>
              <w:top w:val="nil"/>
              <w:left w:val="nil"/>
              <w:bottom w:val="single" w:sz="4" w:space="0" w:color="auto"/>
              <w:right w:val="single" w:sz="4" w:space="0" w:color="auto"/>
            </w:tcBorders>
            <w:shd w:val="clear" w:color="auto" w:fill="auto"/>
            <w:noWrap/>
            <w:vAlign w:val="center"/>
            <w:hideMark/>
          </w:tcPr>
          <w:p w14:paraId="098727AC"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2109B54C"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0C7CE6D9"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2EB0DC30"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51FBF09B"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8" w:type="dxa"/>
            <w:tcBorders>
              <w:top w:val="nil"/>
              <w:left w:val="nil"/>
              <w:bottom w:val="single" w:sz="4" w:space="0" w:color="auto"/>
              <w:right w:val="single" w:sz="4" w:space="0" w:color="auto"/>
            </w:tcBorders>
            <w:shd w:val="clear" w:color="auto" w:fill="auto"/>
            <w:noWrap/>
            <w:vAlign w:val="center"/>
            <w:hideMark/>
          </w:tcPr>
          <w:p w14:paraId="494A5BF9"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44B74E5A"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4,2</w:t>
            </w:r>
          </w:p>
        </w:tc>
        <w:tc>
          <w:tcPr>
            <w:tcW w:w="709" w:type="dxa"/>
            <w:tcBorders>
              <w:top w:val="nil"/>
              <w:left w:val="nil"/>
              <w:bottom w:val="single" w:sz="4" w:space="0" w:color="auto"/>
              <w:right w:val="single" w:sz="4" w:space="0" w:color="auto"/>
            </w:tcBorders>
            <w:shd w:val="clear" w:color="auto" w:fill="auto"/>
            <w:noWrap/>
            <w:vAlign w:val="center"/>
            <w:hideMark/>
          </w:tcPr>
          <w:p w14:paraId="4745A5F1"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2,2</w:t>
            </w:r>
          </w:p>
        </w:tc>
        <w:tc>
          <w:tcPr>
            <w:tcW w:w="709" w:type="dxa"/>
            <w:tcBorders>
              <w:top w:val="nil"/>
              <w:left w:val="nil"/>
              <w:bottom w:val="single" w:sz="4" w:space="0" w:color="auto"/>
              <w:right w:val="single" w:sz="4" w:space="0" w:color="auto"/>
            </w:tcBorders>
            <w:shd w:val="clear" w:color="auto" w:fill="auto"/>
            <w:noWrap/>
            <w:vAlign w:val="center"/>
            <w:hideMark/>
          </w:tcPr>
          <w:p w14:paraId="55FBE0D2"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2,2</w:t>
            </w:r>
          </w:p>
        </w:tc>
        <w:tc>
          <w:tcPr>
            <w:tcW w:w="850" w:type="dxa"/>
            <w:tcBorders>
              <w:top w:val="nil"/>
              <w:left w:val="nil"/>
              <w:bottom w:val="single" w:sz="4" w:space="0" w:color="auto"/>
              <w:right w:val="single" w:sz="8" w:space="0" w:color="auto"/>
            </w:tcBorders>
            <w:shd w:val="clear" w:color="auto" w:fill="auto"/>
            <w:noWrap/>
            <w:vAlign w:val="center"/>
            <w:hideMark/>
          </w:tcPr>
          <w:p w14:paraId="3AECC310"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r>
      <w:tr w:rsidR="006A59E3" w:rsidRPr="006A59E3" w14:paraId="00395078" w14:textId="77777777" w:rsidTr="006A59E3">
        <w:trPr>
          <w:trHeight w:val="252"/>
          <w:jc w:val="center"/>
        </w:trPr>
        <w:tc>
          <w:tcPr>
            <w:tcW w:w="1093" w:type="dxa"/>
            <w:tcBorders>
              <w:top w:val="nil"/>
              <w:left w:val="single" w:sz="8" w:space="0" w:color="auto"/>
              <w:bottom w:val="single" w:sz="4" w:space="0" w:color="auto"/>
              <w:right w:val="single" w:sz="4" w:space="0" w:color="auto"/>
            </w:tcBorders>
            <w:shd w:val="clear" w:color="auto" w:fill="auto"/>
            <w:vAlign w:val="center"/>
            <w:hideMark/>
          </w:tcPr>
          <w:p w14:paraId="3EF74113"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2020-2022</w:t>
            </w:r>
          </w:p>
        </w:tc>
        <w:tc>
          <w:tcPr>
            <w:tcW w:w="642" w:type="dxa"/>
            <w:tcBorders>
              <w:top w:val="nil"/>
              <w:left w:val="nil"/>
              <w:bottom w:val="single" w:sz="4" w:space="0" w:color="auto"/>
              <w:right w:val="single" w:sz="4" w:space="0" w:color="auto"/>
            </w:tcBorders>
            <w:shd w:val="clear" w:color="auto" w:fill="auto"/>
            <w:noWrap/>
            <w:vAlign w:val="center"/>
            <w:hideMark/>
          </w:tcPr>
          <w:p w14:paraId="2E884C12"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3DDB2408"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616" w:type="dxa"/>
            <w:tcBorders>
              <w:top w:val="nil"/>
              <w:left w:val="nil"/>
              <w:bottom w:val="single" w:sz="4" w:space="0" w:color="auto"/>
              <w:right w:val="single" w:sz="4" w:space="0" w:color="auto"/>
            </w:tcBorders>
            <w:shd w:val="clear" w:color="auto" w:fill="auto"/>
            <w:noWrap/>
            <w:vAlign w:val="center"/>
            <w:hideMark/>
          </w:tcPr>
          <w:p w14:paraId="1B022A6A"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3D21E060"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57A9A1BC"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8" w:type="dxa"/>
            <w:tcBorders>
              <w:top w:val="nil"/>
              <w:left w:val="nil"/>
              <w:bottom w:val="single" w:sz="4" w:space="0" w:color="auto"/>
              <w:right w:val="single" w:sz="4" w:space="0" w:color="auto"/>
            </w:tcBorders>
            <w:shd w:val="clear" w:color="auto" w:fill="auto"/>
            <w:noWrap/>
            <w:vAlign w:val="center"/>
            <w:hideMark/>
          </w:tcPr>
          <w:p w14:paraId="21AE817D"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3EAA6A3B" w14:textId="77777777" w:rsidR="006A59E3" w:rsidRPr="006A59E3" w:rsidRDefault="006A59E3" w:rsidP="006A59E3">
            <w:pPr>
              <w:spacing w:after="0" w:line="240" w:lineRule="auto"/>
              <w:jc w:val="both"/>
              <w:rPr>
                <w:rFonts w:eastAsia="Times New Roman" w:cs="Times New Roman"/>
                <w:sz w:val="20"/>
                <w:szCs w:val="20"/>
                <w:lang w:eastAsia="lv-LV"/>
              </w:rPr>
            </w:pPr>
            <w:r w:rsidRPr="006A59E3">
              <w:rPr>
                <w:rFonts w:eastAsia="Times New Roman" w:cs="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2ABA40C3"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19,2</w:t>
            </w:r>
          </w:p>
        </w:tc>
        <w:tc>
          <w:tcPr>
            <w:tcW w:w="709" w:type="dxa"/>
            <w:tcBorders>
              <w:top w:val="nil"/>
              <w:left w:val="nil"/>
              <w:bottom w:val="single" w:sz="4" w:space="0" w:color="auto"/>
              <w:right w:val="single" w:sz="4" w:space="0" w:color="auto"/>
            </w:tcBorders>
            <w:shd w:val="clear" w:color="auto" w:fill="auto"/>
            <w:noWrap/>
            <w:vAlign w:val="center"/>
            <w:hideMark/>
          </w:tcPr>
          <w:p w14:paraId="46533ED3"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19,0</w:t>
            </w:r>
          </w:p>
        </w:tc>
        <w:tc>
          <w:tcPr>
            <w:tcW w:w="850" w:type="dxa"/>
            <w:tcBorders>
              <w:top w:val="nil"/>
              <w:left w:val="nil"/>
              <w:bottom w:val="single" w:sz="4" w:space="0" w:color="auto"/>
              <w:right w:val="single" w:sz="8" w:space="0" w:color="auto"/>
            </w:tcBorders>
            <w:shd w:val="clear" w:color="auto" w:fill="auto"/>
            <w:noWrap/>
            <w:vAlign w:val="center"/>
            <w:hideMark/>
          </w:tcPr>
          <w:p w14:paraId="029DF129" w14:textId="77777777" w:rsidR="006A59E3" w:rsidRPr="006A59E3" w:rsidRDefault="006A59E3" w:rsidP="006A59E3">
            <w:pPr>
              <w:spacing w:after="0" w:line="240" w:lineRule="auto"/>
              <w:jc w:val="both"/>
              <w:rPr>
                <w:rFonts w:eastAsia="Times New Roman" w:cs="Times New Roman"/>
                <w:b/>
                <w:bCs/>
                <w:sz w:val="20"/>
                <w:szCs w:val="20"/>
                <w:lang w:eastAsia="lv-LV"/>
              </w:rPr>
            </w:pPr>
            <w:r w:rsidRPr="006A59E3">
              <w:rPr>
                <w:rFonts w:eastAsia="Times New Roman" w:cs="Times New Roman"/>
                <w:b/>
                <w:bCs/>
                <w:sz w:val="20"/>
                <w:szCs w:val="20"/>
                <w:lang w:eastAsia="lv-LV"/>
              </w:rPr>
              <w:t>24,5</w:t>
            </w:r>
          </w:p>
        </w:tc>
      </w:tr>
      <w:tr w:rsidR="006A59E3" w:rsidRPr="006A59E3" w14:paraId="6189E707" w14:textId="77777777" w:rsidTr="006A59E3">
        <w:trPr>
          <w:trHeight w:val="265"/>
          <w:jc w:val="center"/>
        </w:trPr>
        <w:tc>
          <w:tcPr>
            <w:tcW w:w="1093" w:type="dxa"/>
            <w:tcBorders>
              <w:top w:val="nil"/>
              <w:left w:val="single" w:sz="8" w:space="0" w:color="auto"/>
              <w:bottom w:val="single" w:sz="8" w:space="0" w:color="auto"/>
              <w:right w:val="single" w:sz="4" w:space="0" w:color="auto"/>
            </w:tcBorders>
            <w:shd w:val="clear" w:color="DDEBF7" w:fill="70AD47"/>
            <w:vAlign w:val="center"/>
            <w:hideMark/>
          </w:tcPr>
          <w:p w14:paraId="31D0C345"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Kopā</w:t>
            </w:r>
          </w:p>
        </w:tc>
        <w:tc>
          <w:tcPr>
            <w:tcW w:w="642" w:type="dxa"/>
            <w:tcBorders>
              <w:top w:val="nil"/>
              <w:left w:val="nil"/>
              <w:bottom w:val="single" w:sz="8" w:space="0" w:color="auto"/>
              <w:right w:val="single" w:sz="4" w:space="0" w:color="auto"/>
            </w:tcBorders>
            <w:shd w:val="clear" w:color="DDEBF7" w:fill="70AD47"/>
            <w:vAlign w:val="center"/>
            <w:hideMark/>
          </w:tcPr>
          <w:p w14:paraId="30DFF6F8"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28,2</w:t>
            </w:r>
          </w:p>
        </w:tc>
        <w:tc>
          <w:tcPr>
            <w:tcW w:w="616" w:type="dxa"/>
            <w:tcBorders>
              <w:top w:val="nil"/>
              <w:left w:val="nil"/>
              <w:bottom w:val="single" w:sz="8" w:space="0" w:color="auto"/>
              <w:right w:val="single" w:sz="4" w:space="0" w:color="auto"/>
            </w:tcBorders>
            <w:shd w:val="clear" w:color="DDEBF7" w:fill="70AD47"/>
            <w:vAlign w:val="center"/>
            <w:hideMark/>
          </w:tcPr>
          <w:p w14:paraId="1B124790"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38,9</w:t>
            </w:r>
          </w:p>
        </w:tc>
        <w:tc>
          <w:tcPr>
            <w:tcW w:w="616" w:type="dxa"/>
            <w:tcBorders>
              <w:top w:val="nil"/>
              <w:left w:val="nil"/>
              <w:bottom w:val="single" w:sz="8" w:space="0" w:color="auto"/>
              <w:right w:val="single" w:sz="4" w:space="0" w:color="auto"/>
            </w:tcBorders>
            <w:shd w:val="clear" w:color="DDEBF7" w:fill="70AD47"/>
            <w:vAlign w:val="center"/>
            <w:hideMark/>
          </w:tcPr>
          <w:p w14:paraId="27500D05"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53,9</w:t>
            </w:r>
          </w:p>
        </w:tc>
        <w:tc>
          <w:tcPr>
            <w:tcW w:w="709" w:type="dxa"/>
            <w:tcBorders>
              <w:top w:val="nil"/>
              <w:left w:val="nil"/>
              <w:bottom w:val="single" w:sz="8" w:space="0" w:color="auto"/>
              <w:right w:val="single" w:sz="4" w:space="0" w:color="auto"/>
            </w:tcBorders>
            <w:shd w:val="clear" w:color="DDEBF7" w:fill="70AD47"/>
            <w:vAlign w:val="center"/>
            <w:hideMark/>
          </w:tcPr>
          <w:p w14:paraId="45104B03"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81,2</w:t>
            </w:r>
          </w:p>
        </w:tc>
        <w:tc>
          <w:tcPr>
            <w:tcW w:w="709" w:type="dxa"/>
            <w:tcBorders>
              <w:top w:val="nil"/>
              <w:left w:val="nil"/>
              <w:bottom w:val="single" w:sz="8" w:space="0" w:color="auto"/>
              <w:right w:val="single" w:sz="4" w:space="0" w:color="auto"/>
            </w:tcBorders>
            <w:shd w:val="clear" w:color="DDEBF7" w:fill="70AD47"/>
            <w:vAlign w:val="center"/>
            <w:hideMark/>
          </w:tcPr>
          <w:p w14:paraId="1D1A95E6"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85,5</w:t>
            </w:r>
          </w:p>
        </w:tc>
        <w:tc>
          <w:tcPr>
            <w:tcW w:w="708" w:type="dxa"/>
            <w:tcBorders>
              <w:top w:val="nil"/>
              <w:left w:val="nil"/>
              <w:bottom w:val="single" w:sz="8" w:space="0" w:color="auto"/>
              <w:right w:val="single" w:sz="4" w:space="0" w:color="auto"/>
            </w:tcBorders>
            <w:shd w:val="clear" w:color="DDEBF7" w:fill="70AD47"/>
            <w:vAlign w:val="center"/>
            <w:hideMark/>
          </w:tcPr>
          <w:p w14:paraId="1FF549EF"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83,6</w:t>
            </w:r>
          </w:p>
        </w:tc>
        <w:tc>
          <w:tcPr>
            <w:tcW w:w="709" w:type="dxa"/>
            <w:tcBorders>
              <w:top w:val="nil"/>
              <w:left w:val="nil"/>
              <w:bottom w:val="single" w:sz="8" w:space="0" w:color="auto"/>
              <w:right w:val="single" w:sz="4" w:space="0" w:color="auto"/>
            </w:tcBorders>
            <w:shd w:val="clear" w:color="DDEBF7" w:fill="70AD47"/>
            <w:vAlign w:val="center"/>
            <w:hideMark/>
          </w:tcPr>
          <w:p w14:paraId="20222434"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51,5</w:t>
            </w:r>
          </w:p>
        </w:tc>
        <w:tc>
          <w:tcPr>
            <w:tcW w:w="709" w:type="dxa"/>
            <w:tcBorders>
              <w:top w:val="nil"/>
              <w:left w:val="nil"/>
              <w:bottom w:val="single" w:sz="8" w:space="0" w:color="auto"/>
              <w:right w:val="single" w:sz="4" w:space="0" w:color="auto"/>
            </w:tcBorders>
            <w:shd w:val="clear" w:color="DDEBF7" w:fill="70AD47"/>
            <w:vAlign w:val="center"/>
            <w:hideMark/>
          </w:tcPr>
          <w:p w14:paraId="58D39237"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35,9</w:t>
            </w:r>
          </w:p>
        </w:tc>
        <w:tc>
          <w:tcPr>
            <w:tcW w:w="709" w:type="dxa"/>
            <w:tcBorders>
              <w:top w:val="nil"/>
              <w:left w:val="nil"/>
              <w:bottom w:val="single" w:sz="8" w:space="0" w:color="auto"/>
              <w:right w:val="single" w:sz="4" w:space="0" w:color="auto"/>
            </w:tcBorders>
            <w:shd w:val="clear" w:color="DDEBF7" w:fill="70AD47"/>
            <w:vAlign w:val="center"/>
            <w:hideMark/>
          </w:tcPr>
          <w:p w14:paraId="479D3214"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21,2</w:t>
            </w:r>
          </w:p>
        </w:tc>
        <w:tc>
          <w:tcPr>
            <w:tcW w:w="850" w:type="dxa"/>
            <w:tcBorders>
              <w:top w:val="nil"/>
              <w:left w:val="nil"/>
              <w:bottom w:val="single" w:sz="8" w:space="0" w:color="auto"/>
              <w:right w:val="single" w:sz="8" w:space="0" w:color="auto"/>
            </w:tcBorders>
            <w:shd w:val="clear" w:color="DDEBF7" w:fill="70AD47"/>
            <w:vAlign w:val="center"/>
            <w:hideMark/>
          </w:tcPr>
          <w:p w14:paraId="74970AE5" w14:textId="77777777" w:rsidR="006A59E3" w:rsidRPr="006A59E3" w:rsidRDefault="006A59E3" w:rsidP="006A59E3">
            <w:pPr>
              <w:spacing w:after="0" w:line="240" w:lineRule="auto"/>
              <w:jc w:val="both"/>
              <w:rPr>
                <w:rFonts w:eastAsia="Times New Roman" w:cs="Times New Roman"/>
                <w:b/>
                <w:bCs/>
                <w:color w:val="000000"/>
                <w:sz w:val="20"/>
                <w:szCs w:val="20"/>
                <w:lang w:eastAsia="lv-LV"/>
              </w:rPr>
            </w:pPr>
            <w:r w:rsidRPr="006A59E3">
              <w:rPr>
                <w:rFonts w:eastAsia="Times New Roman" w:cs="Times New Roman"/>
                <w:b/>
                <w:bCs/>
                <w:color w:val="000000"/>
                <w:sz w:val="20"/>
                <w:szCs w:val="20"/>
                <w:lang w:eastAsia="lv-LV"/>
              </w:rPr>
              <w:t>24,5</w:t>
            </w:r>
          </w:p>
        </w:tc>
      </w:tr>
    </w:tbl>
    <w:p w14:paraId="13A425F4" w14:textId="77777777" w:rsidR="00083858" w:rsidRDefault="00083858" w:rsidP="00242139">
      <w:pPr>
        <w:spacing w:line="254" w:lineRule="auto"/>
        <w:ind w:firstLine="720"/>
        <w:jc w:val="both"/>
        <w:rPr>
          <w:rFonts w:cs="Times New Roman"/>
        </w:rPr>
      </w:pPr>
    </w:p>
    <w:p w14:paraId="326485DF" w14:textId="2DBF015D" w:rsidR="00D90DFF" w:rsidRPr="00242139" w:rsidRDefault="006A59E3" w:rsidP="00242139">
      <w:pPr>
        <w:spacing w:line="254" w:lineRule="auto"/>
        <w:ind w:firstLine="720"/>
        <w:jc w:val="both"/>
        <w:rPr>
          <w:rFonts w:cs="Times New Roman"/>
        </w:rPr>
      </w:pPr>
      <w:r>
        <w:rPr>
          <w:rFonts w:cs="Times New Roman"/>
        </w:rPr>
        <w:t>Ievērojamu daļu PP finansējuma IeM novirzīja ar atalgojumu saistītām prioritātēm, piemēram, minimālās mēneša darba algas paaugstināšana un mēneša darba algas skalu minimuma korekcija ar 2015.</w:t>
      </w:r>
      <w:r w:rsidR="00E176F0">
        <w:rPr>
          <w:rFonts w:cs="Times New Roman"/>
        </w:rPr>
        <w:t xml:space="preserve"> </w:t>
      </w:r>
      <w:r>
        <w:rPr>
          <w:rFonts w:cs="Times New Roman"/>
        </w:rPr>
        <w:t>gada 1.</w:t>
      </w:r>
      <w:r w:rsidR="00E176F0">
        <w:rPr>
          <w:rFonts w:cs="Times New Roman"/>
        </w:rPr>
        <w:t xml:space="preserve"> </w:t>
      </w:r>
      <w:r>
        <w:rPr>
          <w:rFonts w:cs="Times New Roman"/>
        </w:rPr>
        <w:t>janvāri (2015.-2017.</w:t>
      </w:r>
      <w:r w:rsidR="00E176F0">
        <w:rPr>
          <w:rFonts w:cs="Times New Roman"/>
        </w:rPr>
        <w:t xml:space="preserve"> </w:t>
      </w:r>
      <w:r>
        <w:rPr>
          <w:rFonts w:cs="Times New Roman"/>
        </w:rPr>
        <w:t>gads), un a</w:t>
      </w:r>
      <w:r w:rsidRPr="00A97983">
        <w:rPr>
          <w:rFonts w:cs="Times New Roman"/>
        </w:rPr>
        <w:t>tlīdzības palielinājums iekšlietu sistēmas iestāžu amatpersonām ar speciālo dienesta pakāpi</w:t>
      </w:r>
      <w:r>
        <w:rPr>
          <w:rFonts w:cs="Times New Roman"/>
        </w:rPr>
        <w:t xml:space="preserve"> (vairāki PP; 2020.-2022.</w:t>
      </w:r>
      <w:r w:rsidR="00E176F0">
        <w:rPr>
          <w:rFonts w:cs="Times New Roman"/>
        </w:rPr>
        <w:t xml:space="preserve"> </w:t>
      </w:r>
      <w:r>
        <w:rPr>
          <w:rFonts w:cs="Times New Roman"/>
        </w:rPr>
        <w:t>gads). kopumā ar atalgojumu saistītiem PP laikposmā no 2014. līdz 2019.</w:t>
      </w:r>
      <w:r w:rsidR="00E176F0">
        <w:rPr>
          <w:rFonts w:cs="Times New Roman"/>
        </w:rPr>
        <w:t xml:space="preserve"> </w:t>
      </w:r>
      <w:r>
        <w:rPr>
          <w:rFonts w:cs="Times New Roman"/>
        </w:rPr>
        <w:t xml:space="preserve">gadam (ieskaitot) piešķirti 210,3 milj. </w:t>
      </w:r>
      <w:r w:rsidRPr="00DD630C">
        <w:rPr>
          <w:rFonts w:cs="Times New Roman"/>
          <w:i/>
        </w:rPr>
        <w:t>euro</w:t>
      </w:r>
      <w:r>
        <w:rPr>
          <w:rFonts w:cs="Times New Roman"/>
        </w:rPr>
        <w:t>. Savukārt, 2020.-2022.</w:t>
      </w:r>
      <w:r w:rsidR="00E176F0">
        <w:rPr>
          <w:rFonts w:cs="Times New Roman"/>
        </w:rPr>
        <w:t xml:space="preserve"> </w:t>
      </w:r>
      <w:r>
        <w:rPr>
          <w:rFonts w:cs="Times New Roman"/>
        </w:rPr>
        <w:t xml:space="preserve">gadam – 32,5 milj. </w:t>
      </w:r>
      <w:r w:rsidRPr="00DD630C">
        <w:rPr>
          <w:rFonts w:cs="Times New Roman"/>
          <w:i/>
        </w:rPr>
        <w:t>euro</w:t>
      </w:r>
      <w:bookmarkStart w:id="168" w:name="_Ref47344344"/>
      <w:r w:rsidR="00242139">
        <w:rPr>
          <w:rFonts w:cs="Times New Roman"/>
        </w:rPr>
        <w:t>.</w:t>
      </w:r>
    </w:p>
    <w:p w14:paraId="55708A03" w14:textId="2222047A" w:rsidR="006A59E3" w:rsidRDefault="006A59E3" w:rsidP="006A59E3">
      <w:pPr>
        <w:pStyle w:val="Caption"/>
      </w:pPr>
      <w:bookmarkStart w:id="169" w:name="_Ref47346460"/>
      <w:r>
        <w:t xml:space="preserve">Attēls Nr. </w:t>
      </w:r>
      <w:fldSimple w:instr=" SEQ Attēls_Nr. \* ARABIC ">
        <w:r w:rsidR="00D96F20">
          <w:rPr>
            <w:noProof/>
          </w:rPr>
          <w:t>70</w:t>
        </w:r>
      </w:fldSimple>
      <w:bookmarkEnd w:id="168"/>
      <w:bookmarkEnd w:id="169"/>
    </w:p>
    <w:p w14:paraId="596B724D" w14:textId="77777777" w:rsidR="006A59E3" w:rsidRDefault="006A59E3" w:rsidP="006A59E3">
      <w:pPr>
        <w:spacing w:line="254" w:lineRule="auto"/>
        <w:ind w:firstLine="720"/>
        <w:jc w:val="center"/>
        <w:rPr>
          <w:rFonts w:cs="Times New Roman"/>
          <w:b/>
        </w:rPr>
      </w:pPr>
      <w:r w:rsidRPr="00BE791F">
        <w:rPr>
          <w:rFonts w:cs="Times New Roman"/>
          <w:b/>
        </w:rPr>
        <w:t xml:space="preserve">Ar </w:t>
      </w:r>
      <w:r>
        <w:rPr>
          <w:rFonts w:cs="Times New Roman"/>
          <w:b/>
        </w:rPr>
        <w:t>atlīdzību</w:t>
      </w:r>
      <w:r w:rsidRPr="00BE791F">
        <w:rPr>
          <w:rFonts w:cs="Times New Roman"/>
          <w:b/>
        </w:rPr>
        <w:t xml:space="preserve"> saistīto PP finansējums</w:t>
      </w:r>
      <w:r>
        <w:rPr>
          <w:rFonts w:cs="Times New Roman"/>
          <w:b/>
        </w:rPr>
        <w:t xml:space="preserve"> (</w:t>
      </w:r>
      <w:r w:rsidRPr="0091408B">
        <w:rPr>
          <w:rFonts w:cs="Times New Roman"/>
        </w:rPr>
        <w:t xml:space="preserve">milj. </w:t>
      </w:r>
      <w:r w:rsidRPr="0091408B">
        <w:rPr>
          <w:rFonts w:cs="Times New Roman"/>
          <w:i/>
        </w:rPr>
        <w:t>euro</w:t>
      </w:r>
      <w:r>
        <w:rPr>
          <w:rFonts w:cs="Times New Roman"/>
          <w:b/>
        </w:rPr>
        <w:t>) un tā īpatsvars kopējā PP finansējumā (</w:t>
      </w:r>
      <w:r w:rsidRPr="0091408B">
        <w:rPr>
          <w:rFonts w:cs="Times New Roman"/>
        </w:rPr>
        <w:t>%</w:t>
      </w:r>
      <w:r>
        <w:rPr>
          <w:rFonts w:cs="Times New Roman"/>
          <w:b/>
        </w:rPr>
        <w:t>)</w:t>
      </w:r>
    </w:p>
    <w:p w14:paraId="0A0CCC51" w14:textId="77777777" w:rsidR="006A59E3" w:rsidRDefault="006A59E3" w:rsidP="006A59E3">
      <w:r>
        <w:rPr>
          <w:noProof/>
          <w:lang w:eastAsia="lv-LV"/>
        </w:rPr>
        <w:drawing>
          <wp:inline distT="0" distB="0" distL="0" distR="0" wp14:anchorId="0A5D9B8C" wp14:editId="4B9B92BC">
            <wp:extent cx="5760085" cy="2934031"/>
            <wp:effectExtent l="0" t="0" r="12065" b="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806F8D3" w14:textId="45DDAAF6" w:rsidR="006A59E3" w:rsidRPr="006A59E3" w:rsidRDefault="006A59E3" w:rsidP="005E682E">
      <w:pPr>
        <w:pStyle w:val="Caption"/>
        <w:ind w:firstLine="720"/>
        <w:jc w:val="both"/>
        <w:rPr>
          <w:rFonts w:cs="Times New Roman"/>
        </w:rPr>
      </w:pPr>
      <w:r>
        <w:rPr>
          <w:rFonts w:cs="Times New Roman"/>
        </w:rPr>
        <w:t>L</w:t>
      </w:r>
      <w:r w:rsidRPr="006A59E3">
        <w:rPr>
          <w:rFonts w:cs="Times New Roman"/>
        </w:rPr>
        <w:t>aikposmā no 2013. līdz 2017.</w:t>
      </w:r>
      <w:r w:rsidR="00E176F0">
        <w:rPr>
          <w:rFonts w:cs="Times New Roman"/>
        </w:rPr>
        <w:t xml:space="preserve"> </w:t>
      </w:r>
      <w:r w:rsidRPr="006A59E3">
        <w:rPr>
          <w:rFonts w:cs="Times New Roman"/>
        </w:rPr>
        <w:t>gadam strauji pieauga piešķirtā PP finansējums ar atlīdzību saistītiem pasākumiem</w:t>
      </w:r>
      <w:r w:rsidR="005E682E">
        <w:rPr>
          <w:rFonts w:cs="Times New Roman"/>
        </w:rPr>
        <w:t xml:space="preserve"> (</w:t>
      </w:r>
      <w:r w:rsidR="005E682E">
        <w:rPr>
          <w:rFonts w:cs="Times New Roman"/>
        </w:rPr>
        <w:fldChar w:fldCharType="begin"/>
      </w:r>
      <w:r w:rsidR="005E682E">
        <w:rPr>
          <w:rFonts w:cs="Times New Roman"/>
        </w:rPr>
        <w:instrText xml:space="preserve"> REF _Ref47346460 \h </w:instrText>
      </w:r>
      <w:r w:rsidR="005E682E">
        <w:rPr>
          <w:rFonts w:cs="Times New Roman"/>
        </w:rPr>
      </w:r>
      <w:r w:rsidR="005E682E">
        <w:rPr>
          <w:rFonts w:cs="Times New Roman"/>
        </w:rPr>
        <w:fldChar w:fldCharType="separate"/>
      </w:r>
      <w:r w:rsidR="00D96F20">
        <w:t xml:space="preserve">Attēls Nr. </w:t>
      </w:r>
      <w:r w:rsidR="00D96F20">
        <w:rPr>
          <w:noProof/>
        </w:rPr>
        <w:t>70</w:t>
      </w:r>
      <w:r w:rsidR="005E682E">
        <w:rPr>
          <w:rFonts w:cs="Times New Roman"/>
        </w:rPr>
        <w:fldChar w:fldCharType="end"/>
      </w:r>
      <w:r w:rsidR="005E682E">
        <w:rPr>
          <w:rFonts w:cs="Times New Roman"/>
        </w:rPr>
        <w:t xml:space="preserve">) </w:t>
      </w:r>
      <w:r w:rsidRPr="006A59E3">
        <w:rPr>
          <w:rFonts w:cs="Times New Roman"/>
        </w:rPr>
        <w:t>– 2017.</w:t>
      </w:r>
      <w:r w:rsidR="00E176F0">
        <w:rPr>
          <w:rFonts w:cs="Times New Roman"/>
        </w:rPr>
        <w:t xml:space="preserve"> </w:t>
      </w:r>
      <w:r w:rsidRPr="006A59E3">
        <w:rPr>
          <w:rFonts w:cs="Times New Roman"/>
        </w:rPr>
        <w:t xml:space="preserve">gadā tas aizņēma 70% no kopējā piešķirtā PP finansējuma. Turpmākajos gados īpatsvars ir sarucis, taču arī 2019.gadā vairāk nekā puse no visa piešķirtā PP finansējuma tika novirzīts ar atlīdzību saistītos PP. Vērts pieminēt, ka 2019.gadā piešķirtie 34,2 milj. </w:t>
      </w:r>
      <w:r w:rsidRPr="006A59E3">
        <w:rPr>
          <w:rFonts w:cs="Times New Roman"/>
          <w:i/>
        </w:rPr>
        <w:t>euro</w:t>
      </w:r>
      <w:r w:rsidRPr="006A59E3">
        <w:rPr>
          <w:rFonts w:cs="Times New Roman"/>
        </w:rPr>
        <w:t xml:space="preserve"> pabalstu izmaksai IeM amatpersonām </w:t>
      </w:r>
      <w:r w:rsidR="00C93791">
        <w:rPr>
          <w:rFonts w:cs="Times New Roman"/>
        </w:rPr>
        <w:t>ar speciālajām dienesta pakāpēm</w:t>
      </w:r>
      <w:r w:rsidR="00C93791" w:rsidRPr="006A59E3">
        <w:rPr>
          <w:rFonts w:cs="Times New Roman"/>
        </w:rPr>
        <w:t xml:space="preserve"> </w:t>
      </w:r>
      <w:r w:rsidRPr="006A59E3">
        <w:rPr>
          <w:rFonts w:cs="Times New Roman"/>
        </w:rPr>
        <w:t>3 mēnešalgu apmērā pēc katriem 5 nepārtrauktas izdienas gadiem netika nodrošināti kā PP.</w:t>
      </w:r>
    </w:p>
    <w:p w14:paraId="2E846F60" w14:textId="7C2B34BC" w:rsidR="006A59E3" w:rsidRPr="006A59E3" w:rsidRDefault="006A59E3" w:rsidP="006A59E3">
      <w:pPr>
        <w:spacing w:line="254" w:lineRule="auto"/>
        <w:ind w:firstLine="720"/>
        <w:jc w:val="both"/>
        <w:rPr>
          <w:rFonts w:cs="Times New Roman"/>
        </w:rPr>
      </w:pPr>
      <w:r w:rsidRPr="006A59E3">
        <w:rPr>
          <w:rFonts w:cs="Times New Roman"/>
        </w:rPr>
        <w:lastRenderedPageBreak/>
        <w:t>Ir vērts pieminēt ietilpīgākos ar atlīdzību saistītos PP laikposmā no 2016. līdz 2019.</w:t>
      </w:r>
      <w:r w:rsidR="00E176F0">
        <w:rPr>
          <w:rFonts w:cs="Times New Roman"/>
        </w:rPr>
        <w:t xml:space="preserve"> </w:t>
      </w:r>
      <w:r w:rsidRPr="006A59E3">
        <w:rPr>
          <w:rFonts w:cs="Times New Roman"/>
        </w:rPr>
        <w:t>gadam:</w:t>
      </w:r>
    </w:p>
    <w:p w14:paraId="29B17C9C" w14:textId="77777777" w:rsidR="006A59E3" w:rsidRPr="006A59E3" w:rsidRDefault="006A59E3" w:rsidP="00E176F0">
      <w:pPr>
        <w:numPr>
          <w:ilvl w:val="0"/>
          <w:numId w:val="30"/>
        </w:numPr>
        <w:spacing w:line="254" w:lineRule="auto"/>
        <w:ind w:left="993" w:hanging="273"/>
        <w:contextualSpacing/>
        <w:jc w:val="both"/>
        <w:rPr>
          <w:rFonts w:cs="Times New Roman"/>
        </w:rPr>
      </w:pPr>
      <w:r w:rsidRPr="006A59E3">
        <w:rPr>
          <w:rFonts w:cs="Times New Roman"/>
        </w:rPr>
        <w:t xml:space="preserve">Izdevumi atlīdzības nodrošināšanai </w:t>
      </w:r>
      <w:r>
        <w:rPr>
          <w:rFonts w:cs="Times New Roman"/>
        </w:rPr>
        <w:t>IeM</w:t>
      </w:r>
      <w:r w:rsidRPr="006A59E3">
        <w:rPr>
          <w:rFonts w:cs="Times New Roman"/>
        </w:rPr>
        <w:t xml:space="preserve"> sistēmas iestāžu amatpersonām ar speciālajām dienesta pakāpēm (2016-2018.gads) – 26,2 milj. </w:t>
      </w:r>
      <w:r w:rsidRPr="006A59E3">
        <w:rPr>
          <w:rFonts w:cs="Times New Roman"/>
          <w:i/>
        </w:rPr>
        <w:t>euro</w:t>
      </w:r>
      <w:r w:rsidRPr="006A59E3">
        <w:rPr>
          <w:rFonts w:cs="Times New Roman"/>
        </w:rPr>
        <w:t xml:space="preserve"> ik gadu;</w:t>
      </w:r>
    </w:p>
    <w:p w14:paraId="19063222" w14:textId="4BB2E3A1" w:rsidR="006A59E3" w:rsidRPr="006A59E3" w:rsidRDefault="006A59E3" w:rsidP="00E176F0">
      <w:pPr>
        <w:numPr>
          <w:ilvl w:val="0"/>
          <w:numId w:val="30"/>
        </w:numPr>
        <w:spacing w:line="254" w:lineRule="auto"/>
        <w:ind w:left="993" w:hanging="273"/>
        <w:contextualSpacing/>
        <w:jc w:val="both"/>
        <w:rPr>
          <w:rFonts w:cs="Times New Roman"/>
        </w:rPr>
      </w:pPr>
      <w:r w:rsidRPr="006A59E3">
        <w:rPr>
          <w:rFonts w:cs="Times New Roman"/>
        </w:rPr>
        <w:t>Jaunas darba samaksas sistēmas ieviešana Ie</w:t>
      </w:r>
      <w:r>
        <w:rPr>
          <w:rFonts w:cs="Times New Roman"/>
        </w:rPr>
        <w:t xml:space="preserve">M </w:t>
      </w:r>
      <w:r w:rsidRPr="006A59E3">
        <w:rPr>
          <w:rFonts w:cs="Times New Roman"/>
        </w:rPr>
        <w:t>sistēmas iestāžu un Ie</w:t>
      </w:r>
      <w:r w:rsidR="005462B3">
        <w:rPr>
          <w:rFonts w:cs="Times New Roman"/>
        </w:rPr>
        <w:t xml:space="preserve">VP </w:t>
      </w:r>
      <w:r w:rsidRPr="006A59E3">
        <w:rPr>
          <w:rFonts w:cs="Times New Roman"/>
        </w:rPr>
        <w:t xml:space="preserve">ar speciālajām dienesta pakāpēm (2017-2019.gads) – 26 milj. </w:t>
      </w:r>
      <w:r w:rsidRPr="006A59E3">
        <w:rPr>
          <w:rFonts w:cs="Times New Roman"/>
          <w:i/>
        </w:rPr>
        <w:t xml:space="preserve">euro </w:t>
      </w:r>
      <w:r w:rsidRPr="006A59E3">
        <w:rPr>
          <w:rFonts w:cs="Times New Roman"/>
        </w:rPr>
        <w:t>ik gadu.</w:t>
      </w:r>
    </w:p>
    <w:p w14:paraId="1DBD1E79" w14:textId="33406672" w:rsidR="006A59E3" w:rsidRPr="006A59E3" w:rsidRDefault="006A59E3" w:rsidP="00242139">
      <w:pPr>
        <w:spacing w:before="240" w:after="120" w:line="254" w:lineRule="auto"/>
        <w:ind w:firstLine="720"/>
        <w:jc w:val="both"/>
        <w:rPr>
          <w:rFonts w:cs="Times New Roman"/>
        </w:rPr>
      </w:pPr>
      <w:r w:rsidRPr="006A59E3">
        <w:rPr>
          <w:rFonts w:cs="Times New Roman"/>
        </w:rPr>
        <w:t xml:space="preserve">MK </w:t>
      </w:r>
      <w:r w:rsidRPr="006A59E3">
        <w:rPr>
          <w:rFonts w:cs="Times New Roman"/>
          <w:u w:val="single"/>
        </w:rPr>
        <w:t>2016. gada 6. aprīļa rīkojums Nr. 248</w:t>
      </w:r>
      <w:r w:rsidRPr="006A59E3">
        <w:rPr>
          <w:rFonts w:cs="Times New Roman"/>
        </w:rPr>
        <w:t xml:space="preserve"> </w:t>
      </w:r>
      <w:r w:rsidR="00E176F0">
        <w:rPr>
          <w:rFonts w:cs="Times New Roman"/>
          <w:b/>
        </w:rPr>
        <w:t>“</w:t>
      </w:r>
      <w:r w:rsidRPr="006A59E3">
        <w:rPr>
          <w:rFonts w:cs="Times New Roman"/>
          <w:b/>
        </w:rPr>
        <w:t>Par Valsts policijas attīstības koncepciju</w:t>
      </w:r>
      <w:r w:rsidR="00E176F0">
        <w:rPr>
          <w:rFonts w:cs="Times New Roman"/>
          <w:b/>
        </w:rPr>
        <w:t>”</w:t>
      </w:r>
      <w:r w:rsidRPr="006A59E3">
        <w:rPr>
          <w:rFonts w:cs="Times New Roman"/>
        </w:rPr>
        <w:t xml:space="preserve"> 4.</w:t>
      </w:r>
      <w:r w:rsidR="00E176F0">
        <w:rPr>
          <w:rFonts w:cs="Times New Roman"/>
        </w:rPr>
        <w:t xml:space="preserve"> </w:t>
      </w:r>
      <w:r w:rsidRPr="006A59E3">
        <w:rPr>
          <w:rFonts w:cs="Times New Roman"/>
        </w:rPr>
        <w:t>punkts noteica TM kopīgi ar IeM līdz 2017. gada 1. jūlijam izstrādāt nepieciešamos tiesību aktu projektus un pasākumu plānu, lai nodrošinātu apcietināto un notiesāto personu konvojēšanas pienākuma nodošanu TM Ie</w:t>
      </w:r>
      <w:r w:rsidR="005462B3">
        <w:rPr>
          <w:rFonts w:cs="Times New Roman"/>
        </w:rPr>
        <w:t>VP</w:t>
      </w:r>
      <w:r w:rsidRPr="006A59E3">
        <w:rPr>
          <w:rFonts w:cs="Times New Roman"/>
        </w:rPr>
        <w:t>:</w:t>
      </w:r>
    </w:p>
    <w:p w14:paraId="7B46BD01" w14:textId="77777777" w:rsidR="006A59E3" w:rsidRPr="006A59E3" w:rsidRDefault="006A59E3" w:rsidP="00242139">
      <w:pPr>
        <w:shd w:val="clear" w:color="auto" w:fill="FFFFFF"/>
        <w:spacing w:before="60" w:after="60" w:line="240" w:lineRule="auto"/>
        <w:ind w:firstLine="720"/>
        <w:jc w:val="both"/>
        <w:rPr>
          <w:rFonts w:eastAsia="Times New Roman" w:cs="Times New Roman"/>
          <w:lang w:eastAsia="lv-LV"/>
        </w:rPr>
      </w:pPr>
      <w:r w:rsidRPr="006A59E3">
        <w:rPr>
          <w:rFonts w:eastAsia="Times New Roman" w:cs="Times New Roman"/>
          <w:lang w:eastAsia="lv-LV"/>
        </w:rPr>
        <w:t>4.1. ar 2019. gada 1. jūliju – konvojēšanu starp ieslodzījuma vietām saistībā ar ieslodzījuma (brīvības atņemšanas soda vai drošības līdzekļa – apcietinājums) izpildi;</w:t>
      </w:r>
    </w:p>
    <w:p w14:paraId="63CDC047" w14:textId="77777777" w:rsidR="006A59E3" w:rsidRPr="006A59E3" w:rsidRDefault="006A59E3" w:rsidP="00242139">
      <w:pPr>
        <w:shd w:val="clear" w:color="auto" w:fill="FFFFFF"/>
        <w:spacing w:before="60" w:after="60" w:line="240" w:lineRule="auto"/>
        <w:ind w:firstLine="720"/>
        <w:jc w:val="both"/>
        <w:rPr>
          <w:rFonts w:eastAsia="Times New Roman" w:cs="Times New Roman"/>
          <w:lang w:eastAsia="lv-LV"/>
        </w:rPr>
      </w:pPr>
      <w:r w:rsidRPr="006A59E3">
        <w:rPr>
          <w:rFonts w:eastAsia="Times New Roman" w:cs="Times New Roman"/>
          <w:lang w:eastAsia="lv-LV"/>
        </w:rPr>
        <w:t>4.2. ar 2021. gada 1. janvāri konvojēšanu:</w:t>
      </w:r>
    </w:p>
    <w:p w14:paraId="675659CE" w14:textId="77777777" w:rsidR="006A59E3" w:rsidRPr="006A59E3" w:rsidRDefault="006A59E3" w:rsidP="00242139">
      <w:pPr>
        <w:shd w:val="clear" w:color="auto" w:fill="FFFFFF"/>
        <w:spacing w:before="60" w:after="60" w:line="240" w:lineRule="auto"/>
        <w:ind w:firstLine="720"/>
        <w:jc w:val="both"/>
        <w:rPr>
          <w:rFonts w:eastAsia="Times New Roman" w:cs="Times New Roman"/>
          <w:lang w:eastAsia="lv-LV"/>
        </w:rPr>
      </w:pPr>
      <w:r w:rsidRPr="006A59E3">
        <w:rPr>
          <w:rFonts w:eastAsia="Times New Roman" w:cs="Times New Roman"/>
          <w:lang w:eastAsia="lv-LV"/>
        </w:rPr>
        <w:t>4.2.1. no ieslodzījuma vietas uz tiesu un no tās un apsardzi tiesas procesa laikā, ja procesa virzītājs ir tiesa vai prokuratūra;</w:t>
      </w:r>
    </w:p>
    <w:p w14:paraId="76C010E5" w14:textId="77777777" w:rsidR="006A59E3" w:rsidRPr="006A59E3" w:rsidRDefault="006A59E3" w:rsidP="00242139">
      <w:pPr>
        <w:shd w:val="clear" w:color="auto" w:fill="FFFFFF"/>
        <w:spacing w:before="60" w:after="60" w:line="240" w:lineRule="auto"/>
        <w:ind w:firstLine="720"/>
        <w:jc w:val="both"/>
        <w:rPr>
          <w:rFonts w:eastAsia="Times New Roman" w:cs="Times New Roman"/>
          <w:lang w:eastAsia="lv-LV"/>
        </w:rPr>
      </w:pPr>
      <w:r w:rsidRPr="006A59E3">
        <w:rPr>
          <w:rFonts w:eastAsia="Times New Roman" w:cs="Times New Roman"/>
          <w:lang w:eastAsia="lv-LV"/>
        </w:rPr>
        <w:t>4.2.2. no ieslodzījuma vietas uz tiesu un no tās administratīvo un civiltiesisko jautājumu izskatīšanai, kas radušies, personām atrodoties ieslodzījuma vietā;</w:t>
      </w:r>
    </w:p>
    <w:p w14:paraId="415511F5" w14:textId="6B5EB58D" w:rsidR="006A59E3" w:rsidRPr="006A59E3" w:rsidRDefault="006A59E3" w:rsidP="00242139">
      <w:pPr>
        <w:shd w:val="clear" w:color="auto" w:fill="FFFFFF"/>
        <w:spacing w:before="60" w:after="60" w:line="240" w:lineRule="auto"/>
        <w:ind w:firstLine="720"/>
        <w:jc w:val="both"/>
        <w:rPr>
          <w:rFonts w:eastAsia="Times New Roman" w:cs="Times New Roman"/>
          <w:lang w:eastAsia="lv-LV"/>
        </w:rPr>
      </w:pPr>
      <w:r w:rsidRPr="006A59E3">
        <w:rPr>
          <w:rFonts w:eastAsia="Times New Roman" w:cs="Times New Roman"/>
          <w:lang w:eastAsia="lv-LV"/>
        </w:rPr>
        <w:t xml:space="preserve">4.2.3. no ieslodzījuma vietas uz </w:t>
      </w:r>
      <w:r w:rsidR="005462B3">
        <w:rPr>
          <w:rFonts w:eastAsia="Times New Roman" w:cs="Times New Roman"/>
          <w:lang w:eastAsia="lv-LV"/>
        </w:rPr>
        <w:t>VP</w:t>
      </w:r>
      <w:r w:rsidRPr="006A59E3">
        <w:rPr>
          <w:rFonts w:eastAsia="Times New Roman" w:cs="Times New Roman"/>
          <w:lang w:eastAsia="lv-LV"/>
        </w:rPr>
        <w:t xml:space="preserve"> īslaicīgās aizturēšanas vietu un no tās, ja procesa virzītājs ir tiesa vai prokuratūra;</w:t>
      </w:r>
    </w:p>
    <w:p w14:paraId="779ECC14" w14:textId="77777777" w:rsidR="006A59E3" w:rsidRPr="006A59E3" w:rsidRDefault="006A59E3" w:rsidP="00242139">
      <w:pPr>
        <w:shd w:val="clear" w:color="auto" w:fill="FFFFFF"/>
        <w:spacing w:before="60" w:after="60" w:line="240" w:lineRule="auto"/>
        <w:ind w:firstLine="720"/>
        <w:jc w:val="both"/>
        <w:rPr>
          <w:rFonts w:eastAsia="Times New Roman" w:cs="Times New Roman"/>
          <w:lang w:eastAsia="lv-LV"/>
        </w:rPr>
      </w:pPr>
      <w:r w:rsidRPr="006A59E3">
        <w:rPr>
          <w:rFonts w:eastAsia="Times New Roman" w:cs="Times New Roman"/>
          <w:lang w:eastAsia="lv-LV"/>
        </w:rPr>
        <w:t>4.2.4. no ieslodzījuma vietas medicīniskās ekspertīzes veikšanai.</w:t>
      </w:r>
    </w:p>
    <w:p w14:paraId="22080092" w14:textId="32481390" w:rsidR="006A59E3" w:rsidRPr="006A59E3" w:rsidRDefault="006A59E3" w:rsidP="00242139">
      <w:pPr>
        <w:spacing w:after="120" w:line="254" w:lineRule="auto"/>
        <w:ind w:firstLine="720"/>
        <w:jc w:val="both"/>
        <w:rPr>
          <w:rFonts w:eastAsia="Times New Roman" w:cs="Times New Roman"/>
          <w:lang w:eastAsia="lv-LV"/>
        </w:rPr>
      </w:pPr>
      <w:r w:rsidRPr="006A59E3">
        <w:rPr>
          <w:rFonts w:eastAsia="Times New Roman" w:cs="Times New Roman"/>
          <w:lang w:eastAsia="lv-LV"/>
        </w:rPr>
        <w:t xml:space="preserve">TM sagatavoja informatīvo ziņojumu par ieslodzīto konvojēšanas funkcijas nodrošinājumu VP un IeVP un priekšlikumus ieslodzīto konvojēšanas funkcijas pārskatīšanai (izsludināts VSS 2018.gada 26.jūlijā, prot. Nr.29, 21§, VSS-759). Pēc TM veiktajiem aprēķiniem, konvojēšanas funkcijas IeM ik gadu izmaksā apmēram 2,9 milj. </w:t>
      </w:r>
      <w:r w:rsidRPr="006A59E3">
        <w:rPr>
          <w:rFonts w:eastAsia="Times New Roman" w:cs="Times New Roman"/>
          <w:i/>
          <w:lang w:eastAsia="lv-LV"/>
        </w:rPr>
        <w:t>euro</w:t>
      </w:r>
      <w:r w:rsidRPr="006A59E3">
        <w:rPr>
          <w:rFonts w:eastAsia="Times New Roman" w:cs="Times New Roman"/>
          <w:lang w:eastAsia="lv-LV"/>
        </w:rPr>
        <w:t xml:space="preserve"> (</w:t>
      </w:r>
      <w:r w:rsidR="00C37186">
        <w:rPr>
          <w:rFonts w:eastAsia="Times New Roman" w:cs="Times New Roman"/>
          <w:lang w:eastAsia="lv-LV"/>
        </w:rPr>
        <w:t>Informatīvā ziņojuma</w:t>
      </w:r>
      <w:r w:rsidRPr="006A59E3">
        <w:rPr>
          <w:rFonts w:eastAsia="Times New Roman" w:cs="Times New Roman"/>
          <w:lang w:eastAsia="lv-LV"/>
        </w:rPr>
        <w:t xml:space="preserve"> 1.pielikums). Jāņem vērā, ka IeM veidojas pap</w:t>
      </w:r>
      <w:r w:rsidR="00C37186">
        <w:rPr>
          <w:rFonts w:eastAsia="Times New Roman" w:cs="Times New Roman"/>
          <w:lang w:eastAsia="lv-LV"/>
        </w:rPr>
        <w:t>ildus izmaksas saistībā ar īslaicīgās aizturēšanas vietu</w:t>
      </w:r>
      <w:r w:rsidRPr="006A59E3">
        <w:rPr>
          <w:rFonts w:eastAsia="Times New Roman" w:cs="Times New Roman"/>
          <w:lang w:eastAsia="lv-LV"/>
        </w:rPr>
        <w:t xml:space="preserve"> resursa izmantošanu gadījumos, kad personas tiek tur izmitinātas uz īsu laiku (2017.</w:t>
      </w:r>
      <w:r w:rsidR="00E176F0">
        <w:rPr>
          <w:rFonts w:eastAsia="Times New Roman" w:cs="Times New Roman"/>
          <w:lang w:eastAsia="lv-LV"/>
        </w:rPr>
        <w:t xml:space="preserve"> </w:t>
      </w:r>
      <w:r w:rsidRPr="006A59E3">
        <w:rPr>
          <w:rFonts w:eastAsia="Times New Roman" w:cs="Times New Roman"/>
          <w:lang w:eastAsia="lv-LV"/>
        </w:rPr>
        <w:t xml:space="preserve">gadā tie bija 0,5 milj. </w:t>
      </w:r>
      <w:r w:rsidRPr="006A59E3">
        <w:rPr>
          <w:rFonts w:eastAsia="Times New Roman" w:cs="Times New Roman"/>
          <w:i/>
          <w:lang w:eastAsia="lv-LV"/>
        </w:rPr>
        <w:t>euro</w:t>
      </w:r>
      <w:r w:rsidRPr="006A59E3">
        <w:rPr>
          <w:rFonts w:eastAsia="Times New Roman" w:cs="Times New Roman"/>
          <w:lang w:eastAsia="lv-LV"/>
        </w:rPr>
        <w:t xml:space="preserve">). Kopumā </w:t>
      </w:r>
      <w:r w:rsidRPr="006A59E3">
        <w:rPr>
          <w:rFonts w:eastAsia="Times New Roman" w:cs="Times New Roman"/>
          <w:b/>
          <w:lang w:eastAsia="lv-LV"/>
        </w:rPr>
        <w:t xml:space="preserve">ap 3,4 milj. </w:t>
      </w:r>
      <w:r w:rsidRPr="006A59E3">
        <w:rPr>
          <w:rFonts w:eastAsia="Times New Roman" w:cs="Times New Roman"/>
          <w:b/>
          <w:i/>
          <w:lang w:eastAsia="lv-LV"/>
        </w:rPr>
        <w:t>euro</w:t>
      </w:r>
      <w:r w:rsidRPr="006A59E3">
        <w:rPr>
          <w:rFonts w:eastAsia="Times New Roman" w:cs="Times New Roman"/>
          <w:b/>
          <w:lang w:eastAsia="lv-LV"/>
        </w:rPr>
        <w:t xml:space="preserve"> gadā</w:t>
      </w:r>
      <w:r w:rsidRPr="006A59E3">
        <w:rPr>
          <w:rFonts w:eastAsia="Times New Roman" w:cs="Times New Roman"/>
          <w:lang w:eastAsia="lv-LV"/>
        </w:rPr>
        <w:t xml:space="preserve"> izmaksā IeM apcietināto un notiesāto personu konvojēšana.</w:t>
      </w:r>
      <w:r w:rsidR="00E176F0">
        <w:rPr>
          <w:rFonts w:eastAsia="Times New Roman" w:cs="Times New Roman"/>
          <w:lang w:eastAsia="lv-LV"/>
        </w:rPr>
        <w:t xml:space="preserve"> </w:t>
      </w:r>
    </w:p>
    <w:p w14:paraId="7123D109" w14:textId="4EB8E632" w:rsidR="00C37186" w:rsidRDefault="006A59E3" w:rsidP="00242139">
      <w:pPr>
        <w:spacing w:after="120" w:line="254" w:lineRule="auto"/>
        <w:ind w:firstLine="720"/>
        <w:jc w:val="both"/>
        <w:rPr>
          <w:rFonts w:cs="Times New Roman"/>
        </w:rPr>
      </w:pPr>
      <w:r w:rsidRPr="006A59E3">
        <w:rPr>
          <w:rFonts w:eastAsia="Times New Roman" w:cs="Times New Roman"/>
          <w:lang w:eastAsia="lv-LV"/>
        </w:rPr>
        <w:t xml:space="preserve">Pārvešanas gadījumu skaits, salīdzinot ar IeM veikto, ir apmēram 6 reizes mazāks (IeM 2017.gadā 33 659 konvojētās personas, TM 5 269 gadījumi). </w:t>
      </w:r>
      <w:r w:rsidR="00C37186" w:rsidRPr="003C18E8">
        <w:rPr>
          <w:rFonts w:cs="Times New Roman"/>
        </w:rPr>
        <w:tab/>
      </w:r>
    </w:p>
    <w:p w14:paraId="75E30486" w14:textId="55BC9C9F" w:rsidR="00856FF9" w:rsidRPr="00174653" w:rsidRDefault="00C37186" w:rsidP="00EE660D">
      <w:pPr>
        <w:pStyle w:val="Caption"/>
        <w:ind w:firstLine="720"/>
        <w:jc w:val="both"/>
        <w:rPr>
          <w:rFonts w:cs="Times New Roman"/>
        </w:rPr>
      </w:pPr>
      <w:r>
        <w:rPr>
          <w:rFonts w:cs="Times New Roman"/>
        </w:rPr>
        <w:t>TM sagatavotajā ziņojumā minēts, ka pieaug videokonferenču izmantošana tiesas procesos, kas samazina nepieciešamību konvojēt ieslodzītās vai notiesātās personas uz tiesu. 2019.</w:t>
      </w:r>
      <w:r w:rsidR="00085F20">
        <w:rPr>
          <w:rFonts w:cs="Times New Roman"/>
        </w:rPr>
        <w:t xml:space="preserve"> </w:t>
      </w:r>
      <w:r>
        <w:rPr>
          <w:rFonts w:cs="Times New Roman"/>
        </w:rPr>
        <w:t>gadā, salīdzinot ar 2014.</w:t>
      </w:r>
      <w:r w:rsidR="00085F20">
        <w:rPr>
          <w:rFonts w:cs="Times New Roman"/>
        </w:rPr>
        <w:t xml:space="preserve"> </w:t>
      </w:r>
      <w:r>
        <w:rPr>
          <w:rFonts w:cs="Times New Roman"/>
        </w:rPr>
        <w:t>gadu, kopējais veikto videokonfere</w:t>
      </w:r>
      <w:r w:rsidR="00EE660D">
        <w:rPr>
          <w:rFonts w:cs="Times New Roman"/>
        </w:rPr>
        <w:t xml:space="preserve">nču zvanu ilgums ir dubultojies </w:t>
      </w:r>
      <w:r>
        <w:rPr>
          <w:rFonts w:cs="Times New Roman"/>
        </w:rPr>
        <w:t>(</w:t>
      </w:r>
      <w:r w:rsidR="00EE660D">
        <w:rPr>
          <w:rFonts w:cs="Times New Roman"/>
        </w:rPr>
        <w:fldChar w:fldCharType="begin"/>
      </w:r>
      <w:r w:rsidR="00EE660D">
        <w:rPr>
          <w:rFonts w:cs="Times New Roman"/>
        </w:rPr>
        <w:instrText xml:space="preserve"> REF _Ref48203914 \h </w:instrText>
      </w:r>
      <w:r w:rsidR="00EE660D">
        <w:rPr>
          <w:rFonts w:cs="Times New Roman"/>
        </w:rPr>
      </w:r>
      <w:r w:rsidR="00EE660D">
        <w:rPr>
          <w:rFonts w:cs="Times New Roman"/>
        </w:rPr>
        <w:fldChar w:fldCharType="separate"/>
      </w:r>
      <w:r w:rsidR="00D96F20">
        <w:t xml:space="preserve">Attēls Nr. </w:t>
      </w:r>
      <w:r w:rsidR="00D96F20">
        <w:rPr>
          <w:noProof/>
        </w:rPr>
        <w:t>71</w:t>
      </w:r>
      <w:r w:rsidR="00EE660D">
        <w:rPr>
          <w:rFonts w:cs="Times New Roman"/>
        </w:rPr>
        <w:fldChar w:fldCharType="end"/>
      </w:r>
      <w:r>
        <w:rPr>
          <w:rFonts w:cs="Times New Roman"/>
        </w:rPr>
        <w:t>).</w:t>
      </w:r>
      <w:bookmarkStart w:id="170" w:name="_Ref47344877"/>
    </w:p>
    <w:p w14:paraId="54D9C295" w14:textId="77777777" w:rsidR="00083858" w:rsidRDefault="00083858" w:rsidP="00C37186">
      <w:pPr>
        <w:pStyle w:val="Caption"/>
      </w:pPr>
      <w:bookmarkStart w:id="171" w:name="_Ref47963895"/>
    </w:p>
    <w:p w14:paraId="2CB2721B" w14:textId="77777777" w:rsidR="00083858" w:rsidRDefault="00083858" w:rsidP="00C37186">
      <w:pPr>
        <w:pStyle w:val="Caption"/>
      </w:pPr>
    </w:p>
    <w:p w14:paraId="7D79CC49" w14:textId="77777777" w:rsidR="00083858" w:rsidRDefault="00083858" w:rsidP="00C37186">
      <w:pPr>
        <w:pStyle w:val="Caption"/>
      </w:pPr>
    </w:p>
    <w:p w14:paraId="603C7C4C" w14:textId="77777777" w:rsidR="00083858" w:rsidRDefault="00083858" w:rsidP="00C37186">
      <w:pPr>
        <w:pStyle w:val="Caption"/>
      </w:pPr>
    </w:p>
    <w:p w14:paraId="52A89EDF" w14:textId="77777777" w:rsidR="00083858" w:rsidRDefault="00083858" w:rsidP="00C37186">
      <w:pPr>
        <w:pStyle w:val="Caption"/>
      </w:pPr>
    </w:p>
    <w:p w14:paraId="62567749" w14:textId="77777777" w:rsidR="00083858" w:rsidRDefault="00083858" w:rsidP="00C37186">
      <w:pPr>
        <w:pStyle w:val="Caption"/>
      </w:pPr>
    </w:p>
    <w:p w14:paraId="1FE7043B" w14:textId="5FE52C77" w:rsidR="00083858" w:rsidRDefault="00083858" w:rsidP="00C37186">
      <w:pPr>
        <w:pStyle w:val="Caption"/>
      </w:pPr>
    </w:p>
    <w:p w14:paraId="721DADCC" w14:textId="2D6414DC" w:rsidR="00083858" w:rsidRDefault="00083858" w:rsidP="00EE660D">
      <w:pPr>
        <w:pStyle w:val="Caption"/>
        <w:jc w:val="left"/>
      </w:pPr>
    </w:p>
    <w:p w14:paraId="4414776E" w14:textId="5F78CCF8" w:rsidR="006A59E3" w:rsidRDefault="00C37186" w:rsidP="00C37186">
      <w:pPr>
        <w:pStyle w:val="Caption"/>
      </w:pPr>
      <w:bookmarkStart w:id="172" w:name="_Ref48203914"/>
      <w:r>
        <w:lastRenderedPageBreak/>
        <w:t xml:space="preserve">Attēls Nr. </w:t>
      </w:r>
      <w:fldSimple w:instr=" SEQ Attēls_Nr. \* ARABIC ">
        <w:r w:rsidR="00D96F20">
          <w:rPr>
            <w:noProof/>
          </w:rPr>
          <w:t>71</w:t>
        </w:r>
      </w:fldSimple>
      <w:bookmarkEnd w:id="170"/>
      <w:bookmarkEnd w:id="171"/>
      <w:bookmarkEnd w:id="172"/>
    </w:p>
    <w:p w14:paraId="6036991E" w14:textId="77777777" w:rsidR="00C37186" w:rsidRPr="00C37186" w:rsidRDefault="00C37186" w:rsidP="00C37186">
      <w:pPr>
        <w:spacing w:line="254" w:lineRule="auto"/>
        <w:ind w:firstLine="720"/>
        <w:jc w:val="center"/>
        <w:rPr>
          <w:rFonts w:cs="Times New Roman"/>
          <w:b/>
        </w:rPr>
      </w:pPr>
      <w:r w:rsidRPr="00C37186">
        <w:rPr>
          <w:rFonts w:cs="Times New Roman"/>
          <w:b/>
        </w:rPr>
        <w:t>Veikto videokonferenču zvanu ilgums, h</w:t>
      </w:r>
      <w:r w:rsidRPr="00C37186">
        <w:rPr>
          <w:rFonts w:cs="Times New Roman"/>
          <w:b/>
          <w:vertAlign w:val="superscript"/>
        </w:rPr>
        <w:footnoteReference w:id="28"/>
      </w:r>
    </w:p>
    <w:p w14:paraId="299CEBCB" w14:textId="77777777" w:rsidR="00C37186" w:rsidRPr="00C37186" w:rsidRDefault="00C37186" w:rsidP="00C37186">
      <w:pPr>
        <w:spacing w:line="254" w:lineRule="auto"/>
        <w:jc w:val="both"/>
        <w:rPr>
          <w:rFonts w:cs="Times New Roman"/>
        </w:rPr>
      </w:pPr>
      <w:r w:rsidRPr="00C37186">
        <w:rPr>
          <w:rFonts w:asciiTheme="minorHAnsi" w:hAnsiTheme="minorHAnsi"/>
          <w:noProof/>
          <w:sz w:val="22"/>
          <w:szCs w:val="22"/>
          <w:lang w:eastAsia="lv-LV"/>
        </w:rPr>
        <w:drawing>
          <wp:inline distT="0" distB="0" distL="0" distR="0" wp14:anchorId="5A42BBF9" wp14:editId="060860D3">
            <wp:extent cx="5829300" cy="2626241"/>
            <wp:effectExtent l="0" t="0" r="0" b="3175"/>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40E80B3" w14:textId="197A464E" w:rsidR="00C37186" w:rsidRDefault="00C37186" w:rsidP="00C37186">
      <w:pPr>
        <w:spacing w:line="254" w:lineRule="auto"/>
        <w:ind w:firstLine="720"/>
        <w:jc w:val="both"/>
        <w:rPr>
          <w:rFonts w:cs="Times New Roman"/>
        </w:rPr>
      </w:pPr>
      <w:r>
        <w:rPr>
          <w:rFonts w:cs="Times New Roman"/>
        </w:rPr>
        <w:t>Ārkārtējās situācijas laikā tika pievērsta īpaša uzmanība videokonferenču kapacitātes celšanā. TM mājaslapā pieejamā informācija liecina, ka laikposmā no 2020.</w:t>
      </w:r>
      <w:r w:rsidR="00085F20">
        <w:rPr>
          <w:rFonts w:cs="Times New Roman"/>
        </w:rPr>
        <w:t xml:space="preserve"> </w:t>
      </w:r>
      <w:r>
        <w:rPr>
          <w:rFonts w:cs="Times New Roman"/>
        </w:rPr>
        <w:t>gada 13.</w:t>
      </w:r>
      <w:r w:rsidR="00085F20">
        <w:rPr>
          <w:rFonts w:cs="Times New Roman"/>
        </w:rPr>
        <w:t xml:space="preserve"> </w:t>
      </w:r>
      <w:r>
        <w:rPr>
          <w:rFonts w:cs="Times New Roman"/>
        </w:rPr>
        <w:t>marta līdz 15.</w:t>
      </w:r>
      <w:r w:rsidR="00085F20">
        <w:rPr>
          <w:rFonts w:cs="Times New Roman"/>
        </w:rPr>
        <w:t xml:space="preserve"> </w:t>
      </w:r>
      <w:r>
        <w:rPr>
          <w:rFonts w:cs="Times New Roman"/>
        </w:rPr>
        <w:t xml:space="preserve">aprīlim videokonferences notika katrā trešajā pirmās instances </w:t>
      </w:r>
      <w:r w:rsidRPr="00971567">
        <w:rPr>
          <w:rFonts w:cs="Times New Roman"/>
        </w:rPr>
        <w:t>krimināllietā</w:t>
      </w:r>
      <w:r>
        <w:rPr>
          <w:rStyle w:val="FootnoteReference"/>
          <w:rFonts w:cs="Times New Roman"/>
        </w:rPr>
        <w:footnoteReference w:id="29"/>
      </w:r>
      <w:r>
        <w:rPr>
          <w:rFonts w:cs="Times New Roman"/>
        </w:rPr>
        <w:t xml:space="preserve"> </w:t>
      </w:r>
      <w:r w:rsidRPr="00971567">
        <w:rPr>
          <w:rFonts w:cs="Times New Roman"/>
        </w:rPr>
        <w:t>, kuru skata mutvārdu procesā</w:t>
      </w:r>
      <w:r>
        <w:rPr>
          <w:rFonts w:cs="Times New Roman"/>
        </w:rPr>
        <w:t>. Savukārt, 2019.</w:t>
      </w:r>
      <w:r w:rsidR="00085F20">
        <w:rPr>
          <w:rFonts w:cs="Times New Roman"/>
        </w:rPr>
        <w:t xml:space="preserve"> </w:t>
      </w:r>
      <w:r>
        <w:rPr>
          <w:rFonts w:cs="Times New Roman"/>
        </w:rPr>
        <w:t>gada attiecīgajā laika periodā – tikai katrā 18.krimināllietā, kas liecina par seškārtīgu pieaugumu. Ņemot vērā pieejamos datus, var secināt, ka TM ir spējīgs trešdaļu tiesas procesu aizvadīt attālināti, kas, attiecīgi, veicinātu ar ieslodzīto konvojēšanu uz tiesām izmaksu samazinājumu.</w:t>
      </w:r>
    </w:p>
    <w:p w14:paraId="3B6BFE1D" w14:textId="14F9E203" w:rsidR="00C37186" w:rsidRDefault="005D4D3C" w:rsidP="00C37186">
      <w:pPr>
        <w:spacing w:line="254" w:lineRule="auto"/>
        <w:ind w:firstLine="720"/>
        <w:jc w:val="both"/>
        <w:rPr>
          <w:rFonts w:cs="Times New Roman"/>
        </w:rPr>
      </w:pPr>
      <w:r w:rsidRPr="005D4D3C">
        <w:rPr>
          <w:rFonts w:cs="Times New Roman"/>
        </w:rPr>
        <w:t>Apkopojot pieejamo informāciju, var secināt, ka IeM izdevumi konvojēšanas funkcijām potenciāl</w:t>
      </w:r>
      <w:r>
        <w:rPr>
          <w:rFonts w:cs="Times New Roman"/>
        </w:rPr>
        <w:t>i varētu samazināties par 70% jeb 2,4</w:t>
      </w:r>
      <w:r w:rsidRPr="005D4D3C">
        <w:rPr>
          <w:rFonts w:cs="Times New Roman"/>
        </w:rPr>
        <w:t xml:space="preserve"> milj. </w:t>
      </w:r>
      <w:r w:rsidRPr="005D4D3C">
        <w:rPr>
          <w:rFonts w:cs="Times New Roman"/>
          <w:i/>
        </w:rPr>
        <w:t>euro</w:t>
      </w:r>
      <w:r w:rsidRPr="005D4D3C">
        <w:rPr>
          <w:rFonts w:cs="Times New Roman"/>
        </w:rPr>
        <w:t xml:space="preserve"> gadā, ja TM </w:t>
      </w:r>
      <w:r>
        <w:rPr>
          <w:rFonts w:cs="Times New Roman"/>
        </w:rPr>
        <w:t>samazina klātienē izskatīto tiesas procesu līdz 30% un pārējos tiesas procesus organizējot attālināti</w:t>
      </w:r>
      <w:r w:rsidRPr="005D4D3C">
        <w:rPr>
          <w:rFonts w:cs="Times New Roman"/>
        </w:rPr>
        <w:t>.</w:t>
      </w:r>
      <w:r>
        <w:rPr>
          <w:rFonts w:cs="Times New Roman"/>
        </w:rPr>
        <w:t xml:space="preserve"> </w:t>
      </w:r>
      <w:r w:rsidR="00085F20">
        <w:rPr>
          <w:rFonts w:cs="Times New Roman"/>
        </w:rPr>
        <w:t xml:space="preserve">Ņemot vērā minēto, </w:t>
      </w:r>
      <w:r w:rsidR="00DA0B7A" w:rsidRPr="00DA0B7A">
        <w:rPr>
          <w:rFonts w:cs="Times New Roman"/>
        </w:rPr>
        <w:t xml:space="preserve">kā arī to, ka turpināma </w:t>
      </w:r>
      <w:r w:rsidR="00DA0B7A">
        <w:rPr>
          <w:rFonts w:cs="Times New Roman"/>
        </w:rPr>
        <w:t>MK</w:t>
      </w:r>
      <w:r w:rsidR="00DA0B7A" w:rsidRPr="00DA0B7A">
        <w:rPr>
          <w:rFonts w:cs="Times New Roman"/>
        </w:rPr>
        <w:t xml:space="preserve"> 2017. gada 28. augusta ārkārtas sēdes protokollēmuma (prot. Nr. 41 1. §) “Informatīvais ziņojums “Par valsts budžeta izdevumu pārskatīšanas 2018., 2019. un 2020.gadam rezultātiem un priekšlikumi par šo rezultātu izmantošanu likumprojekta “Par vidēja termiņa budžeta ietvaru 2018., 2019. un 2020.gadam” un likumprojekta “Par valsts budžetu 2018.gadam” izstrādes procesā”” 25. punktā noteiktā uzdevumu izpilde,  TM sadarbībā ar </w:t>
      </w:r>
      <w:r w:rsidR="00C37186" w:rsidRPr="00441E35">
        <w:rPr>
          <w:rFonts w:cs="Times New Roman"/>
          <w:b/>
        </w:rPr>
        <w:t xml:space="preserve">IeM </w:t>
      </w:r>
      <w:r w:rsidR="00085F20">
        <w:rPr>
          <w:rFonts w:cs="Times New Roman"/>
          <w:b/>
        </w:rPr>
        <w:t xml:space="preserve">nepieciešams izvērtēt konvojēšanas funkcijas nodrošināšanu, t.sk. vērtējot tiesas procesu organizēšanas iespējas ar videokonferenču starpniecību. </w:t>
      </w:r>
    </w:p>
    <w:p w14:paraId="39006305" w14:textId="77777777" w:rsidR="00605F2A" w:rsidRPr="00763A63" w:rsidRDefault="00605F2A" w:rsidP="00763A63"/>
    <w:p w14:paraId="5EE39167" w14:textId="77777777" w:rsidR="00D44FE6" w:rsidRDefault="00D44FE6" w:rsidP="006A15ED">
      <w:pPr>
        <w:pStyle w:val="Heading2"/>
        <w:numPr>
          <w:ilvl w:val="1"/>
          <w:numId w:val="2"/>
        </w:numPr>
      </w:pPr>
      <w:bookmarkStart w:id="173" w:name="_Toc48200655"/>
      <w:r w:rsidRPr="00D44FE6">
        <w:t>Publiskās privātās partnerības (PPP) potenciālā loma attīstības un produktivitātes veicināšanā</w:t>
      </w:r>
      <w:bookmarkEnd w:id="173"/>
    </w:p>
    <w:p w14:paraId="1AFCC273" w14:textId="77777777" w:rsidR="00BA5347" w:rsidRPr="00BA5347" w:rsidRDefault="00BA5347" w:rsidP="00BA5347">
      <w:pPr>
        <w:spacing w:after="120"/>
        <w:ind w:firstLine="720"/>
        <w:jc w:val="both"/>
        <w:rPr>
          <w:rFonts w:cs="Times New Roman"/>
        </w:rPr>
      </w:pPr>
      <w:r w:rsidRPr="00BA5347">
        <w:rPr>
          <w:rFonts w:cs="Times New Roman"/>
        </w:rPr>
        <w:t xml:space="preserve">Publiskā un privātā partnerība (turpmāk - PPP) vēsturiski nav svešs jēdziens ne Latvijā,  ne pasaulē. PPP apzīmē publiskā un privātā sektora sadarbības formu, kas veidota uz noteiktu laiku un nosacījumiem, lai nodrošinātu sabiedrības vajadzības būvdarbu veikšanā vai pakalpojumu sniegšanā. Lai gan PPP projekti un to normatīvā bāze Latvijā ir sākusi veidoties </w:t>
      </w:r>
      <w:r w:rsidRPr="00BA5347">
        <w:rPr>
          <w:rFonts w:cs="Times New Roman"/>
        </w:rPr>
        <w:lastRenderedPageBreak/>
        <w:t>jau 20.gs 90.gadu beigās, tikai šobrīd mēs novērojam aizvien lielāku interesi par šāda veida projektiem. Statistika liecina</w:t>
      </w:r>
      <w:r w:rsidRPr="00BA5347">
        <w:rPr>
          <w:rFonts w:cs="Times New Roman"/>
          <w:sz w:val="20"/>
          <w:vertAlign w:val="superscript"/>
        </w:rPr>
        <w:footnoteReference w:id="30"/>
      </w:r>
      <w:r w:rsidRPr="00BA5347">
        <w:rPr>
          <w:rFonts w:cs="Times New Roman"/>
        </w:rPr>
        <w:t>, ka pat šodien ir aktīvi PPP līgumi, taču, palūkojoties tuvāk, ir redzams, ka to izmantošana krasi atšķiras no to iespējamā potenciāla.</w:t>
      </w:r>
    </w:p>
    <w:p w14:paraId="6DBC84E6" w14:textId="77777777" w:rsidR="00BA5347" w:rsidRPr="00BA5347" w:rsidRDefault="00BA5347" w:rsidP="00BA5347">
      <w:pPr>
        <w:spacing w:after="120"/>
        <w:ind w:firstLine="720"/>
        <w:jc w:val="both"/>
        <w:rPr>
          <w:rFonts w:cs="Times New Roman"/>
        </w:rPr>
      </w:pPr>
      <w:r w:rsidRPr="00BA5347">
        <w:rPr>
          <w:rFonts w:cs="Times New Roman"/>
        </w:rPr>
        <w:t xml:space="preserve">Paaugstinātā interese par PPP sniegtajām iespējām ir lielākoties saistīta ar to, ka šobrīd (1) notiek nākamais struktūrfondu plānošanas periods, (2) </w:t>
      </w:r>
      <w:r w:rsidRPr="00BA5347">
        <w:t>ar 2020. gada 2. jūlija Latvijas Republikas Saeimas lēmumu Nr. 418/Lm13 apstiprināts Nacionālais attīstības plāns 2021.-2027.gadam</w:t>
      </w:r>
      <w:r w:rsidRPr="00BA5347">
        <w:rPr>
          <w:rFonts w:cs="Times New Roman"/>
        </w:rPr>
        <w:t>, kā arī (3) notiek pašvaldību reforma. Līdz ar to viens no svarīgākajiem aspektiem ir noteikt investīciju prioritātes un nodrošināt to piesaistes nepārtrauktību. PPP ir vērtīgs instruments apjomīgu investīciju piesaistē un īstenošanā. Taču to apvij arī daudzas neskaidrības un bažas, kas nereti kavē jaunu risinājumu ieviešanu valstiskā līmenī.</w:t>
      </w:r>
    </w:p>
    <w:p w14:paraId="74436490" w14:textId="77777777" w:rsidR="00BA5347" w:rsidRPr="00BA5347" w:rsidRDefault="00BA5347" w:rsidP="00BA5347">
      <w:pPr>
        <w:spacing w:after="120"/>
        <w:ind w:firstLine="720"/>
        <w:jc w:val="both"/>
        <w:rPr>
          <w:rFonts w:cs="Times New Roman"/>
        </w:rPr>
      </w:pPr>
      <w:r w:rsidRPr="00BA5347">
        <w:rPr>
          <w:rFonts w:cs="Times New Roman"/>
        </w:rPr>
        <w:t>Šīs sadaļas mērķis 2020. gada izdevumu pārskatīšanas ietvaros ir:</w:t>
      </w:r>
    </w:p>
    <w:p w14:paraId="5875CFA3" w14:textId="77777777" w:rsidR="00BA5347" w:rsidRPr="00BA5347" w:rsidRDefault="00BA5347" w:rsidP="00BA5347">
      <w:pPr>
        <w:numPr>
          <w:ilvl w:val="0"/>
          <w:numId w:val="3"/>
        </w:numPr>
        <w:spacing w:after="120"/>
        <w:jc w:val="both"/>
        <w:rPr>
          <w:rFonts w:cs="Times New Roman"/>
        </w:rPr>
      </w:pPr>
      <w:r w:rsidRPr="00BA5347">
        <w:rPr>
          <w:rFonts w:cs="Times New Roman"/>
        </w:rPr>
        <w:t>Apkopot esošo informāciju par PPP projektu būtību un ieguvumiem;</w:t>
      </w:r>
    </w:p>
    <w:p w14:paraId="3AAB8CA3" w14:textId="77777777" w:rsidR="00BA5347" w:rsidRPr="00BA5347" w:rsidRDefault="00BA5347" w:rsidP="00BA5347">
      <w:pPr>
        <w:numPr>
          <w:ilvl w:val="0"/>
          <w:numId w:val="3"/>
        </w:numPr>
        <w:spacing w:after="120"/>
        <w:jc w:val="both"/>
        <w:rPr>
          <w:rFonts w:cs="Times New Roman"/>
        </w:rPr>
      </w:pPr>
      <w:r w:rsidRPr="00BA5347">
        <w:rPr>
          <w:rFonts w:cs="Times New Roman"/>
        </w:rPr>
        <w:t>Apskatīt esošo un plānoto Latvijas iesaisti PPP īstenošanā;</w:t>
      </w:r>
    </w:p>
    <w:p w14:paraId="623F1CAF" w14:textId="77777777" w:rsidR="00BA5347" w:rsidRPr="00BA5347" w:rsidRDefault="00BA5347" w:rsidP="00BA5347">
      <w:pPr>
        <w:numPr>
          <w:ilvl w:val="0"/>
          <w:numId w:val="3"/>
        </w:numPr>
        <w:spacing w:after="120"/>
        <w:jc w:val="both"/>
        <w:rPr>
          <w:rFonts w:cs="Times New Roman"/>
        </w:rPr>
      </w:pPr>
      <w:r w:rsidRPr="00BA5347">
        <w:rPr>
          <w:rFonts w:cs="Times New Roman"/>
        </w:rPr>
        <w:t>Iepazīties ar  starptautisko pieredzi PPP jomā;</w:t>
      </w:r>
    </w:p>
    <w:p w14:paraId="2A3C4CC1" w14:textId="77777777" w:rsidR="00BA5347" w:rsidRPr="00BA5347" w:rsidRDefault="00BA5347" w:rsidP="00BA5347">
      <w:pPr>
        <w:numPr>
          <w:ilvl w:val="0"/>
          <w:numId w:val="3"/>
        </w:numPr>
        <w:spacing w:after="120"/>
        <w:jc w:val="both"/>
        <w:rPr>
          <w:rFonts w:cs="Times New Roman"/>
        </w:rPr>
      </w:pPr>
      <w:r w:rsidRPr="00BA5347">
        <w:rPr>
          <w:rFonts w:cs="Times New Roman"/>
        </w:rPr>
        <w:t>Aplūkot PPP potenciālu valsts turpmākai attīstības veicināšanai.</w:t>
      </w:r>
    </w:p>
    <w:p w14:paraId="66594028" w14:textId="77777777" w:rsidR="00BA5347" w:rsidRPr="00BA5347" w:rsidRDefault="00BA5347" w:rsidP="00BA5347">
      <w:pPr>
        <w:spacing w:before="320" w:after="120"/>
        <w:rPr>
          <w:rFonts w:cs="Times New Roman"/>
          <w:b/>
        </w:rPr>
      </w:pPr>
      <w:r w:rsidRPr="00BA5347">
        <w:rPr>
          <w:rFonts w:cs="Times New Roman"/>
          <w:b/>
        </w:rPr>
        <w:t>PPP būtība un ieguvumi</w:t>
      </w:r>
    </w:p>
    <w:p w14:paraId="08FF39A4" w14:textId="33FD3655" w:rsidR="00BA5347" w:rsidRPr="00BA5347" w:rsidRDefault="00BA5347" w:rsidP="00BA5347">
      <w:pPr>
        <w:spacing w:after="120"/>
        <w:ind w:firstLine="720"/>
        <w:jc w:val="both"/>
        <w:rPr>
          <w:rFonts w:cs="Times New Roman"/>
        </w:rPr>
      </w:pPr>
      <w:r w:rsidRPr="00BA5347">
        <w:rPr>
          <w:rFonts w:cs="Times New Roman"/>
        </w:rPr>
        <w:t>Publiskā un privātā partnerība ir ilgtermiņa sadarbība starp publisko partneri un privāto partneri, kas vērsta uz sabiedrības vajadzību nodrošināšanu būvdarbu izpildē vai pakalpojumu sniegšanā. Atbilstoši PPP likuma 1.panta 1.punktam PPP projektam obligā</w:t>
      </w:r>
      <w:r w:rsidR="00D96F20">
        <w:rPr>
          <w:rFonts w:cs="Times New Roman"/>
        </w:rPr>
        <w:t>ti ir jāatbilst piecām pazīmēm.</w:t>
      </w:r>
    </w:p>
    <w:p w14:paraId="42530CC3" w14:textId="77777777" w:rsidR="00BA5347" w:rsidRPr="00BA5347" w:rsidRDefault="00BA5347" w:rsidP="00BA5347">
      <w:pPr>
        <w:spacing w:after="120"/>
        <w:ind w:firstLine="720"/>
        <w:jc w:val="both"/>
        <w:rPr>
          <w:rFonts w:cs="Times New Roman"/>
        </w:rPr>
      </w:pPr>
      <w:r w:rsidRPr="00BA5347">
        <w:rPr>
          <w:rFonts w:cs="Times New Roman"/>
        </w:rPr>
        <w:t>PPP projektu pazīmes:</w:t>
      </w:r>
    </w:p>
    <w:p w14:paraId="071D79EC" w14:textId="77777777" w:rsidR="00BA5347" w:rsidRPr="00BA5347" w:rsidRDefault="00BA5347" w:rsidP="00BA5347">
      <w:pPr>
        <w:numPr>
          <w:ilvl w:val="0"/>
          <w:numId w:val="3"/>
        </w:numPr>
        <w:spacing w:after="120"/>
        <w:jc w:val="both"/>
        <w:rPr>
          <w:rFonts w:cs="Times New Roman"/>
        </w:rPr>
      </w:pPr>
      <w:r w:rsidRPr="00BA5347">
        <w:rPr>
          <w:rFonts w:cs="Times New Roman"/>
          <w:b/>
        </w:rPr>
        <w:t>sadarbība</w:t>
      </w:r>
      <w:r w:rsidRPr="00BA5347">
        <w:rPr>
          <w:rFonts w:cs="Times New Roman"/>
        </w:rPr>
        <w:t xml:space="preserve"> tiek veidota starp vismaz vienu publisko partneri un vismaz vienu PPP procedūrā iesaistītu privāto partneri. Tās mērķis ir nodrošināt sabiedrības vajadzības būvdarbu veikšanā un/vai pakalpojumu sniegšanā. Parasti tā ir ilgtermiņa sadarbība līdz 30 gadiem, nepieciešamības un attiecīga pamatojuma gadījumos arī ilgāk;</w:t>
      </w:r>
    </w:p>
    <w:p w14:paraId="10DB077D" w14:textId="77777777" w:rsidR="00BA5347" w:rsidRPr="00BA5347" w:rsidRDefault="00BA5347" w:rsidP="00BA5347">
      <w:pPr>
        <w:numPr>
          <w:ilvl w:val="0"/>
          <w:numId w:val="3"/>
        </w:numPr>
        <w:spacing w:after="120"/>
        <w:jc w:val="both"/>
        <w:rPr>
          <w:rFonts w:cs="Times New Roman"/>
        </w:rPr>
      </w:pPr>
      <w:r w:rsidRPr="00BA5347">
        <w:rPr>
          <w:rFonts w:cs="Times New Roman"/>
          <w:b/>
        </w:rPr>
        <w:t>resursi</w:t>
      </w:r>
      <w:r w:rsidRPr="00BA5347">
        <w:rPr>
          <w:rFonts w:cs="Times New Roman"/>
        </w:rPr>
        <w:t xml:space="preserve"> – publiskais un privātais partneris apvieno un izmanto tiem pieejamos resursus (piem., īpašumu, finanšu līdzekļus, zināšanas un pieredzi);</w:t>
      </w:r>
    </w:p>
    <w:p w14:paraId="3DBAF517" w14:textId="77777777" w:rsidR="00BA5347" w:rsidRPr="00BA5347" w:rsidRDefault="00BA5347" w:rsidP="00BA5347">
      <w:pPr>
        <w:numPr>
          <w:ilvl w:val="0"/>
          <w:numId w:val="3"/>
        </w:numPr>
        <w:spacing w:after="120"/>
        <w:jc w:val="both"/>
        <w:rPr>
          <w:rFonts w:cs="Times New Roman"/>
        </w:rPr>
      </w:pPr>
      <w:r w:rsidRPr="00BA5347">
        <w:rPr>
          <w:rFonts w:cs="Times New Roman"/>
          <w:b/>
        </w:rPr>
        <w:t>atbildība un riski</w:t>
      </w:r>
      <w:r w:rsidRPr="00BA5347">
        <w:rPr>
          <w:rFonts w:cs="Times New Roman"/>
        </w:rPr>
        <w:t xml:space="preserve"> tiek dalīti starp publisko un privāto partneri.</w:t>
      </w:r>
      <w:bookmarkStart w:id="174" w:name="_Toc36811917"/>
    </w:p>
    <w:p w14:paraId="4859536A" w14:textId="77777777" w:rsidR="00BA5347" w:rsidRPr="00BA5347" w:rsidRDefault="00BA5347" w:rsidP="00BA5347">
      <w:pPr>
        <w:spacing w:before="320" w:after="120"/>
        <w:rPr>
          <w:rFonts w:cs="Times New Roman"/>
          <w:b/>
        </w:rPr>
      </w:pPr>
      <w:r w:rsidRPr="00BA5347">
        <w:rPr>
          <w:rFonts w:cs="Times New Roman"/>
          <w:b/>
        </w:rPr>
        <w:t xml:space="preserve">PPP normatīvā bāze </w:t>
      </w:r>
    </w:p>
    <w:p w14:paraId="25E1DE1B" w14:textId="77777777" w:rsidR="00BA5347" w:rsidRPr="00BA5347" w:rsidRDefault="00BA5347" w:rsidP="00BA5347">
      <w:pPr>
        <w:spacing w:after="120"/>
        <w:rPr>
          <w:rFonts w:cs="Times New Roman"/>
          <w:b/>
        </w:rPr>
      </w:pPr>
      <w:r w:rsidRPr="00BA5347">
        <w:rPr>
          <w:rFonts w:cs="Times New Roman"/>
          <w:b/>
        </w:rPr>
        <w:t>Latvij</w:t>
      </w:r>
      <w:bookmarkEnd w:id="174"/>
      <w:r w:rsidRPr="00BA5347">
        <w:rPr>
          <w:rFonts w:cs="Times New Roman"/>
          <w:b/>
        </w:rPr>
        <w:t>ā</w:t>
      </w:r>
    </w:p>
    <w:p w14:paraId="6512680E" w14:textId="77777777" w:rsidR="00BA5347" w:rsidRPr="00BA5347" w:rsidRDefault="00BA5347" w:rsidP="00BA5347">
      <w:pPr>
        <w:spacing w:after="120"/>
        <w:jc w:val="both"/>
        <w:rPr>
          <w:rFonts w:cs="Times New Roman"/>
        </w:rPr>
      </w:pPr>
      <w:r w:rsidRPr="00BA5347">
        <w:rPr>
          <w:rFonts w:cs="Times New Roman"/>
        </w:rPr>
        <w:tab/>
        <w:t xml:space="preserve">PPP ideja gan Latvijā, gan pasaulē nav jauna. Lai labāk izprastu tās normatīvo bāzi, ir vērts apkopot PPP vēsturi un attīstību Latvijā. PPP idejas aizsākumi Latvijā meklējami 20. gadsimta 90. gadu beigās. Sākotnējo ideju ieviest Latvijā PPP virzīja EM, 1998. gadā uzsākot darbu pie Koncesijas likuma, kurš 2000.gada 20.janvārī tika pieņemts Saeimā. Nākošie soļi PPP politikas veidošanā pēc Koncesiju likuma izstrādes un pieņemšanas Saeimā bija „Koncesiju veicināšanas (privātā kapitāla piesaiste valsts funkciju veikšanai) koncepcijas” izstrāde, kas 2002. gada 16. aprīlī apstiprināta MK un Valsts un privātās partnerības </w:t>
      </w:r>
      <w:r w:rsidRPr="00BA5347">
        <w:rPr>
          <w:rFonts w:cs="Times New Roman"/>
        </w:rPr>
        <w:lastRenderedPageBreak/>
        <w:t>veicināšanas pamatnostādņu sagatavošana 2005.-2009. gadam (MK 2005. gada 23. marta rīkojums Nr.188). 2005. gada 16. novembrī ar rīkojumu Nr. 736 “Par Rīcības plānu Latvijas valsts un privātās partnerības veicināšanas pamatnostādņu īstenošanai 2006.-2009. gadā” apstiprināja rīcības plānu PPP pamatnostādņu īstenošanai 2006.-2009. gadam.</w:t>
      </w:r>
    </w:p>
    <w:p w14:paraId="0E2ECE69" w14:textId="77777777" w:rsidR="00BA5347" w:rsidRPr="00BA5347" w:rsidRDefault="00BA5347" w:rsidP="00BA5347">
      <w:pPr>
        <w:spacing w:after="120"/>
        <w:ind w:firstLine="720"/>
        <w:jc w:val="both"/>
        <w:rPr>
          <w:rFonts w:cs="Times New Roman"/>
        </w:rPr>
      </w:pPr>
      <w:r w:rsidRPr="00BA5347">
        <w:rPr>
          <w:rFonts w:cs="Times New Roman"/>
        </w:rPr>
        <w:t xml:space="preserve">Atbilstoši Koncesijas likuma pieņemšanai, 2003. gada septembrī EM darbu sāka Koncesiju nodaļa (2006. gadā reorganizēta par PPP nodaļu) un 2004. gada februārī LIAA uzsāka darbu pie PPP veicināšanas, izveidojot PPP nodaļu. </w:t>
      </w:r>
    </w:p>
    <w:p w14:paraId="34B14625" w14:textId="77777777" w:rsidR="00BA5347" w:rsidRPr="00BA5347" w:rsidRDefault="00BA5347" w:rsidP="00BA5347">
      <w:pPr>
        <w:spacing w:after="120"/>
        <w:ind w:firstLine="720"/>
        <w:jc w:val="both"/>
        <w:rPr>
          <w:rFonts w:cs="Times New Roman"/>
        </w:rPr>
      </w:pPr>
      <w:r w:rsidRPr="00BA5347">
        <w:rPr>
          <w:rFonts w:cs="Times New Roman"/>
        </w:rPr>
        <w:t>2005. gadā LIAA uzsāka piecu PPP pilotprojektu sagatavošanas darbu, lai radītu labo praksi un izvērtētu iespējamos šķēršļus PPP īstenošanā. Pilotprojekti tika izvēlēti dažādās nozarēs, kā arī ar dažādiem iespējamajiem PPP modeļiem.  Tika izvēlēti šādi pilotprojekti:</w:t>
      </w:r>
    </w:p>
    <w:p w14:paraId="0FDCD588" w14:textId="77777777" w:rsidR="00BA5347" w:rsidRPr="00BA5347" w:rsidRDefault="00BA5347" w:rsidP="00BA5347">
      <w:pPr>
        <w:spacing w:after="120"/>
        <w:ind w:firstLine="720"/>
        <w:jc w:val="both"/>
        <w:rPr>
          <w:rFonts w:cs="Times New Roman"/>
        </w:rPr>
      </w:pPr>
      <w:r w:rsidRPr="00BA5347">
        <w:rPr>
          <w:rFonts w:cs="Times New Roman"/>
        </w:rPr>
        <w:t>1) Jaunas pirmsskolas izglītības iestādes būvniecība un apsaimniekošana Cēsīs;</w:t>
      </w:r>
    </w:p>
    <w:p w14:paraId="25F87EF3" w14:textId="77777777" w:rsidR="00BA5347" w:rsidRPr="00BA5347" w:rsidRDefault="00BA5347" w:rsidP="00BA5347">
      <w:pPr>
        <w:spacing w:after="120"/>
        <w:ind w:firstLine="720"/>
        <w:jc w:val="both"/>
        <w:rPr>
          <w:rFonts w:cs="Times New Roman"/>
        </w:rPr>
      </w:pPr>
      <w:r w:rsidRPr="00BA5347">
        <w:rPr>
          <w:rFonts w:cs="Times New Roman"/>
        </w:rPr>
        <w:t>2) Jēkabpils siltumapgādes sistēmas rekonstrukcija;</w:t>
      </w:r>
    </w:p>
    <w:p w14:paraId="492B0120" w14:textId="77777777" w:rsidR="00BA5347" w:rsidRPr="00BA5347" w:rsidRDefault="00BA5347" w:rsidP="00BA5347">
      <w:pPr>
        <w:spacing w:after="120"/>
        <w:ind w:firstLine="720"/>
        <w:jc w:val="both"/>
        <w:rPr>
          <w:rFonts w:cs="Times New Roman"/>
        </w:rPr>
      </w:pPr>
      <w:r w:rsidRPr="00BA5347">
        <w:rPr>
          <w:rFonts w:cs="Times New Roman"/>
        </w:rPr>
        <w:t>3) Ogres mākslas skolas renovācija un apsaimniekošana;</w:t>
      </w:r>
    </w:p>
    <w:p w14:paraId="11D70218" w14:textId="77777777" w:rsidR="00BA5347" w:rsidRPr="00BA5347" w:rsidRDefault="00BA5347" w:rsidP="00BA5347">
      <w:pPr>
        <w:spacing w:after="120"/>
        <w:ind w:firstLine="720"/>
        <w:jc w:val="both"/>
        <w:rPr>
          <w:rFonts w:cs="Times New Roman"/>
        </w:rPr>
      </w:pPr>
      <w:r w:rsidRPr="00BA5347">
        <w:rPr>
          <w:rFonts w:cs="Times New Roman"/>
        </w:rPr>
        <w:t>4) Cēsu pilsētas ielu rekonstrukcija un apsaimniekošana;</w:t>
      </w:r>
    </w:p>
    <w:p w14:paraId="0078018E" w14:textId="77777777" w:rsidR="00BA5347" w:rsidRPr="00BA5347" w:rsidRDefault="00BA5347" w:rsidP="00BA5347">
      <w:pPr>
        <w:spacing w:after="120"/>
        <w:ind w:firstLine="720"/>
        <w:jc w:val="both"/>
        <w:rPr>
          <w:rFonts w:cs="Times New Roman"/>
        </w:rPr>
      </w:pPr>
      <w:r w:rsidRPr="00BA5347">
        <w:rPr>
          <w:rFonts w:cs="Times New Roman"/>
        </w:rPr>
        <w:t>5) Mājokļu būvniecība ar sociālajiem un īres dzīvokļiem un apsaimniekošana Salaspilī.</w:t>
      </w:r>
    </w:p>
    <w:p w14:paraId="16E045DB" w14:textId="77777777" w:rsidR="00BA5347" w:rsidRPr="00BA5347" w:rsidRDefault="00BA5347" w:rsidP="00BA5347">
      <w:pPr>
        <w:spacing w:after="120"/>
        <w:ind w:firstLine="720"/>
        <w:jc w:val="both"/>
        <w:rPr>
          <w:rFonts w:cs="Times New Roman"/>
        </w:rPr>
      </w:pPr>
      <w:r w:rsidRPr="00BA5347">
        <w:rPr>
          <w:rFonts w:cs="Times New Roman"/>
        </w:rPr>
        <w:t>Balstoties uz minēto pilotprojektu īstenošanas praksi, tika iesākts darbs pie vairāku PPP standartdokumentāciju izstrādes un vadlīniju veidošanas.</w:t>
      </w:r>
    </w:p>
    <w:p w14:paraId="34E4AEEA" w14:textId="77777777" w:rsidR="00BA5347" w:rsidRPr="00BA5347" w:rsidRDefault="00BA5347" w:rsidP="00BA5347">
      <w:pPr>
        <w:spacing w:after="120"/>
        <w:ind w:firstLine="720"/>
        <w:jc w:val="both"/>
        <w:rPr>
          <w:rFonts w:cs="Times New Roman"/>
        </w:rPr>
      </w:pPr>
      <w:r w:rsidRPr="00BA5347">
        <w:rPr>
          <w:rFonts w:cs="Times New Roman"/>
        </w:rPr>
        <w:t>Lai uzlabotu sadarbību starp PPP kompetentajām institūcijām, 2007. gada 19. janvārī tika izveidota PPP konsultatīvā padome, kas darbojas kā konsultējoša un koordinējoša institūcija un kuras mērķis bija sekmēt vienotas PPP politikas izstrādi un tās īstenošanu. 2009. gada 1. jūnijā PPP politikas izstrādes un tās īstenošanas funkcijas tika nodotas FM.</w:t>
      </w:r>
    </w:p>
    <w:p w14:paraId="44170982" w14:textId="77777777" w:rsidR="00BA5347" w:rsidRPr="00BA5347" w:rsidRDefault="00BA5347" w:rsidP="00BA5347">
      <w:pPr>
        <w:spacing w:after="120"/>
        <w:ind w:firstLine="720"/>
        <w:jc w:val="both"/>
        <w:rPr>
          <w:rFonts w:cs="Times New Roman"/>
        </w:rPr>
      </w:pPr>
      <w:r w:rsidRPr="00BA5347">
        <w:rPr>
          <w:rFonts w:cs="Times New Roman"/>
        </w:rPr>
        <w:t>2009. gada 18. jūnijā tika pieņemts Saeimā un 2009. gada 1. oktobrī stājās spēkā izstrādātais Publiskās un privātās partnerības likums (atbilst Eiropas Parlamenta un Padomes direktīvām: 2004/17/EK, kas koordinē līgumu piešķiršanas procedūras subjektiem, kuri darbojas ūdensapgādes, enerģētikas, transporta un pasta pakalpojumu jomā, un 2004/18/EK, kas koordinē līgumu piešķiršanas būvdarbu, piegāžu un pakalpojumu sektoros). Ar Publiskās un privātās partnerības likuma stāšanos spēkā, Koncesijas likums zaudēja spēku. 2014.gada 20.aprīlī Saeima pieņēma likumprojektu “Grozījumi Publiskās un privātās partnerības likumā” tādējādi pārņemot Eiropas Parlamenta un Padomes 2014.gada 26.februāra direktīvas 2014/23/ES par koncesijas līgumu slēgšanas tiesību piešķiršanu regulējumu.</w:t>
      </w:r>
    </w:p>
    <w:p w14:paraId="42D48ECA" w14:textId="77777777" w:rsidR="00BA5347" w:rsidRPr="00BA5347" w:rsidRDefault="00BA5347" w:rsidP="00BA5347">
      <w:pPr>
        <w:spacing w:after="120"/>
        <w:ind w:firstLine="720"/>
        <w:jc w:val="both"/>
        <w:rPr>
          <w:rFonts w:cs="Times New Roman"/>
        </w:rPr>
      </w:pPr>
      <w:r w:rsidRPr="00BA5347">
        <w:rPr>
          <w:rFonts w:cs="Times New Roman"/>
        </w:rPr>
        <w:t>2019. gada 28. februārī tika pārtraukta PPP konsultatīvās padomes darbība (FM rīkojums Nr.72 “Par Publiskās un privātās partnerības konsultatīvo padomi”). PPP īstenošanu regulē vairāki normatīvie akti (likumi un MK noteikumi</w:t>
      </w:r>
      <w:r w:rsidRPr="00BA5347">
        <w:rPr>
          <w:rFonts w:cs="Times New Roman"/>
          <w:vertAlign w:val="superscript"/>
        </w:rPr>
        <w:footnoteReference w:id="31"/>
      </w:r>
      <w:r w:rsidRPr="00BA5347">
        <w:rPr>
          <w:rFonts w:cs="Times New Roman"/>
        </w:rPr>
        <w:t>).</w:t>
      </w:r>
    </w:p>
    <w:p w14:paraId="6F76B359" w14:textId="42BB09DC" w:rsidR="00BA5347" w:rsidRPr="00BA5347" w:rsidRDefault="00BA5347" w:rsidP="00EE660D">
      <w:pPr>
        <w:spacing w:before="120" w:after="120" w:line="240" w:lineRule="auto"/>
        <w:ind w:firstLine="720"/>
        <w:jc w:val="both"/>
        <w:rPr>
          <w:rFonts w:cs="Times New Roman"/>
          <w:iCs/>
          <w:noProof/>
          <w:szCs w:val="18"/>
          <w:lang w:eastAsia="lv-LV"/>
        </w:rPr>
      </w:pPr>
      <w:r w:rsidRPr="00BA5347">
        <w:rPr>
          <w:rFonts w:cs="Times New Roman"/>
          <w:iCs/>
          <w:noProof/>
          <w:szCs w:val="18"/>
          <w:lang w:eastAsia="lv-LV"/>
        </w:rPr>
        <w:t>Zemāk (</w:t>
      </w:r>
      <w:r w:rsidR="00EE660D">
        <w:rPr>
          <w:rFonts w:cs="Times New Roman"/>
          <w:iCs/>
          <w:noProof/>
          <w:szCs w:val="18"/>
          <w:lang w:eastAsia="lv-LV"/>
        </w:rPr>
        <w:fldChar w:fldCharType="begin"/>
      </w:r>
      <w:r w:rsidR="00EE660D">
        <w:rPr>
          <w:rFonts w:cs="Times New Roman"/>
          <w:iCs/>
          <w:noProof/>
          <w:szCs w:val="18"/>
          <w:lang w:eastAsia="lv-LV"/>
        </w:rPr>
        <w:instrText xml:space="preserve"> REF _Ref48203945 \h </w:instrText>
      </w:r>
      <w:r w:rsidR="00EE660D">
        <w:rPr>
          <w:rFonts w:cs="Times New Roman"/>
          <w:iCs/>
          <w:noProof/>
          <w:szCs w:val="18"/>
          <w:lang w:eastAsia="lv-LV"/>
        </w:rPr>
      </w:r>
      <w:r w:rsidR="00EE660D">
        <w:rPr>
          <w:rFonts w:cs="Times New Roman"/>
          <w:iCs/>
          <w:noProof/>
          <w:szCs w:val="18"/>
          <w:lang w:eastAsia="lv-LV"/>
        </w:rPr>
        <w:fldChar w:fldCharType="separate"/>
      </w:r>
      <w:r w:rsidR="00D96F20" w:rsidRPr="00BA5347">
        <w:rPr>
          <w:iCs/>
          <w:szCs w:val="18"/>
        </w:rPr>
        <w:t xml:space="preserve">Attēls Nr. </w:t>
      </w:r>
      <w:r w:rsidR="00D96F20">
        <w:rPr>
          <w:iCs/>
          <w:noProof/>
          <w:szCs w:val="18"/>
        </w:rPr>
        <w:t>72</w:t>
      </w:r>
      <w:r w:rsidR="00EE660D">
        <w:rPr>
          <w:rFonts w:cs="Times New Roman"/>
          <w:iCs/>
          <w:noProof/>
          <w:szCs w:val="18"/>
          <w:lang w:eastAsia="lv-LV"/>
        </w:rPr>
        <w:fldChar w:fldCharType="end"/>
      </w:r>
      <w:r w:rsidRPr="00BA5347">
        <w:rPr>
          <w:rFonts w:cs="Times New Roman"/>
          <w:iCs/>
          <w:noProof/>
          <w:szCs w:val="18"/>
          <w:lang w:eastAsia="lv-LV"/>
        </w:rPr>
        <w:t>) definētas atbildīgās institūcijas PPP jautājumos un to pamatfunkcijas</w:t>
      </w:r>
      <w:bookmarkStart w:id="175" w:name="_Ref45617815"/>
      <w:r w:rsidRPr="00BA5347">
        <w:rPr>
          <w:rFonts w:cs="Times New Roman"/>
          <w:iCs/>
          <w:noProof/>
          <w:szCs w:val="18"/>
          <w:lang w:eastAsia="lv-LV"/>
        </w:rPr>
        <w:t>.</w:t>
      </w:r>
      <w:bookmarkStart w:id="176" w:name="_Ref45724128"/>
      <w:bookmarkStart w:id="177" w:name="_Ref47102742"/>
    </w:p>
    <w:p w14:paraId="1801DFA9" w14:textId="77777777" w:rsidR="00647C1A" w:rsidRDefault="00647C1A" w:rsidP="00BA5347">
      <w:pPr>
        <w:spacing w:before="120" w:after="120" w:line="240" w:lineRule="auto"/>
        <w:jc w:val="right"/>
        <w:rPr>
          <w:iCs/>
          <w:szCs w:val="18"/>
        </w:rPr>
      </w:pPr>
      <w:bookmarkStart w:id="178" w:name="_Ref47346550"/>
    </w:p>
    <w:p w14:paraId="498656CD" w14:textId="77777777" w:rsidR="00647C1A" w:rsidRDefault="00647C1A" w:rsidP="00BA5347">
      <w:pPr>
        <w:spacing w:before="120" w:after="120" w:line="240" w:lineRule="auto"/>
        <w:jc w:val="right"/>
        <w:rPr>
          <w:iCs/>
          <w:szCs w:val="18"/>
        </w:rPr>
      </w:pPr>
    </w:p>
    <w:p w14:paraId="70342499" w14:textId="523D8624" w:rsidR="00EE660D" w:rsidRDefault="00EE660D" w:rsidP="00EE660D">
      <w:pPr>
        <w:spacing w:before="120" w:after="120" w:line="240" w:lineRule="auto"/>
        <w:rPr>
          <w:iCs/>
          <w:szCs w:val="18"/>
        </w:rPr>
      </w:pPr>
    </w:p>
    <w:p w14:paraId="1D500040" w14:textId="77777777" w:rsidR="00EE660D" w:rsidRDefault="00EE660D" w:rsidP="00EE660D">
      <w:pPr>
        <w:spacing w:before="120" w:after="120" w:line="240" w:lineRule="auto"/>
        <w:rPr>
          <w:iCs/>
          <w:szCs w:val="18"/>
        </w:rPr>
      </w:pPr>
    </w:p>
    <w:p w14:paraId="37CB409D" w14:textId="5C2E126B" w:rsidR="00BA5347" w:rsidRPr="00BA5347" w:rsidRDefault="00BA5347" w:rsidP="00BA5347">
      <w:pPr>
        <w:spacing w:before="120" w:after="120" w:line="240" w:lineRule="auto"/>
        <w:jc w:val="right"/>
        <w:rPr>
          <w:iCs/>
          <w:szCs w:val="18"/>
        </w:rPr>
      </w:pPr>
      <w:bookmarkStart w:id="179" w:name="_Ref48203945"/>
      <w:r w:rsidRPr="00BA5347">
        <w:rPr>
          <w:iCs/>
          <w:szCs w:val="18"/>
        </w:rPr>
        <w:lastRenderedPageBreak/>
        <w:t xml:space="preserve">Attēls Nr. </w:t>
      </w:r>
      <w:r w:rsidRPr="00BA5347">
        <w:rPr>
          <w:iCs/>
          <w:szCs w:val="18"/>
        </w:rPr>
        <w:fldChar w:fldCharType="begin"/>
      </w:r>
      <w:r w:rsidRPr="00BA5347">
        <w:rPr>
          <w:iCs/>
          <w:szCs w:val="18"/>
        </w:rPr>
        <w:instrText xml:space="preserve"> SEQ Attēls_Nr. \* ARABIC </w:instrText>
      </w:r>
      <w:r w:rsidRPr="00BA5347">
        <w:rPr>
          <w:iCs/>
          <w:szCs w:val="18"/>
        </w:rPr>
        <w:fldChar w:fldCharType="separate"/>
      </w:r>
      <w:r w:rsidR="00D96F20">
        <w:rPr>
          <w:iCs/>
          <w:noProof/>
          <w:szCs w:val="18"/>
        </w:rPr>
        <w:t>72</w:t>
      </w:r>
      <w:r w:rsidRPr="00BA5347">
        <w:rPr>
          <w:iCs/>
          <w:noProof/>
          <w:szCs w:val="18"/>
        </w:rPr>
        <w:fldChar w:fldCharType="end"/>
      </w:r>
      <w:bookmarkEnd w:id="175"/>
      <w:bookmarkEnd w:id="176"/>
      <w:bookmarkEnd w:id="177"/>
      <w:bookmarkEnd w:id="178"/>
      <w:bookmarkEnd w:id="179"/>
      <w:r w:rsidRPr="00BA5347">
        <w:rPr>
          <w:rFonts w:cs="Times New Roman"/>
          <w:iCs/>
          <w:noProof/>
          <w:szCs w:val="20"/>
          <w:lang w:eastAsia="lv-LV"/>
        </w:rPr>
        <w:t xml:space="preserve"> </w:t>
      </w:r>
    </w:p>
    <w:p w14:paraId="0B7A9471" w14:textId="77777777" w:rsidR="00BA5347" w:rsidRPr="00BA5347" w:rsidRDefault="00BA5347" w:rsidP="00BA5347">
      <w:pPr>
        <w:spacing w:after="0" w:line="240" w:lineRule="auto"/>
        <w:ind w:firstLine="720"/>
        <w:jc w:val="center"/>
        <w:rPr>
          <w:rFonts w:cs="Times New Roman"/>
          <w:noProof/>
          <w:lang w:eastAsia="lv-LV"/>
        </w:rPr>
      </w:pPr>
      <w:r w:rsidRPr="00BA5347">
        <w:rPr>
          <w:rFonts w:cs="Times New Roman"/>
          <w:b/>
          <w:noProof/>
          <w:szCs w:val="20"/>
          <w:lang w:eastAsia="lv-LV"/>
        </w:rPr>
        <w:t>Par PPP atbildīgās institūcijas</w:t>
      </w:r>
    </w:p>
    <w:p w14:paraId="789D5883" w14:textId="77777777" w:rsidR="00BA5347" w:rsidRPr="00BA5347" w:rsidRDefault="00BA5347" w:rsidP="00BA5347">
      <w:pPr>
        <w:spacing w:after="0" w:line="240" w:lineRule="auto"/>
        <w:jc w:val="both"/>
        <w:rPr>
          <w:rFonts w:eastAsiaTheme="majorEastAsia" w:cs="Times New Roman"/>
          <w:b/>
          <w:szCs w:val="26"/>
        </w:rPr>
      </w:pPr>
      <w:r w:rsidRPr="00BA5347">
        <w:rPr>
          <w:noProof/>
          <w:lang w:eastAsia="lv-LV"/>
        </w:rPr>
        <w:drawing>
          <wp:inline distT="0" distB="0" distL="0" distR="0" wp14:anchorId="577BF3C8" wp14:editId="49441A52">
            <wp:extent cx="5760085" cy="2462806"/>
            <wp:effectExtent l="57150" t="0" r="107315" b="1397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bookmarkStart w:id="180" w:name="_Toc36811918"/>
    </w:p>
    <w:p w14:paraId="475992E6" w14:textId="77777777" w:rsidR="00BA5347" w:rsidRPr="00BA5347" w:rsidRDefault="00BA5347" w:rsidP="00BA5347">
      <w:pPr>
        <w:spacing w:after="120"/>
        <w:rPr>
          <w:rFonts w:cs="Times New Roman"/>
          <w:b/>
        </w:rPr>
      </w:pPr>
      <w:r w:rsidRPr="00BA5347">
        <w:rPr>
          <w:rFonts w:cs="Times New Roman"/>
          <w:b/>
        </w:rPr>
        <w:t xml:space="preserve">Eiropā </w:t>
      </w:r>
      <w:bookmarkEnd w:id="180"/>
    </w:p>
    <w:p w14:paraId="52655E64" w14:textId="77777777" w:rsidR="00BA5347" w:rsidRPr="00BA5347" w:rsidRDefault="00BA5347" w:rsidP="00BA5347">
      <w:pPr>
        <w:spacing w:after="120"/>
        <w:jc w:val="both"/>
        <w:rPr>
          <w:rFonts w:cs="Times New Roman"/>
        </w:rPr>
      </w:pPr>
      <w:r w:rsidRPr="00BA5347">
        <w:rPr>
          <w:rFonts w:cs="Times New Roman"/>
        </w:rPr>
        <w:tab/>
        <w:t>ES iesaistās PPP jautājumu risināšanā. Ir pieejami vairāki informatīvi materiāli, pētījumi, kā arī PPP projektu vadlīnijas. Šo zināšanu bāzi valstis izmanto savu metodoloģiju izstrādē, kā arī seko tam, lai uzskaites vadlīnijas atbilstu Eiropas izstrādātajiem nosacījumiem.</w:t>
      </w:r>
    </w:p>
    <w:p w14:paraId="15E2FE31" w14:textId="77777777" w:rsidR="00BA5347" w:rsidRPr="00BA5347" w:rsidRDefault="00BA5347" w:rsidP="00BA5347">
      <w:pPr>
        <w:spacing w:after="120"/>
        <w:rPr>
          <w:rFonts w:cs="Times New Roman"/>
        </w:rPr>
      </w:pPr>
      <w:r w:rsidRPr="00BA5347">
        <w:rPr>
          <w:rFonts w:cs="Times New Roman"/>
        </w:rPr>
        <w:tab/>
        <w:t>Zemāk minēti galvenie ar PPP saistītie informatīvie materiāli:</w:t>
      </w:r>
    </w:p>
    <w:p w14:paraId="403E6BCD" w14:textId="77777777" w:rsidR="00BA5347" w:rsidRPr="00BA5347" w:rsidRDefault="00BA5347" w:rsidP="00BA5347">
      <w:pPr>
        <w:numPr>
          <w:ilvl w:val="0"/>
          <w:numId w:val="3"/>
        </w:numPr>
        <w:spacing w:after="120"/>
        <w:jc w:val="both"/>
        <w:rPr>
          <w:rFonts w:cs="Times New Roman"/>
        </w:rPr>
      </w:pPr>
      <w:r w:rsidRPr="00BA5347">
        <w:rPr>
          <w:rFonts w:cs="Times New Roman"/>
        </w:rPr>
        <w:t>PPP projektu uzskaites vadlīnijas</w:t>
      </w:r>
      <w:r w:rsidRPr="00BA5347">
        <w:rPr>
          <w:rFonts w:cs="Times New Roman"/>
          <w:vertAlign w:val="superscript"/>
        </w:rPr>
        <w:footnoteReference w:id="32"/>
      </w:r>
      <w:r w:rsidRPr="00BA5347">
        <w:rPr>
          <w:rFonts w:cs="Times New Roman"/>
        </w:rPr>
        <w:t>;</w:t>
      </w:r>
    </w:p>
    <w:p w14:paraId="35BA74AF" w14:textId="77777777" w:rsidR="00BA5347" w:rsidRPr="00BA5347" w:rsidRDefault="00BA5347" w:rsidP="00BA5347">
      <w:pPr>
        <w:numPr>
          <w:ilvl w:val="0"/>
          <w:numId w:val="3"/>
        </w:numPr>
        <w:spacing w:after="120"/>
        <w:jc w:val="both"/>
        <w:rPr>
          <w:rFonts w:cs="Times New Roman"/>
        </w:rPr>
      </w:pPr>
      <w:r w:rsidRPr="00BA5347">
        <w:rPr>
          <w:rFonts w:cs="Times New Roman"/>
        </w:rPr>
        <w:t>EKS metodoloģija</w:t>
      </w:r>
      <w:r w:rsidRPr="00BA5347">
        <w:rPr>
          <w:rFonts w:cs="Times New Roman"/>
          <w:vertAlign w:val="superscript"/>
        </w:rPr>
        <w:footnoteReference w:id="33"/>
      </w:r>
      <w:r w:rsidRPr="00BA5347">
        <w:rPr>
          <w:rFonts w:cs="Times New Roman"/>
        </w:rPr>
        <w:t>;</w:t>
      </w:r>
    </w:p>
    <w:p w14:paraId="4D1B35EA" w14:textId="77777777" w:rsidR="00BA5347" w:rsidRPr="00BA5347" w:rsidRDefault="00BA5347" w:rsidP="00BA5347">
      <w:pPr>
        <w:numPr>
          <w:ilvl w:val="0"/>
          <w:numId w:val="3"/>
        </w:numPr>
        <w:spacing w:after="120"/>
        <w:jc w:val="both"/>
        <w:rPr>
          <w:rFonts w:cs="Times New Roman"/>
        </w:rPr>
      </w:pPr>
      <w:r w:rsidRPr="00BA5347">
        <w:rPr>
          <w:rFonts w:cs="Times New Roman"/>
        </w:rPr>
        <w:t>EKS regula</w:t>
      </w:r>
      <w:r w:rsidRPr="00BA5347">
        <w:rPr>
          <w:rFonts w:cs="Times New Roman"/>
          <w:vertAlign w:val="superscript"/>
        </w:rPr>
        <w:footnoteReference w:id="34"/>
      </w:r>
      <w:r w:rsidRPr="00BA5347">
        <w:rPr>
          <w:rFonts w:cs="Times New Roman"/>
        </w:rPr>
        <w:t>;</w:t>
      </w:r>
    </w:p>
    <w:p w14:paraId="27F031C5" w14:textId="77777777" w:rsidR="00BA5347" w:rsidRPr="00BA5347" w:rsidRDefault="00BA5347" w:rsidP="00BA5347">
      <w:pPr>
        <w:numPr>
          <w:ilvl w:val="0"/>
          <w:numId w:val="3"/>
        </w:numPr>
        <w:spacing w:after="120"/>
        <w:jc w:val="both"/>
        <w:rPr>
          <w:rFonts w:cs="Times New Roman"/>
        </w:rPr>
      </w:pPr>
      <w:r w:rsidRPr="00BA5347">
        <w:rPr>
          <w:rFonts w:cs="Times New Roman"/>
        </w:rPr>
        <w:t>Eiropas Parlamenta un Padomes 2014. gada 26. februāra direktīvas 2014/23/ES par koncesijas līgumu slēgšanas tiesību piešķiršanu;</w:t>
      </w:r>
    </w:p>
    <w:p w14:paraId="44B20B4A" w14:textId="77777777" w:rsidR="00BA5347" w:rsidRPr="00BA5347" w:rsidRDefault="00BA5347" w:rsidP="00BA5347">
      <w:pPr>
        <w:numPr>
          <w:ilvl w:val="0"/>
          <w:numId w:val="3"/>
        </w:numPr>
        <w:spacing w:after="120"/>
        <w:jc w:val="both"/>
        <w:rPr>
          <w:rFonts w:cs="Times New Roman"/>
        </w:rPr>
      </w:pPr>
      <w:r w:rsidRPr="00BA5347">
        <w:rPr>
          <w:rFonts w:cs="Times New Roman"/>
        </w:rPr>
        <w:t>Eiropas Parlamenta un Padomes 2014. gada 26. februāra direktīvas 2014/24/ES par publisko iepirkumu un ar ko atceļ direktīvu 2004/18/EK;</w:t>
      </w:r>
    </w:p>
    <w:p w14:paraId="7D67DC9D" w14:textId="77777777" w:rsidR="00BA5347" w:rsidRPr="00BA5347" w:rsidRDefault="00BA5347" w:rsidP="00BA5347">
      <w:pPr>
        <w:spacing w:before="320" w:after="120"/>
        <w:rPr>
          <w:rFonts w:cs="Times New Roman"/>
          <w:b/>
        </w:rPr>
      </w:pPr>
      <w:r w:rsidRPr="00BA5347">
        <w:rPr>
          <w:rFonts w:cs="Times New Roman"/>
        </w:rPr>
        <w:t>Eiropas Parlamenta un Padomes 2014. gada 26. februāra direktīvas 2014/25/ES par iepirkumu, ko īsteno subjekti, kuri darbojas ūdensapgādes, enerģētikas, transporta un pasta pakalpojumu nozarēs, un ar ko atceļ direktīvu 2004/17/EK</w:t>
      </w:r>
      <w:bookmarkStart w:id="181" w:name="_Toc36811919"/>
      <w:r w:rsidRPr="00BA5347">
        <w:rPr>
          <w:rFonts w:cs="Times New Roman"/>
          <w:b/>
        </w:rPr>
        <w:t>Iesaistītās puses</w:t>
      </w:r>
      <w:bookmarkEnd w:id="181"/>
    </w:p>
    <w:p w14:paraId="14875EDC" w14:textId="77777777" w:rsidR="00BA5347" w:rsidRPr="00BA5347" w:rsidRDefault="00BA5347" w:rsidP="00BA5347">
      <w:pPr>
        <w:spacing w:after="120"/>
        <w:ind w:firstLine="720"/>
        <w:jc w:val="both"/>
        <w:rPr>
          <w:rFonts w:cs="Times New Roman"/>
        </w:rPr>
      </w:pPr>
      <w:r w:rsidRPr="00BA5347">
        <w:rPr>
          <w:rFonts w:cs="Times New Roman"/>
        </w:rPr>
        <w:t>Pie PPP iesaistītajām pusēm tiek nodalītas 4 iesaistītās puses: publiskais partneris, privātais partneris, kā arī finansētājs un gala lietotājs.</w:t>
      </w:r>
    </w:p>
    <w:p w14:paraId="284EE016" w14:textId="77777777" w:rsidR="00BA5347" w:rsidRPr="00BA5347" w:rsidRDefault="00BA5347" w:rsidP="00BA5347">
      <w:pPr>
        <w:spacing w:after="120"/>
        <w:ind w:firstLine="720"/>
        <w:jc w:val="both"/>
        <w:rPr>
          <w:rFonts w:cs="Times New Roman"/>
        </w:rPr>
      </w:pPr>
      <w:r w:rsidRPr="00BA5347">
        <w:rPr>
          <w:rFonts w:cs="Times New Roman"/>
        </w:rPr>
        <w:t xml:space="preserve">Kā </w:t>
      </w:r>
      <w:r w:rsidRPr="00BA5347">
        <w:rPr>
          <w:rFonts w:cs="Times New Roman"/>
          <w:b/>
        </w:rPr>
        <w:t>publiskais partneris</w:t>
      </w:r>
      <w:r w:rsidRPr="00BA5347">
        <w:rPr>
          <w:rFonts w:cs="Times New Roman"/>
        </w:rPr>
        <w:t xml:space="preserve"> var būt viens vai vairāki šādi subjekti: </w:t>
      </w:r>
      <w:r w:rsidRPr="00BA5347">
        <w:rPr>
          <w:rFonts w:cs="Times New Roman"/>
          <w:b/>
        </w:rPr>
        <w:t>valsts</w:t>
      </w:r>
      <w:r w:rsidRPr="00BA5347">
        <w:rPr>
          <w:rFonts w:cs="Times New Roman"/>
        </w:rPr>
        <w:t xml:space="preserve"> kā sākotnējā publisko tiesību juridiskā persona, atvasināta publisko tiesību juridiskā persona, publiskā institūcija vai publiskās institūcijas uzņēmums Sabiedrisko pakalpojumu sniedzēju iepirkumu likuma izpratnē; </w:t>
      </w:r>
      <w:r w:rsidRPr="00BA5347">
        <w:rPr>
          <w:rFonts w:cs="Times New Roman"/>
          <w:b/>
        </w:rPr>
        <w:t>kapitālsabiedrība vai cita privāto tiesību juridiskā persona</w:t>
      </w:r>
      <w:r w:rsidRPr="00BA5347">
        <w:rPr>
          <w:rFonts w:cs="Times New Roman"/>
        </w:rPr>
        <w:t>, kas vienlaikus atbilst turpmāk norādītajam “a” apakšpunktam un “b” vai “c” apakšpunktam:</w:t>
      </w:r>
    </w:p>
    <w:p w14:paraId="74F76E60" w14:textId="77777777" w:rsidR="00BA5347" w:rsidRPr="00BA5347" w:rsidRDefault="00BA5347" w:rsidP="00BA5347">
      <w:pPr>
        <w:numPr>
          <w:ilvl w:val="0"/>
          <w:numId w:val="4"/>
        </w:numPr>
        <w:spacing w:after="120"/>
        <w:jc w:val="both"/>
        <w:rPr>
          <w:rFonts w:cs="Times New Roman"/>
        </w:rPr>
      </w:pPr>
      <w:r w:rsidRPr="00BA5347">
        <w:rPr>
          <w:rFonts w:cs="Times New Roman"/>
        </w:rPr>
        <w:lastRenderedPageBreak/>
        <w:t>tā ir nodibināta vai darbojas, lai nodrošinātu sabiedrības vispārīgās vajadzības, kurām nav komerciāla vai rūpnieciska rakstura</w:t>
      </w:r>
      <w:r w:rsidRPr="00BA5347">
        <w:rPr>
          <w:rFonts w:cs="Times New Roman"/>
          <w:vertAlign w:val="superscript"/>
        </w:rPr>
        <w:footnoteReference w:id="35"/>
      </w:r>
      <w:r w:rsidRPr="00BA5347">
        <w:rPr>
          <w:rFonts w:cs="Times New Roman"/>
        </w:rPr>
        <w:t>;</w:t>
      </w:r>
    </w:p>
    <w:p w14:paraId="53525687" w14:textId="77777777" w:rsidR="00BA5347" w:rsidRPr="00BA5347" w:rsidRDefault="00BA5347" w:rsidP="00BA5347">
      <w:pPr>
        <w:numPr>
          <w:ilvl w:val="0"/>
          <w:numId w:val="4"/>
        </w:numPr>
        <w:spacing w:after="120"/>
        <w:jc w:val="both"/>
        <w:rPr>
          <w:rFonts w:cs="Times New Roman"/>
        </w:rPr>
      </w:pPr>
      <w:r w:rsidRPr="00BA5347">
        <w:rPr>
          <w:rFonts w:cs="Times New Roman"/>
        </w:rPr>
        <w:t>tā Koncernu likuma izpratnē atrodas valsts, atvasinātas publiskas personas vai arī tādas juridiskās personas, kas atbilst “a” apakšpunktā minētajiem kritērijiem, tiešā vai netiešā izšķirošā ietekmē;</w:t>
      </w:r>
    </w:p>
    <w:p w14:paraId="18CE6A6A" w14:textId="77777777" w:rsidR="00BA5347" w:rsidRPr="00BA5347" w:rsidRDefault="00BA5347" w:rsidP="00BA5347">
      <w:pPr>
        <w:numPr>
          <w:ilvl w:val="0"/>
          <w:numId w:val="4"/>
        </w:numPr>
        <w:spacing w:after="120"/>
        <w:jc w:val="both"/>
        <w:rPr>
          <w:rFonts w:cs="Times New Roman"/>
        </w:rPr>
      </w:pPr>
      <w:r w:rsidRPr="00BA5347">
        <w:rPr>
          <w:rFonts w:cs="Times New Roman"/>
        </w:rPr>
        <w:t>tās darbību vairāk par 50% finansē valsts, atvasināta publiska persona vai arī tāda juridiskā persona, kas atbilst šajā punktā minētajiem kritērijiem.</w:t>
      </w:r>
    </w:p>
    <w:p w14:paraId="41D5112A" w14:textId="77777777" w:rsidR="00BA5347" w:rsidRPr="00BA5347" w:rsidRDefault="00BA5347" w:rsidP="00BA5347">
      <w:pPr>
        <w:spacing w:after="120"/>
        <w:ind w:firstLine="720"/>
        <w:jc w:val="both"/>
        <w:rPr>
          <w:rFonts w:cs="Times New Roman"/>
        </w:rPr>
      </w:pPr>
      <w:r w:rsidRPr="00BA5347">
        <w:rPr>
          <w:rFonts w:cs="Times New Roman"/>
        </w:rPr>
        <w:t>Publiskā partnera vārdā nepieciešamās darbības PPP projektā var veikt publiskā partnera pārstāvis. Kā publiskā partnera pārstāvis var būt:</w:t>
      </w:r>
    </w:p>
    <w:p w14:paraId="26005BFD" w14:textId="77777777" w:rsidR="00BA5347" w:rsidRPr="00BA5347" w:rsidRDefault="00BA5347" w:rsidP="00BA5347">
      <w:pPr>
        <w:numPr>
          <w:ilvl w:val="0"/>
          <w:numId w:val="3"/>
        </w:numPr>
        <w:spacing w:after="120"/>
        <w:jc w:val="both"/>
        <w:rPr>
          <w:rFonts w:cs="Times New Roman"/>
        </w:rPr>
      </w:pPr>
      <w:r w:rsidRPr="00BA5347">
        <w:rPr>
          <w:rFonts w:cs="Times New Roman"/>
        </w:rPr>
        <w:t>tiešā pārvaldes iestāde, publiskas personas orgāns vai privātpersona, kurai Valsts pārvaldes iekārtas likumā noteiktajā kārtībā ir deleģēts attiecīgais valsts pārvaldes uzdevums un kura ir noteikta MK lēmumā par PPP procedūras uzsākšanu, ja publiskais partneris ir valsts kā sākotnējā publisko tiesību juridiskā persona;</w:t>
      </w:r>
    </w:p>
    <w:p w14:paraId="76D5C9AE" w14:textId="77777777" w:rsidR="00BA5347" w:rsidRPr="00BA5347" w:rsidRDefault="00BA5347" w:rsidP="00BA5347">
      <w:pPr>
        <w:numPr>
          <w:ilvl w:val="0"/>
          <w:numId w:val="3"/>
        </w:numPr>
        <w:spacing w:after="120"/>
        <w:jc w:val="both"/>
        <w:rPr>
          <w:rFonts w:cs="Times New Roman"/>
        </w:rPr>
      </w:pPr>
      <w:r w:rsidRPr="00BA5347">
        <w:rPr>
          <w:rFonts w:cs="Times New Roman"/>
        </w:rPr>
        <w:t>pastarpinātā pārvaldes iestāde, publiskas personas orgāns vai privātpersona, kurai Valsts pārvaldes iekārtas likumā noteiktajā kārtībā ir deleģēts attiecīgais valsts pārvaldes uzdevums un kura ir noteikta atvasinātas publiskas personas lēmumā PPP procedūras uzsākšanu, ja publiskais partneris ir atvasināta publiska persona;</w:t>
      </w:r>
    </w:p>
    <w:p w14:paraId="02A71113" w14:textId="77777777" w:rsidR="00BA5347" w:rsidRPr="00BA5347" w:rsidRDefault="00BA5347" w:rsidP="00BA5347">
      <w:pPr>
        <w:numPr>
          <w:ilvl w:val="0"/>
          <w:numId w:val="3"/>
        </w:numPr>
        <w:spacing w:after="120"/>
        <w:jc w:val="both"/>
        <w:rPr>
          <w:rFonts w:cs="Times New Roman"/>
        </w:rPr>
      </w:pPr>
      <w:r w:rsidRPr="00BA5347">
        <w:rPr>
          <w:rFonts w:cs="Times New Roman"/>
        </w:rPr>
        <w:t>kapitālsabiedrības valde, ja publiskais partneris ir valsts vai pašvaldību kapitālsabiedrība;</w:t>
      </w:r>
    </w:p>
    <w:p w14:paraId="5E46B8ED" w14:textId="77777777" w:rsidR="00BA5347" w:rsidRPr="00BA5347" w:rsidRDefault="00BA5347" w:rsidP="00BA5347">
      <w:pPr>
        <w:numPr>
          <w:ilvl w:val="0"/>
          <w:numId w:val="3"/>
        </w:numPr>
        <w:spacing w:after="120"/>
        <w:jc w:val="both"/>
        <w:rPr>
          <w:rFonts w:cs="Times New Roman"/>
        </w:rPr>
      </w:pPr>
      <w:r w:rsidRPr="00BA5347">
        <w:rPr>
          <w:rFonts w:cs="Times New Roman"/>
        </w:rPr>
        <w:t>privāto tiesību juridiskās personas institūcija, kura saskaņā ar tās darbību reglamentējošiem tiesību aktiem ir tiesīga pārstāvēt šo juridisko personu, ja publiskais partneris ir cita privāto tiesību juridiskā persona, kas nav valsts vai pašvaldības kapitālsabiedrība.</w:t>
      </w:r>
    </w:p>
    <w:p w14:paraId="5A3150B0" w14:textId="77777777" w:rsidR="00BA5347" w:rsidRPr="00BA5347" w:rsidRDefault="00BA5347" w:rsidP="00BA5347">
      <w:pPr>
        <w:spacing w:after="120"/>
        <w:ind w:firstLine="720"/>
        <w:jc w:val="both"/>
        <w:rPr>
          <w:rFonts w:cs="Times New Roman"/>
        </w:rPr>
      </w:pPr>
      <w:r w:rsidRPr="00BA5347">
        <w:rPr>
          <w:rFonts w:cs="Times New Roman"/>
          <w:b/>
        </w:rPr>
        <w:t>Privātais partneris</w:t>
      </w:r>
      <w:r w:rsidRPr="00BA5347">
        <w:rPr>
          <w:rFonts w:cs="Times New Roman"/>
        </w:rPr>
        <w:t xml:space="preserve"> ir pretendents vai tā izveidota mērķsabiedrība (līgumiskās partnerības gadījumā) vai kopsabiedrība (institucionālās partnerības gadījumā), ar kuru publiskais partneris ir noslēdzis PPP līgumu. Līdz ar to par privāto partneri var būt jebkura persona vai personu apvienība, kas piedalās PPP procedūrā (Publiskās un privātās partnerības likumā šajā gadījumā ir nošķirts termins „pretendents”) un iegūst tiesības slēgt PPP līgumu.</w:t>
      </w:r>
    </w:p>
    <w:p w14:paraId="30F152B2" w14:textId="77777777" w:rsidR="00BA5347" w:rsidRPr="00BA5347" w:rsidRDefault="00BA5347" w:rsidP="00BA5347">
      <w:pPr>
        <w:spacing w:after="120"/>
        <w:ind w:firstLine="720"/>
        <w:jc w:val="both"/>
        <w:rPr>
          <w:rFonts w:cs="Times New Roman"/>
        </w:rPr>
      </w:pPr>
      <w:r w:rsidRPr="00BA5347">
        <w:rPr>
          <w:rFonts w:cs="Times New Roman"/>
        </w:rPr>
        <w:t>Ja tas ir nepieciešams un, ja publiskais partneris ir paredzējis PPP procedūras dokumentos, Publiskās un privātās partnerības likumā noteiktajos gadījumos, privātais partneris piedaloties PPP procedūrā un uzvarot, nodibina komercsabiedrību, lai pēc tam publiskais partneris ar to slēgtu PPP līgumu. Šādā gadījumā privātais partneris Publiskās un privātās partnerības likuma izpratnē būs tieši nodibinātā komercsabiedrība jeb kā PPP likumā nošķirts termins - „mērķsabiedrība”.</w:t>
      </w:r>
    </w:p>
    <w:p w14:paraId="34FE3993" w14:textId="77777777" w:rsidR="00BA5347" w:rsidRPr="00BA5347" w:rsidRDefault="00BA5347" w:rsidP="00BA5347">
      <w:pPr>
        <w:spacing w:after="120"/>
        <w:ind w:firstLine="720"/>
        <w:jc w:val="both"/>
        <w:rPr>
          <w:rFonts w:cs="Times New Roman"/>
        </w:rPr>
      </w:pPr>
      <w:r w:rsidRPr="00BA5347">
        <w:rPr>
          <w:rFonts w:cs="Times New Roman"/>
        </w:rPr>
        <w:t>Institucionālās partnerības gadījumā publiskais partneris ar PPP procedūras rezultātā noteikto pretendentu (privātais dalībnieks) izveido kapitālsabiedrību ar ko pēc tam kā ar privāto partneri slēdz PPP līgumu. Šāda kapitālsabiedrība Publiskās un privātās partnerības likumā definēta kā “kopsabiedrība”.</w:t>
      </w:r>
    </w:p>
    <w:p w14:paraId="17F39E1D" w14:textId="77777777" w:rsidR="00BA5347" w:rsidRPr="00BA5347" w:rsidRDefault="00BA5347" w:rsidP="00BA5347">
      <w:pPr>
        <w:spacing w:after="120"/>
        <w:ind w:firstLine="720"/>
        <w:jc w:val="both"/>
        <w:rPr>
          <w:rFonts w:cs="Times New Roman"/>
        </w:rPr>
      </w:pPr>
      <w:r w:rsidRPr="00BA5347">
        <w:rPr>
          <w:rFonts w:cs="Times New Roman"/>
          <w:b/>
        </w:rPr>
        <w:lastRenderedPageBreak/>
        <w:t>Finansētājs</w:t>
      </w:r>
      <w:r w:rsidRPr="00BA5347">
        <w:rPr>
          <w:rFonts w:cs="Times New Roman"/>
        </w:rPr>
        <w:t xml:space="preserve"> ir ekonomiska vienība, kas nodrošina visu vai daļu finansējuma, kas nepieciešams Partnerības līguma finansēšanai. Šāda ekonomiskā vienība var būt, piemēram, institucionāla kredītiestāde, jebkura cita kredītiestāde, jebkura veida fonds u.c.</w:t>
      </w:r>
    </w:p>
    <w:p w14:paraId="78056C9D" w14:textId="77777777" w:rsidR="00BA5347" w:rsidRPr="00BA5347" w:rsidRDefault="00BA5347" w:rsidP="00BA5347">
      <w:pPr>
        <w:spacing w:after="120"/>
        <w:ind w:firstLine="720"/>
        <w:jc w:val="both"/>
        <w:rPr>
          <w:rFonts w:cs="Times New Roman"/>
        </w:rPr>
      </w:pPr>
      <w:r w:rsidRPr="00BA5347">
        <w:rPr>
          <w:rFonts w:cs="Times New Roman"/>
        </w:rPr>
        <w:t>Parasti PPP projektos privātais partneris ir tas, kurš uzņemas finansējuma nodrošināšanu no pašu vai aizņemtā kapitāla. Aizņemtā kapitāla finansētāji visbiežāk ir kredītiestādes – gan vietēja mēroga, gan starptautiska mēroga, piemēram, Eiropas Investīciju banka, Eiropas Attīstības un rekonstrukcijas banka un Ziemeļu investīciju banka, kas ir plaši pazīstamas ar savu finansējumu attīstības projektos. Gadījumos, kad lielāko daļu PPP projekta finansē no aizņemtā kapitāla, aizdevējs var vēlēties, lai tiktu sniegts kredīta nodrošinājums. Finansējums var tikt piesaistīts arī no dažādiem finanšu instrumentiem un fondiem, piemēram, ES struktūrfondiem un Kohēzijas fonda.</w:t>
      </w:r>
    </w:p>
    <w:p w14:paraId="0324B814" w14:textId="77777777" w:rsidR="00BA5347" w:rsidRPr="00BA5347" w:rsidRDefault="00BA5347" w:rsidP="00BA5347">
      <w:pPr>
        <w:spacing w:after="120"/>
        <w:ind w:firstLine="720"/>
        <w:jc w:val="both"/>
        <w:rPr>
          <w:rFonts w:cs="Times New Roman"/>
        </w:rPr>
      </w:pPr>
      <w:r w:rsidRPr="00BA5347">
        <w:rPr>
          <w:rFonts w:cs="Times New Roman"/>
          <w:b/>
        </w:rPr>
        <w:t>Gala lietotājs</w:t>
      </w:r>
      <w:r w:rsidRPr="00BA5347">
        <w:rPr>
          <w:rFonts w:cs="Times New Roman"/>
        </w:rPr>
        <w:t>, savukārt, ir persona, izņemot publisko partneri un privāto partneri, kas līguma noslēgšanas gadījumā lieto būvi vai izmanto pakalpojumu, kuru ekspluatē vai nodrošina privātais partneris.</w:t>
      </w:r>
    </w:p>
    <w:p w14:paraId="32B68041" w14:textId="77777777" w:rsidR="00BA5347" w:rsidRPr="00BA5347" w:rsidRDefault="00BA5347" w:rsidP="00BA5347">
      <w:pPr>
        <w:spacing w:after="120"/>
        <w:ind w:firstLine="720"/>
        <w:jc w:val="both"/>
        <w:rPr>
          <w:rFonts w:cs="Times New Roman"/>
        </w:rPr>
      </w:pPr>
      <w:r w:rsidRPr="00BA5347">
        <w:rPr>
          <w:rFonts w:cs="Times New Roman"/>
        </w:rPr>
        <w:t>Publiskās un privātās partnerības likuma izpratnē gala lietotāju termins tiek izmantots koncesijas līgumu ietvaros, kur privātā partnera ienākumi ir atkarīgi no gala lietotāja pieprasījuma pēc attiecīgā pakalpojuma vai infrastruktūras. Piemēram, par gala lietotājiem ir uzskatāmi gan iedzīvotāji, gan arī juridiskās personas, kuras izmanto pašvaldības nodrošinātos pakalpojumus vai infrastruktūru koncesijas līguma ietvaros, maksājot par attiecīgā pakalpojuma vai infrastruktūras izmantošanu noteiktu samaksu privātajam partnerim, vai kuru pieprasījums pēc attiecīgā pakalpojuma vai infrastruktūras tieši ietekmē publiskā partnera atlīdzību privātajam partnerim, vai abi samaksas veidi kopā. Līdz ar to ir nosacīti saskatāmas koncesijas raksturojošās trīsstūrveida attiecības starp publisko partneri, privāto partneri un galalietotāju.</w:t>
      </w:r>
      <w:bookmarkStart w:id="182" w:name="_Toc36811920"/>
    </w:p>
    <w:p w14:paraId="1E62FECE" w14:textId="77777777" w:rsidR="00BA5347" w:rsidRPr="00BA5347" w:rsidRDefault="00BA5347" w:rsidP="00BA5347">
      <w:pPr>
        <w:spacing w:before="320" w:after="120" w:line="254" w:lineRule="auto"/>
        <w:rPr>
          <w:rFonts w:cs="Times New Roman"/>
          <w:b/>
        </w:rPr>
      </w:pPr>
      <w:r w:rsidRPr="00BA5347">
        <w:rPr>
          <w:rFonts w:cs="Times New Roman"/>
          <w:b/>
        </w:rPr>
        <w:t>PPP īstenošanas veidi</w:t>
      </w:r>
      <w:bookmarkEnd w:id="182"/>
    </w:p>
    <w:p w14:paraId="72811261" w14:textId="40EC33AA" w:rsidR="00BA5347" w:rsidRPr="00647C1A" w:rsidRDefault="00BA5347" w:rsidP="00647C1A">
      <w:pPr>
        <w:spacing w:before="120" w:after="120" w:line="240" w:lineRule="auto"/>
        <w:jc w:val="both"/>
        <w:rPr>
          <w:rFonts w:cs="Times New Roman"/>
          <w:iCs/>
          <w:szCs w:val="18"/>
        </w:rPr>
      </w:pPr>
      <w:r w:rsidRPr="00BA5347">
        <w:rPr>
          <w:rFonts w:cs="Times New Roman"/>
          <w:iCs/>
          <w:szCs w:val="18"/>
        </w:rPr>
        <w:tab/>
        <w:t>Lai spētu efektīvi orientēties PPP darbībā, ir jāapskata visi iespējamie to īstenošanas veidi. Zemāk (</w:t>
      </w:r>
      <w:r w:rsidR="00647C1A">
        <w:rPr>
          <w:rFonts w:cs="Times New Roman"/>
          <w:iCs/>
          <w:szCs w:val="18"/>
        </w:rPr>
        <w:fldChar w:fldCharType="begin"/>
      </w:r>
      <w:r w:rsidR="00647C1A">
        <w:rPr>
          <w:rFonts w:cs="Times New Roman"/>
          <w:iCs/>
          <w:szCs w:val="18"/>
        </w:rPr>
        <w:instrText xml:space="preserve"> REF _Ref48202195 \h </w:instrText>
      </w:r>
      <w:r w:rsidR="00647C1A">
        <w:rPr>
          <w:rFonts w:cs="Times New Roman"/>
          <w:iCs/>
          <w:szCs w:val="18"/>
        </w:rPr>
      </w:r>
      <w:r w:rsidR="00647C1A">
        <w:rPr>
          <w:rFonts w:cs="Times New Roman"/>
          <w:iCs/>
          <w:szCs w:val="18"/>
        </w:rPr>
        <w:fldChar w:fldCharType="separate"/>
      </w:r>
      <w:r w:rsidR="00D96F20" w:rsidRPr="00BA5347">
        <w:rPr>
          <w:iCs/>
          <w:szCs w:val="18"/>
        </w:rPr>
        <w:t xml:space="preserve">Attēls Nr. </w:t>
      </w:r>
      <w:r w:rsidR="00D96F20">
        <w:rPr>
          <w:iCs/>
          <w:noProof/>
          <w:szCs w:val="18"/>
        </w:rPr>
        <w:t>73</w:t>
      </w:r>
      <w:r w:rsidR="00647C1A">
        <w:rPr>
          <w:rFonts w:cs="Times New Roman"/>
          <w:iCs/>
          <w:szCs w:val="18"/>
        </w:rPr>
        <w:fldChar w:fldCharType="end"/>
      </w:r>
      <w:r w:rsidRPr="00BA5347">
        <w:rPr>
          <w:rFonts w:cs="Times New Roman"/>
          <w:iCs/>
          <w:szCs w:val="18"/>
        </w:rPr>
        <w:t>) tiek shematiski ilustrēti potenciālie risinājumi.</w:t>
      </w:r>
      <w:bookmarkStart w:id="183" w:name="_Ref45619320"/>
      <w:bookmarkStart w:id="184" w:name="_Ref46411305"/>
      <w:bookmarkStart w:id="185" w:name="_Ref47088668"/>
      <w:bookmarkStart w:id="186" w:name="_Ref47961386"/>
    </w:p>
    <w:p w14:paraId="6872FD38" w14:textId="5B9981D7" w:rsidR="00BA5347" w:rsidRPr="00BA5347" w:rsidRDefault="00BA5347" w:rsidP="00BA5347">
      <w:pPr>
        <w:spacing w:before="120" w:after="120" w:line="240" w:lineRule="auto"/>
        <w:jc w:val="right"/>
        <w:rPr>
          <w:rFonts w:cs="Times New Roman"/>
          <w:iCs/>
          <w:noProof/>
          <w:szCs w:val="20"/>
          <w:lang w:eastAsia="lv-LV"/>
        </w:rPr>
      </w:pPr>
      <w:bookmarkStart w:id="187" w:name="_Ref48202195"/>
      <w:r w:rsidRPr="00BA5347">
        <w:rPr>
          <w:iCs/>
          <w:szCs w:val="18"/>
        </w:rPr>
        <w:t xml:space="preserve">Attēls Nr. </w:t>
      </w:r>
      <w:r w:rsidRPr="00BA5347">
        <w:rPr>
          <w:iCs/>
          <w:szCs w:val="18"/>
        </w:rPr>
        <w:fldChar w:fldCharType="begin"/>
      </w:r>
      <w:r w:rsidRPr="00BA5347">
        <w:rPr>
          <w:iCs/>
          <w:szCs w:val="18"/>
        </w:rPr>
        <w:instrText xml:space="preserve"> SEQ Attēls_Nr. \* ARABIC </w:instrText>
      </w:r>
      <w:r w:rsidRPr="00BA5347">
        <w:rPr>
          <w:iCs/>
          <w:szCs w:val="18"/>
        </w:rPr>
        <w:fldChar w:fldCharType="separate"/>
      </w:r>
      <w:r w:rsidR="00D96F20">
        <w:rPr>
          <w:iCs/>
          <w:noProof/>
          <w:szCs w:val="18"/>
        </w:rPr>
        <w:t>73</w:t>
      </w:r>
      <w:r w:rsidRPr="00BA5347">
        <w:rPr>
          <w:iCs/>
          <w:noProof/>
          <w:szCs w:val="18"/>
        </w:rPr>
        <w:fldChar w:fldCharType="end"/>
      </w:r>
      <w:bookmarkEnd w:id="183"/>
      <w:bookmarkEnd w:id="184"/>
      <w:bookmarkEnd w:id="185"/>
      <w:bookmarkEnd w:id="186"/>
      <w:bookmarkEnd w:id="187"/>
    </w:p>
    <w:p w14:paraId="1E693A97" w14:textId="77777777" w:rsidR="00BA5347" w:rsidRPr="00BA5347" w:rsidRDefault="00BA5347" w:rsidP="00BA5347">
      <w:pPr>
        <w:spacing w:after="120" w:line="254" w:lineRule="auto"/>
        <w:ind w:firstLine="720"/>
        <w:jc w:val="center"/>
        <w:rPr>
          <w:rFonts w:cs="Times New Roman"/>
          <w:noProof/>
          <w:lang w:eastAsia="lv-LV"/>
        </w:rPr>
      </w:pPr>
      <w:r w:rsidRPr="00BA5347">
        <w:rPr>
          <w:rFonts w:cs="Times New Roman"/>
          <w:b/>
          <w:noProof/>
          <w:szCs w:val="20"/>
          <w:lang w:eastAsia="lv-LV"/>
        </w:rPr>
        <w:t>PPP īstenošanas veidi</w:t>
      </w:r>
    </w:p>
    <w:p w14:paraId="45F98640" w14:textId="77777777" w:rsidR="00BA5347" w:rsidRPr="00BA5347" w:rsidRDefault="00BA5347" w:rsidP="00BA5347">
      <w:pPr>
        <w:spacing w:after="120" w:line="254" w:lineRule="auto"/>
        <w:jc w:val="both"/>
        <w:rPr>
          <w:rFonts w:cs="Times New Roman"/>
        </w:rPr>
      </w:pPr>
      <w:r w:rsidRPr="00BA5347">
        <w:rPr>
          <w:rFonts w:cs="Times New Roman"/>
          <w:noProof/>
          <w:lang w:eastAsia="lv-LV"/>
        </w:rPr>
        <w:drawing>
          <wp:inline distT="0" distB="0" distL="0" distR="0" wp14:anchorId="54B28D63" wp14:editId="60E6E162">
            <wp:extent cx="5760213" cy="2194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7">
                      <a:extLst>
                        <a:ext uri="{28A0092B-C50C-407E-A947-70E740481C1C}">
                          <a14:useLocalDpi xmlns:a14="http://schemas.microsoft.com/office/drawing/2010/main" val="0"/>
                        </a:ext>
                      </a:extLst>
                    </a:blip>
                    <a:srcRect t="13947" b="14751"/>
                    <a:stretch/>
                  </pic:blipFill>
                  <pic:spPr bwMode="auto">
                    <a:xfrm>
                      <a:off x="0" y="0"/>
                      <a:ext cx="5761355" cy="2194995"/>
                    </a:xfrm>
                    <a:prstGeom prst="rect">
                      <a:avLst/>
                    </a:prstGeom>
                    <a:noFill/>
                    <a:ln>
                      <a:noFill/>
                    </a:ln>
                    <a:extLst>
                      <a:ext uri="{53640926-AAD7-44D8-BBD7-CCE9431645EC}">
                        <a14:shadowObscured xmlns:a14="http://schemas.microsoft.com/office/drawing/2010/main"/>
                      </a:ext>
                    </a:extLst>
                  </pic:spPr>
                </pic:pic>
              </a:graphicData>
            </a:graphic>
          </wp:inline>
        </w:drawing>
      </w:r>
    </w:p>
    <w:p w14:paraId="10A02576" w14:textId="77777777" w:rsidR="00BA5347" w:rsidRPr="00BA5347" w:rsidRDefault="00BA5347" w:rsidP="00BA5347">
      <w:pPr>
        <w:spacing w:after="120" w:line="254" w:lineRule="auto"/>
        <w:ind w:firstLine="720"/>
        <w:jc w:val="both"/>
        <w:rPr>
          <w:rFonts w:cs="Times New Roman"/>
        </w:rPr>
      </w:pPr>
      <w:r w:rsidRPr="00BA5347">
        <w:rPr>
          <w:rFonts w:cs="Times New Roman"/>
        </w:rPr>
        <w:lastRenderedPageBreak/>
        <w:t>Ar līgumisko PPP tiek definēts sadarbības līgums starp publisko un privāto partneri, kas paredz būvdarbu veikšanu un ar to saistītos apsaimniekošanas pasākumus vai pakalpojumu sniegšanu. Sīkāk šie PPP iedalās Partnerības un Koncesijas līgumos.</w:t>
      </w:r>
    </w:p>
    <w:p w14:paraId="6AC9DC08" w14:textId="77777777" w:rsidR="00BA5347" w:rsidRPr="00BA5347" w:rsidRDefault="00BA5347" w:rsidP="00BA5347">
      <w:pPr>
        <w:spacing w:after="120" w:line="254" w:lineRule="auto"/>
        <w:ind w:firstLine="720"/>
        <w:jc w:val="both"/>
        <w:rPr>
          <w:rFonts w:cs="Times New Roman"/>
        </w:rPr>
      </w:pPr>
      <w:r w:rsidRPr="00BA5347">
        <w:rPr>
          <w:rFonts w:cs="Times New Roman"/>
          <w:b/>
        </w:rPr>
        <w:t>Partnerības līgums</w:t>
      </w:r>
      <w:r w:rsidRPr="00BA5347">
        <w:rPr>
          <w:rFonts w:cs="Times New Roman"/>
        </w:rPr>
        <w:t xml:space="preserve"> paredz:</w:t>
      </w:r>
    </w:p>
    <w:p w14:paraId="5D0B19A3"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publisko būvdarbu gadījumā: publisko būvdarbu veikšanu ar sekojošu privātā partnera pienākumu veikt arī uzceltās būves apsaimniekošanu;</w:t>
      </w:r>
    </w:p>
    <w:p w14:paraId="0DE37070"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publisko pakalpojumu gadījumā: publisko pakalpojumu sniegšanu un saistītu būvdarbu, kas ir šā līguma priekšmeta nebūtiska daļa, veikšanu.</w:t>
      </w:r>
    </w:p>
    <w:p w14:paraId="695D3394" w14:textId="77777777" w:rsidR="00BA5347" w:rsidRPr="00BA5347" w:rsidRDefault="00BA5347" w:rsidP="00BA5347">
      <w:pPr>
        <w:spacing w:after="120" w:line="254" w:lineRule="auto"/>
        <w:ind w:firstLine="720"/>
        <w:jc w:val="both"/>
        <w:rPr>
          <w:rFonts w:cs="Times New Roman"/>
        </w:rPr>
      </w:pPr>
      <w:r w:rsidRPr="00BA5347">
        <w:rPr>
          <w:rFonts w:cs="Times New Roman"/>
        </w:rPr>
        <w:t>Publiskais partneris veic regulārus maksājumus balstoties uz pakalpojuma sniegšanas kvantitāti vai būves pieejamību.</w:t>
      </w:r>
    </w:p>
    <w:p w14:paraId="3790AC21" w14:textId="77777777" w:rsidR="00BA5347" w:rsidRPr="00BA5347" w:rsidRDefault="00BA5347" w:rsidP="00BA5347">
      <w:pPr>
        <w:spacing w:after="120" w:line="254" w:lineRule="auto"/>
        <w:jc w:val="both"/>
        <w:rPr>
          <w:rFonts w:cs="Times New Roman"/>
        </w:rPr>
      </w:pPr>
      <w:r w:rsidRPr="00BA5347">
        <w:rPr>
          <w:rFonts w:cs="Times New Roman"/>
        </w:rPr>
        <w:tab/>
      </w:r>
      <w:r w:rsidRPr="00BA5347">
        <w:rPr>
          <w:rFonts w:cs="Times New Roman"/>
          <w:b/>
        </w:rPr>
        <w:t>Koncesijas līgums</w:t>
      </w:r>
      <w:r w:rsidRPr="00BA5347">
        <w:rPr>
          <w:rFonts w:cs="Times New Roman"/>
        </w:rPr>
        <w:t xml:space="preserve"> paredz:</w:t>
      </w:r>
    </w:p>
    <w:p w14:paraId="44282F07"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būvdarbu koncesijas gadījumā: būves projektēšanas un saistīto PIL 1.pielikumā minēto būvdarbu vai tikai PIL 1.pielikumā minēto būvdarbu veikšanu;</w:t>
      </w:r>
    </w:p>
    <w:p w14:paraId="54A0EC7E"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pakalpojumu koncesijas gadījumā: PIL 2.pielikumā minēto pakalpojumu sniegšanu. Ja pakalpojumu koncesijas līgumā ir iekļauta arī PIL 1.pielikumā minēto būvdarbu veikšana, kas ir šā līguma priekšmeta nebūtiskākā daļa, šāds līgums tiek uzskatīts par publisko pakalpojumu līgumu.</w:t>
      </w:r>
    </w:p>
    <w:p w14:paraId="3C9D8C85" w14:textId="77777777" w:rsidR="00BA5347" w:rsidRPr="00BA5347" w:rsidRDefault="00BA5347" w:rsidP="00BA5347">
      <w:pPr>
        <w:spacing w:after="120" w:line="254" w:lineRule="auto"/>
        <w:ind w:firstLine="720"/>
        <w:jc w:val="both"/>
        <w:rPr>
          <w:rFonts w:cs="Times New Roman"/>
        </w:rPr>
      </w:pPr>
      <w:r w:rsidRPr="00BA5347">
        <w:rPr>
          <w:rFonts w:cs="Times New Roman"/>
        </w:rPr>
        <w:t>Svarīgi, ka, slēdzot koncesijas līgumu, privātais partneris kā atlīdzību vai atlīdzības būtiskāko daļu iegūst tiesības ekspluatēt būvi vai pakalpojumus, tās ir tiesības saņemt samaksu no būves vai pakalpojuma gala lietotājiem vai tiesības saņemt no publiskā partnera atlīdzību, kuras apmērs ir atkarīgs no gala lietotāju pieprasījuma pēc būves vai pakalpojuma, vai arī saņemt gan samaksu no būves vai pakalpojuma gala lietotājiem, gan arī minēto atlīdzību no publiskā partnera, kā arī tam tiek nodoti ar būvi vai pakalpojumu sniegšanu saistītie ekspluatācijas riski vai šo risku būtiskākā daļa - ekonomiskie riski, kad privātā partnera ienākumi ir atkarīgi no būves vai pakalpojuma gala lietotāja pieprasījuma pēc šīs būves vai pakalpojuma (pieprasījuma risks) vai no tā, vai šī būve vai pakalpojums tiek piedāvāts gala lietotājam atbilstoši tām prasībām, kas noteiktas noslēgtajā koncesijas līgumā (pieejamības risks), vai arī gan no pieprasījuma riska, gan no pieejamības riska.</w:t>
      </w:r>
    </w:p>
    <w:p w14:paraId="03248FA1" w14:textId="77777777" w:rsidR="00BA5347" w:rsidRPr="00BA5347" w:rsidRDefault="00BA5347" w:rsidP="00BA5347">
      <w:pPr>
        <w:spacing w:after="120" w:line="254" w:lineRule="auto"/>
        <w:ind w:firstLine="720"/>
        <w:jc w:val="both"/>
        <w:rPr>
          <w:rFonts w:cs="Times New Roman"/>
        </w:rPr>
      </w:pPr>
      <w:r w:rsidRPr="00BA5347">
        <w:rPr>
          <w:rFonts w:cs="Times New Roman"/>
          <w:b/>
        </w:rPr>
        <w:t>Institucionālās PPP</w:t>
      </w:r>
      <w:r w:rsidRPr="00BA5347">
        <w:rPr>
          <w:rFonts w:cs="Times New Roman"/>
        </w:rPr>
        <w:t xml:space="preserve"> galvenā atšķirība no līgumiskās PPP ir tāda, ka institucionālajā partnerībā publiskais partneris ar privāto partneri apvienojas kopsabiedrībā (kapitālsabiedrībā), ar kuru kā ar privāto partneri tas pats publiskais partneris slēdz PPP līgumu.</w:t>
      </w:r>
    </w:p>
    <w:p w14:paraId="2CA6C7A4" w14:textId="77777777" w:rsidR="00BA5347" w:rsidRPr="00BA5347" w:rsidRDefault="00BA5347" w:rsidP="00BA5347">
      <w:pPr>
        <w:spacing w:after="120" w:line="254" w:lineRule="auto"/>
        <w:ind w:firstLine="720"/>
        <w:jc w:val="both"/>
        <w:rPr>
          <w:rFonts w:cs="Times New Roman"/>
        </w:rPr>
      </w:pPr>
      <w:r w:rsidRPr="00BA5347">
        <w:rPr>
          <w:rFonts w:cs="Times New Roman"/>
        </w:rPr>
        <w:t>Institucionālā PPP var tikt izvēlēta gadījumā, ja publiskais partneris vēlas veikt pastiprinātu PPP līguma izpildes kontroli un piedalīties veidotās kapitālsabiedrības pārvaldē, jo izveidotajai kopsabiedrībai ir raksturīga kopīga publiskā un privātā partnera vadība. Arī PPP riski, ienākumi un zaudējumi parasti tiek dalīti proporcionāli publiskā un privātā partnera piederošajām kapitāla daļām kopsabiedrībā.</w:t>
      </w:r>
    </w:p>
    <w:p w14:paraId="1545A23E" w14:textId="77777777" w:rsidR="00BA5347" w:rsidRPr="00BA5347" w:rsidRDefault="00BA5347" w:rsidP="00BA5347">
      <w:pPr>
        <w:spacing w:after="120" w:line="254" w:lineRule="auto"/>
        <w:ind w:firstLine="720"/>
        <w:jc w:val="both"/>
        <w:rPr>
          <w:rFonts w:cs="Times New Roman"/>
        </w:rPr>
      </w:pPr>
      <w:r w:rsidRPr="00BA5347">
        <w:rPr>
          <w:rFonts w:cs="Times New Roman"/>
        </w:rPr>
        <w:t>Priekšrocības šāda risinājuma izvēlei slēpjas tajā, ka šī kopsabiedrība darbojas kā atsevišķa juridiska persona un nav atkarīga no tās dibinātajiem. Tā var veicināt privātā sektora labās prakses, vadības un darbības metožu, kā arī citu zināšanu pārņemšanu publiskajā sektorā. Vienlaikus publiskajam sektoram saglabājas iespēja nodrošināt tā veto tiesības un kontroli pār atsevišķu īpaši svarīgu jautājumu izlemšanu kopsabiedrībā.</w:t>
      </w:r>
    </w:p>
    <w:p w14:paraId="2B6DEFD4" w14:textId="77777777" w:rsidR="00BA5347" w:rsidRPr="00BA5347" w:rsidRDefault="00BA5347" w:rsidP="00BA5347">
      <w:pPr>
        <w:spacing w:after="120" w:line="254" w:lineRule="auto"/>
        <w:ind w:firstLine="720"/>
        <w:jc w:val="both"/>
        <w:rPr>
          <w:rFonts w:cs="Times New Roman"/>
        </w:rPr>
      </w:pPr>
      <w:r w:rsidRPr="00BA5347">
        <w:rPr>
          <w:rFonts w:cs="Times New Roman"/>
        </w:rPr>
        <w:t xml:space="preserve">Kā kopsabiedrības veidošanas riska faktors minams tas, ka var būt grūtības pieņemt lēmumus, jo abas puses pārstāv dažādas intereses – valsts vai pašvaldība ieinteresēta vispārīga </w:t>
      </w:r>
      <w:r w:rsidRPr="00BA5347">
        <w:rPr>
          <w:rFonts w:cs="Times New Roman"/>
        </w:rPr>
        <w:lastRenderedPageBreak/>
        <w:t>labuma iegūšanai, savukārt privātais partneris vairāk ir ieinteresēts lielākas peļņas gūšanā. Valstij un pašvaldībai pēc iespējas vairāk jānorobežojas no komercdarbības veikšanas, jo pretējā gadījumā tiek deformēts tirgus. Tā kā valsts vai pašvaldība kopsabiedrības gadījumā ir komercsabiedrības līdzīpašnieks, publiskajam partnerim pašam ir jāuzņemas līdzatbildība gadījumā, ja komercsabiedrības pakalpojumi nav pietiekamā kvalitātē. Līdz ar to šādas alternatīvas izvēle samazina projekta īstenošanas riskus privātajam partnerim, bet palielina publiskā partnera riskus. Izbeidzoties PPP līgumam, tiek izbeigta arī kopsabiedrības darbība.</w:t>
      </w:r>
    </w:p>
    <w:p w14:paraId="3396608C" w14:textId="77777777" w:rsidR="00BA5347" w:rsidRPr="00BA5347" w:rsidRDefault="00BA5347" w:rsidP="00BA5347">
      <w:pPr>
        <w:spacing w:before="320" w:after="120" w:line="254" w:lineRule="auto"/>
        <w:rPr>
          <w:rFonts w:cs="Times New Roman"/>
          <w:b/>
        </w:rPr>
      </w:pPr>
      <w:bookmarkStart w:id="188" w:name="_Toc36811921"/>
      <w:r w:rsidRPr="00BA5347">
        <w:rPr>
          <w:rFonts w:cs="Times New Roman"/>
          <w:b/>
        </w:rPr>
        <w:t>Riski un to sadalījums</w:t>
      </w:r>
      <w:bookmarkEnd w:id="188"/>
    </w:p>
    <w:p w14:paraId="2B02AE1B" w14:textId="77777777" w:rsidR="00BA5347" w:rsidRPr="00BA5347" w:rsidRDefault="00BA5347" w:rsidP="00BA5347">
      <w:pPr>
        <w:spacing w:after="120" w:line="254" w:lineRule="auto"/>
        <w:jc w:val="both"/>
        <w:rPr>
          <w:rFonts w:cs="Times New Roman"/>
        </w:rPr>
      </w:pPr>
      <w:r w:rsidRPr="00BA5347">
        <w:rPr>
          <w:rFonts w:cs="Times New Roman"/>
        </w:rPr>
        <w:tab/>
        <w:t>Risku identificēšana un sadalījums ir neatņemama PPP plānošanas sastāvdaļa. Visa projekta ieguvums publiskajam partnerim ir atkarīgs no tā, kā tiek sadalīti projekta riski starp publisko un privāto partneri. Galvenie vērtējamie risku un atlīdzības elementi ir šādi:</w:t>
      </w:r>
    </w:p>
    <w:p w14:paraId="20DE1415"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b/>
        </w:rPr>
        <w:t>būvniecības risks</w:t>
      </w:r>
      <w:r w:rsidRPr="00BA5347">
        <w:rPr>
          <w:rFonts w:cs="Times New Roman"/>
        </w:rPr>
        <w:t>: saistīts ar projekta būvniecības darbu izpildi (piemēram, ar būvniecības izmaksu sadārdzināšanos, papildu izmaksu rašanos, novēlotu būvmateriālu piegādi, zaudējumiem vai bojājumiem, kas radušies būv­niecības darbu rezultātā, bet atklāti ekspluatācijas laikā, noteikto specifikāciju ievērošanu);</w:t>
      </w:r>
    </w:p>
    <w:p w14:paraId="02B52E0B"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b/>
        </w:rPr>
        <w:t>pieejamības risks</w:t>
      </w:r>
      <w:r w:rsidRPr="00BA5347">
        <w:rPr>
          <w:rFonts w:cs="Times New Roman"/>
        </w:rPr>
        <w:t>: saistīts ar projektā sniegto pakalpojumu izpildi (piemēram, pakalpojuma kvalitātes nodrošināšana atbilstoši specifikācijām plānotajā apjomā un termiņā, papildu uzturēšanas vai finansēšanas izmaksas);</w:t>
      </w:r>
    </w:p>
    <w:p w14:paraId="7BB40940"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b/>
        </w:rPr>
        <w:t>pieprasījuma risks</w:t>
      </w:r>
      <w:r w:rsidRPr="00BA5347">
        <w:rPr>
          <w:rFonts w:cs="Times New Roman"/>
        </w:rPr>
        <w:t>: saistīts ar projektā sniegto pakalpojumu pieprasījumu (piemēram, pakalpojuma gala lietotāju skaita samazināšanās vai palielināšanās, kas neizriet no pakalpojuma nepietiekamas vai zemas kvalitātes; citi apstākļi, kas ietekmē pakalpojuma kvantitāti vai kvalitāti).</w:t>
      </w:r>
    </w:p>
    <w:p w14:paraId="44D3D15E" w14:textId="77777777" w:rsidR="00BA5347" w:rsidRPr="00BA5347" w:rsidRDefault="00BA5347" w:rsidP="00BA5347">
      <w:pPr>
        <w:spacing w:after="120" w:line="254" w:lineRule="auto"/>
        <w:ind w:firstLine="720"/>
        <w:jc w:val="both"/>
        <w:rPr>
          <w:rFonts w:cs="Times New Roman"/>
        </w:rPr>
      </w:pPr>
      <w:r w:rsidRPr="00BA5347">
        <w:rPr>
          <w:rFonts w:cs="Times New Roman"/>
        </w:rPr>
        <w:t xml:space="preserve">Papildu minētajiem riskiem tiek vērtēti arī pārējie PPP līguma noteikumi un nosacījumi, kas attiecas uz publiskā partnera saistībām, piemēram, publiskā partnera </w:t>
      </w:r>
      <w:r w:rsidRPr="00BA5347">
        <w:rPr>
          <w:rFonts w:cs="Times New Roman"/>
          <w:b/>
        </w:rPr>
        <w:t>finansējuma apmērs</w:t>
      </w:r>
      <w:r w:rsidRPr="00BA5347">
        <w:rPr>
          <w:rFonts w:cs="Times New Roman"/>
        </w:rPr>
        <w:t xml:space="preserve">, </w:t>
      </w:r>
      <w:r w:rsidRPr="00BA5347">
        <w:rPr>
          <w:rFonts w:cs="Times New Roman"/>
          <w:b/>
        </w:rPr>
        <w:t>garantijas un līguma pirmstermiņa izbeigšanas gadījumi</w:t>
      </w:r>
      <w:r w:rsidRPr="00BA5347">
        <w:rPr>
          <w:rFonts w:cs="Times New Roman"/>
        </w:rPr>
        <w:t xml:space="preserve">, </w:t>
      </w:r>
      <w:r w:rsidRPr="00BA5347">
        <w:rPr>
          <w:rFonts w:cs="Times New Roman"/>
          <w:b/>
        </w:rPr>
        <w:t>aktīva atlikusī vērtība un morālā nolietojuma risks</w:t>
      </w:r>
      <w:r w:rsidRPr="00BA5347">
        <w:rPr>
          <w:rFonts w:cs="Times New Roman"/>
        </w:rPr>
        <w:t>, kas ietver risku, ka aktīvs līguma darbības beigās nebūs tik vērtīgs kā plānots, un pakāpe, līdz kurai publiskajam partnerim ir izvēles tiesības iegādāties aktīvus. Risku izvērtēšana un sadalījums tieši ietekmē, vai PPP līguma uzskaite atspoguļosies vispārējā valdības sektora aktīvu bilancē vai ārpus bilances.</w:t>
      </w:r>
    </w:p>
    <w:p w14:paraId="0D13C9F6" w14:textId="77777777" w:rsidR="00BA5347" w:rsidRPr="00BA5347" w:rsidRDefault="00BA5347" w:rsidP="00BA5347">
      <w:pPr>
        <w:spacing w:before="320" w:after="120" w:line="254" w:lineRule="auto"/>
        <w:rPr>
          <w:rFonts w:cs="Times New Roman"/>
          <w:b/>
        </w:rPr>
      </w:pPr>
      <w:bookmarkStart w:id="189" w:name="_Toc36811922"/>
      <w:r w:rsidRPr="00BA5347">
        <w:rPr>
          <w:rFonts w:cs="Times New Roman"/>
          <w:b/>
        </w:rPr>
        <w:t>Statistiskā uzskaite (iekļaušana bilancē)</w:t>
      </w:r>
      <w:bookmarkEnd w:id="189"/>
    </w:p>
    <w:p w14:paraId="4B37886E" w14:textId="77777777" w:rsidR="00BA5347" w:rsidRPr="00BA5347" w:rsidRDefault="00BA5347" w:rsidP="00BA5347">
      <w:pPr>
        <w:spacing w:after="120" w:line="254" w:lineRule="auto"/>
        <w:jc w:val="both"/>
        <w:rPr>
          <w:rFonts w:cs="Times New Roman"/>
        </w:rPr>
      </w:pPr>
      <w:r w:rsidRPr="00BA5347">
        <w:rPr>
          <w:rFonts w:cs="Times New Roman"/>
        </w:rPr>
        <w:tab/>
        <w:t>Šis PPP projektu īstenošanas aspekts, iespējams, ir noteicošais, kāpēc šis instruments var būt spēcīga alternatīva šī brīža valsts budžeta un ES finansējumu modeļiem. Proti, vai projekta izmaksas ir jāiekļauj valsts budžeta aktīvu bilancē, tādejādi ietekmējot budžeta deficītu.</w:t>
      </w:r>
    </w:p>
    <w:p w14:paraId="632B85B8" w14:textId="5D2D49FC" w:rsidR="00BA5347" w:rsidRPr="00BA5347" w:rsidRDefault="00BA5347" w:rsidP="00EE660D">
      <w:pPr>
        <w:spacing w:before="120" w:after="120" w:line="240" w:lineRule="auto"/>
        <w:jc w:val="both"/>
        <w:rPr>
          <w:rFonts w:cs="Times New Roman"/>
          <w:iCs/>
          <w:szCs w:val="18"/>
        </w:rPr>
      </w:pPr>
      <w:r w:rsidRPr="00BA5347">
        <w:rPr>
          <w:rFonts w:cs="Times New Roman"/>
          <w:iCs/>
          <w:szCs w:val="18"/>
        </w:rPr>
        <w:tab/>
        <w:t>PPP līguma uzskaite vispārējā valdības sektora aktīvu bilancē vai ārpus bilances tiek vērtēta, analizējot, kura puse, proti, publiskais partneris vai privātais partneris, uzņemas lielāku risku un saņems lielāko atlīdzības daļu no aktīviem. Zemāk (</w:t>
      </w:r>
      <w:r w:rsidR="00EE660D">
        <w:rPr>
          <w:rFonts w:cs="Times New Roman"/>
          <w:iCs/>
          <w:szCs w:val="18"/>
        </w:rPr>
        <w:fldChar w:fldCharType="begin"/>
      </w:r>
      <w:r w:rsidR="00EE660D">
        <w:rPr>
          <w:rFonts w:cs="Times New Roman"/>
          <w:iCs/>
          <w:szCs w:val="18"/>
        </w:rPr>
        <w:instrText xml:space="preserve"> REF _Ref48203993 \h </w:instrText>
      </w:r>
      <w:r w:rsidR="00EE660D">
        <w:rPr>
          <w:rFonts w:cs="Times New Roman"/>
          <w:iCs/>
          <w:szCs w:val="18"/>
        </w:rPr>
      </w:r>
      <w:r w:rsidR="00EE660D">
        <w:rPr>
          <w:rFonts w:cs="Times New Roman"/>
          <w:iCs/>
          <w:szCs w:val="18"/>
        </w:rPr>
        <w:fldChar w:fldCharType="separate"/>
      </w:r>
      <w:r w:rsidR="00D96F20" w:rsidRPr="00BA5347">
        <w:rPr>
          <w:iCs/>
          <w:szCs w:val="18"/>
        </w:rPr>
        <w:t xml:space="preserve">Attēls Nr. </w:t>
      </w:r>
      <w:r w:rsidR="00D96F20">
        <w:rPr>
          <w:iCs/>
          <w:noProof/>
          <w:szCs w:val="18"/>
        </w:rPr>
        <w:t>74</w:t>
      </w:r>
      <w:r w:rsidR="00EE660D">
        <w:rPr>
          <w:rFonts w:cs="Times New Roman"/>
          <w:iCs/>
          <w:szCs w:val="18"/>
        </w:rPr>
        <w:fldChar w:fldCharType="end"/>
      </w:r>
      <w:r w:rsidRPr="00BA5347">
        <w:rPr>
          <w:rFonts w:cs="Times New Roman"/>
          <w:iCs/>
          <w:szCs w:val="18"/>
        </w:rPr>
        <w:t>) tiek ilustrēti iespējamie risku sadalījum</w:t>
      </w:r>
      <w:bookmarkStart w:id="190" w:name="_Ref45625509"/>
      <w:r w:rsidRPr="00BA5347">
        <w:rPr>
          <w:rFonts w:cs="Times New Roman"/>
          <w:iCs/>
          <w:szCs w:val="18"/>
        </w:rPr>
        <w:t>i un attiecīgā aktīvu uzskaite.</w:t>
      </w:r>
      <w:bookmarkStart w:id="191" w:name="_Ref45724179"/>
      <w:bookmarkStart w:id="192" w:name="_Ref47102779"/>
    </w:p>
    <w:p w14:paraId="40E32F31" w14:textId="77777777" w:rsidR="00647C1A" w:rsidRDefault="00647C1A" w:rsidP="00BA5347">
      <w:pPr>
        <w:spacing w:before="120" w:after="120" w:line="240" w:lineRule="auto"/>
        <w:jc w:val="right"/>
        <w:rPr>
          <w:iCs/>
          <w:szCs w:val="18"/>
        </w:rPr>
      </w:pPr>
      <w:bookmarkStart w:id="193" w:name="_Ref47966821"/>
    </w:p>
    <w:p w14:paraId="403CAFE9" w14:textId="77777777" w:rsidR="00647C1A" w:rsidRDefault="00647C1A" w:rsidP="00BA5347">
      <w:pPr>
        <w:spacing w:before="120" w:after="120" w:line="240" w:lineRule="auto"/>
        <w:jc w:val="right"/>
        <w:rPr>
          <w:iCs/>
          <w:szCs w:val="18"/>
        </w:rPr>
      </w:pPr>
    </w:p>
    <w:p w14:paraId="53EBFAE1" w14:textId="77777777" w:rsidR="00647C1A" w:rsidRDefault="00647C1A" w:rsidP="00BA5347">
      <w:pPr>
        <w:spacing w:before="120" w:after="120" w:line="240" w:lineRule="auto"/>
        <w:jc w:val="right"/>
        <w:rPr>
          <w:iCs/>
          <w:szCs w:val="18"/>
        </w:rPr>
      </w:pPr>
    </w:p>
    <w:p w14:paraId="79921767" w14:textId="77777777" w:rsidR="00647C1A" w:rsidRDefault="00647C1A" w:rsidP="00BA5347">
      <w:pPr>
        <w:spacing w:before="120" w:after="120" w:line="240" w:lineRule="auto"/>
        <w:jc w:val="right"/>
        <w:rPr>
          <w:iCs/>
          <w:szCs w:val="18"/>
        </w:rPr>
      </w:pPr>
    </w:p>
    <w:p w14:paraId="17B5CEB2" w14:textId="75583DD2" w:rsidR="00BA5347" w:rsidRPr="00BA5347" w:rsidRDefault="00BA5347" w:rsidP="00BA5347">
      <w:pPr>
        <w:spacing w:before="120" w:after="120" w:line="240" w:lineRule="auto"/>
        <w:jc w:val="right"/>
        <w:rPr>
          <w:rFonts w:cs="Times New Roman"/>
          <w:b/>
          <w:iCs/>
          <w:noProof/>
          <w:szCs w:val="20"/>
          <w:lang w:eastAsia="lv-LV"/>
        </w:rPr>
      </w:pPr>
      <w:bookmarkStart w:id="194" w:name="_Ref48203993"/>
      <w:r w:rsidRPr="00BA5347">
        <w:rPr>
          <w:iCs/>
          <w:szCs w:val="18"/>
        </w:rPr>
        <w:lastRenderedPageBreak/>
        <w:t xml:space="preserve">Attēls Nr. </w:t>
      </w:r>
      <w:r w:rsidRPr="00BA5347">
        <w:rPr>
          <w:iCs/>
          <w:szCs w:val="18"/>
        </w:rPr>
        <w:fldChar w:fldCharType="begin"/>
      </w:r>
      <w:r w:rsidRPr="00BA5347">
        <w:rPr>
          <w:iCs/>
          <w:szCs w:val="18"/>
        </w:rPr>
        <w:instrText xml:space="preserve"> SEQ Attēls_Nr. \* ARABIC </w:instrText>
      </w:r>
      <w:r w:rsidRPr="00BA5347">
        <w:rPr>
          <w:iCs/>
          <w:szCs w:val="18"/>
        </w:rPr>
        <w:fldChar w:fldCharType="separate"/>
      </w:r>
      <w:r w:rsidR="00D96F20">
        <w:rPr>
          <w:iCs/>
          <w:noProof/>
          <w:szCs w:val="18"/>
        </w:rPr>
        <w:t>74</w:t>
      </w:r>
      <w:r w:rsidRPr="00BA5347">
        <w:rPr>
          <w:iCs/>
          <w:noProof/>
          <w:szCs w:val="18"/>
        </w:rPr>
        <w:fldChar w:fldCharType="end"/>
      </w:r>
      <w:bookmarkEnd w:id="190"/>
      <w:bookmarkEnd w:id="191"/>
      <w:bookmarkEnd w:id="192"/>
      <w:bookmarkEnd w:id="193"/>
      <w:bookmarkEnd w:id="194"/>
    </w:p>
    <w:p w14:paraId="34C736E4" w14:textId="77777777" w:rsidR="00BA5347" w:rsidRPr="00BA5347" w:rsidRDefault="00BA5347" w:rsidP="00BA5347">
      <w:pPr>
        <w:spacing w:after="120" w:line="254" w:lineRule="auto"/>
        <w:jc w:val="center"/>
        <w:rPr>
          <w:rFonts w:cs="Times New Roman"/>
          <w:b/>
          <w:noProof/>
          <w:szCs w:val="20"/>
          <w:lang w:eastAsia="lv-LV"/>
        </w:rPr>
      </w:pPr>
      <w:r w:rsidRPr="00BA5347">
        <w:rPr>
          <w:rFonts w:cs="Times New Roman"/>
          <w:b/>
          <w:noProof/>
          <w:szCs w:val="20"/>
          <w:lang w:eastAsia="lv-LV"/>
        </w:rPr>
        <w:t>PPP projekta risku sadalījuma iespējamie scenāriji un aktīvu uzskaite</w:t>
      </w:r>
    </w:p>
    <w:p w14:paraId="59919375" w14:textId="77777777" w:rsidR="00BA5347" w:rsidRPr="00BA5347" w:rsidRDefault="00BA5347" w:rsidP="00BA5347">
      <w:pPr>
        <w:spacing w:after="120" w:line="254" w:lineRule="auto"/>
        <w:jc w:val="center"/>
        <w:rPr>
          <w:rFonts w:cs="Times New Roman"/>
          <w:b/>
          <w:noProof/>
          <w:szCs w:val="20"/>
          <w:lang w:eastAsia="lv-LV"/>
        </w:rPr>
      </w:pPr>
      <w:r w:rsidRPr="00BA5347">
        <w:rPr>
          <w:rFonts w:cs="Times New Roman"/>
          <w:b/>
          <w:noProof/>
          <w:szCs w:val="20"/>
          <w:lang w:eastAsia="lv-LV"/>
        </w:rPr>
        <w:drawing>
          <wp:inline distT="0" distB="0" distL="0" distR="0" wp14:anchorId="14616550" wp14:editId="77787970">
            <wp:extent cx="5833612" cy="294709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39668" cy="2950154"/>
                    </a:xfrm>
                    <a:prstGeom prst="rect">
                      <a:avLst/>
                    </a:prstGeom>
                    <a:noFill/>
                  </pic:spPr>
                </pic:pic>
              </a:graphicData>
            </a:graphic>
          </wp:inline>
        </w:drawing>
      </w:r>
    </w:p>
    <w:p w14:paraId="40D2C60C" w14:textId="77777777" w:rsidR="00BA5347" w:rsidRPr="00BA5347" w:rsidRDefault="00BA5347" w:rsidP="00BA5347">
      <w:pPr>
        <w:spacing w:after="120" w:line="254" w:lineRule="auto"/>
        <w:jc w:val="both"/>
        <w:rPr>
          <w:rFonts w:cs="Times New Roman"/>
        </w:rPr>
      </w:pPr>
      <w:r w:rsidRPr="00BA5347">
        <w:rPr>
          <w:rFonts w:cs="Times New Roman"/>
        </w:rPr>
        <w:tab/>
        <w:t>Kā redzams ilustrācijā, PPP līgums automātiski būs vispārējā valdības sektora aktīvu bilances uzskaitē, ja publiskais partneris uzņemas būvniecības risku. Šajā gadījumā pat nebūs nozīmes tam kā tiks pārdalīts pieprasījuma un pieejamības risks. Savukārt, ja būvniecības risks un pieprasījuma vai pieejamības risks ir efektīvi nodots privātajam partnerim, Partnerības līgums būs vispārējā valdības sektora aktīvu ārpusbilances uzskaitē.</w:t>
      </w:r>
    </w:p>
    <w:p w14:paraId="71048C54" w14:textId="77777777" w:rsidR="00BA5347" w:rsidRPr="00BA5347" w:rsidRDefault="00BA5347" w:rsidP="00BA5347">
      <w:pPr>
        <w:spacing w:after="120" w:line="254" w:lineRule="auto"/>
        <w:ind w:firstLine="720"/>
        <w:jc w:val="both"/>
        <w:rPr>
          <w:rFonts w:cs="Times New Roman"/>
        </w:rPr>
      </w:pPr>
      <w:r w:rsidRPr="00BA5347">
        <w:rPr>
          <w:rFonts w:cs="Times New Roman"/>
        </w:rPr>
        <w:t>Vadoties pēc aktuālās EKS metodoloģijas rokasgrāmatas</w:t>
      </w:r>
      <w:r w:rsidRPr="00BA5347">
        <w:rPr>
          <w:rFonts w:cs="Times New Roman"/>
          <w:vertAlign w:val="superscript"/>
        </w:rPr>
        <w:footnoteReference w:id="36"/>
      </w:r>
      <w:r w:rsidRPr="00BA5347">
        <w:rPr>
          <w:rFonts w:cs="Times New Roman"/>
        </w:rPr>
        <w:t>, PPP aktīvi parasti tiks klasificēti ārpus valdības budžeta bilances, ja ir izpildīti šādi nosacījumi:</w:t>
      </w:r>
    </w:p>
    <w:p w14:paraId="568867C7"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privātais partneris uzņemas būvniecības riskus;</w:t>
      </w:r>
    </w:p>
    <w:p w14:paraId="4A022179"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privātais partneris uzņemas vismaz vienu no pieejamības vai pieprasījuma riskiem;</w:t>
      </w:r>
    </w:p>
    <w:p w14:paraId="4ECAF32D"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publiskais partneris neuzņemas riskus netiešā veidā (piem., valsts finansējums, garantijas un/vai pirmstermiņa izpirkšanas nosacījumi, kas tiek definēti PPP līgumā).</w:t>
      </w:r>
    </w:p>
    <w:p w14:paraId="5ADFE57B" w14:textId="77777777" w:rsidR="00BA5347" w:rsidRPr="00BA5347" w:rsidRDefault="00BA5347" w:rsidP="00BA5347">
      <w:pPr>
        <w:spacing w:after="120" w:line="254" w:lineRule="auto"/>
        <w:ind w:firstLine="720"/>
        <w:jc w:val="both"/>
        <w:rPr>
          <w:rFonts w:cs="Times New Roman"/>
        </w:rPr>
      </w:pPr>
      <w:r w:rsidRPr="00BA5347">
        <w:rPr>
          <w:rFonts w:cs="Times New Roman"/>
        </w:rPr>
        <w:t xml:space="preserve">Jāuzsver, ka, vairumā PPP gadījumu, tikai viens riska veids (pieejamība vai pieprasījums) veido nozīmīgāko daļu maksājumu (izņemot būvniecības riskus). Pieprasījuma riski tiek novēroti pārsvarā tikai tad, kad tas ir atkarīgs no gala lietotājiem, nevis no publiskā partnera maksājumiem. Ja iepriekš minētie nosacījumi ir izpildīti, ir svarīgi ņemt vērā arī visus citus līgumā norādītos spēkā esošos mehānismus, lai pārbaudītu, vai riskus publiskajam partnerim var sadalīt ar citiem līdzekļiem. </w:t>
      </w:r>
    </w:p>
    <w:p w14:paraId="5A737B3F" w14:textId="77777777" w:rsidR="00BA5347" w:rsidRPr="00BA5347" w:rsidRDefault="00BA5347" w:rsidP="00BA5347">
      <w:pPr>
        <w:spacing w:before="320" w:after="120" w:line="254" w:lineRule="auto"/>
        <w:rPr>
          <w:rFonts w:cs="Times New Roman"/>
          <w:b/>
        </w:rPr>
      </w:pPr>
      <w:bookmarkStart w:id="195" w:name="_Toc36811923"/>
      <w:r w:rsidRPr="00BA5347">
        <w:rPr>
          <w:rFonts w:cs="Times New Roman"/>
          <w:b/>
        </w:rPr>
        <w:t>PPP Latvijā</w:t>
      </w:r>
      <w:bookmarkEnd w:id="195"/>
    </w:p>
    <w:p w14:paraId="1B4BF861" w14:textId="77777777" w:rsidR="00BA5347" w:rsidRPr="00BA5347" w:rsidRDefault="00BA5347" w:rsidP="00BA5347">
      <w:pPr>
        <w:spacing w:after="120" w:line="254" w:lineRule="auto"/>
        <w:jc w:val="both"/>
        <w:rPr>
          <w:rFonts w:cs="Times New Roman"/>
        </w:rPr>
      </w:pPr>
      <w:r w:rsidRPr="00BA5347">
        <w:rPr>
          <w:rFonts w:cs="Times New Roman"/>
        </w:rPr>
        <w:tab/>
        <w:t xml:space="preserve">Kā jau minēts sadaļā iepriekš, PPP jēdziens un ideja Latvijā jau pastāv un tiek pilnveidots jau kopš 2000. gada. Apkopojot līdz šim praktiski paveikto un plānoto, nākas gan secināt, ka attīstība drīzāk vērojama “uz papīra”, nevis praktiski pielietojot. To var sasaistīt ar </w:t>
      </w:r>
      <w:r w:rsidRPr="00BA5347">
        <w:rPr>
          <w:rFonts w:cs="Times New Roman"/>
        </w:rPr>
        <w:lastRenderedPageBreak/>
        <w:t xml:space="preserve">faktu, ka PPP ir līdz galam neizprasta tēma, uz ko arī pašlaik viedokļi dalās, un </w:t>
      </w:r>
      <w:bookmarkStart w:id="196" w:name="_Toc36811924"/>
      <w:r w:rsidRPr="00BA5347">
        <w:rPr>
          <w:rFonts w:cs="Times New Roman"/>
        </w:rPr>
        <w:t>Latvija šajā ziņā nav izņēmums.</w:t>
      </w:r>
    </w:p>
    <w:p w14:paraId="4C846892" w14:textId="77777777" w:rsidR="00BA5347" w:rsidRPr="00BA5347" w:rsidRDefault="00BA5347" w:rsidP="00BA5347">
      <w:pPr>
        <w:spacing w:before="320" w:after="120" w:line="254" w:lineRule="auto"/>
        <w:rPr>
          <w:rFonts w:cs="Times New Roman"/>
          <w:b/>
        </w:rPr>
      </w:pPr>
      <w:r w:rsidRPr="00BA5347">
        <w:rPr>
          <w:rFonts w:cs="Times New Roman"/>
          <w:b/>
        </w:rPr>
        <w:t>PPP projekta dzīves cikls Latvijā</w:t>
      </w:r>
      <w:bookmarkEnd w:id="196"/>
    </w:p>
    <w:p w14:paraId="0EAC7FE2" w14:textId="77777777" w:rsidR="00BA5347" w:rsidRPr="00BA5347" w:rsidRDefault="00BA5347" w:rsidP="00BA5347">
      <w:pPr>
        <w:spacing w:after="120" w:line="254" w:lineRule="auto"/>
        <w:jc w:val="both"/>
        <w:rPr>
          <w:rFonts w:cs="Times New Roman"/>
        </w:rPr>
      </w:pPr>
      <w:r w:rsidRPr="00BA5347">
        <w:rPr>
          <w:rFonts w:cs="Times New Roman"/>
        </w:rPr>
        <w:tab/>
        <w:t>Lai spētu efektīvi izvērtēt PPP projektu soli pa solim, ir jābūt skaidri definētam tā dzīves ciklam. CFLA ir sagatavojis un savā mājaslapā un publicējis uzskatāmu PPP projekta īstenošanas gaitu 11 soļos</w:t>
      </w:r>
      <w:r w:rsidRPr="00BA5347">
        <w:rPr>
          <w:rFonts w:cs="Times New Roman"/>
          <w:sz w:val="20"/>
          <w:vertAlign w:val="superscript"/>
        </w:rPr>
        <w:footnoteReference w:id="37"/>
      </w:r>
      <w:r w:rsidRPr="00BA5347">
        <w:rPr>
          <w:rFonts w:cs="Times New Roman"/>
        </w:rPr>
        <w:t xml:space="preserve">. </w:t>
      </w:r>
      <w:bookmarkStart w:id="197" w:name="_Ref45627608"/>
    </w:p>
    <w:p w14:paraId="0AB2C896" w14:textId="71503FD9" w:rsidR="00BA5347" w:rsidRPr="00BA5347" w:rsidRDefault="00BA5347" w:rsidP="00BA5347">
      <w:pPr>
        <w:spacing w:before="120" w:after="120" w:line="240" w:lineRule="auto"/>
        <w:jc w:val="right"/>
        <w:rPr>
          <w:rFonts w:cs="Times New Roman"/>
          <w:b/>
          <w:iCs/>
          <w:szCs w:val="20"/>
        </w:rPr>
      </w:pPr>
      <w:bookmarkStart w:id="198" w:name="_Ref47964206"/>
      <w:r w:rsidRPr="00BA5347">
        <w:rPr>
          <w:iCs/>
          <w:szCs w:val="18"/>
        </w:rPr>
        <w:t xml:space="preserve">Attēls Nr. </w:t>
      </w:r>
      <w:r w:rsidRPr="00BA5347">
        <w:rPr>
          <w:iCs/>
          <w:szCs w:val="18"/>
        </w:rPr>
        <w:fldChar w:fldCharType="begin"/>
      </w:r>
      <w:r w:rsidRPr="00BA5347">
        <w:rPr>
          <w:iCs/>
          <w:szCs w:val="18"/>
        </w:rPr>
        <w:instrText xml:space="preserve"> SEQ Attēls_Nr. \* ARABIC </w:instrText>
      </w:r>
      <w:r w:rsidRPr="00BA5347">
        <w:rPr>
          <w:iCs/>
          <w:szCs w:val="18"/>
        </w:rPr>
        <w:fldChar w:fldCharType="separate"/>
      </w:r>
      <w:r w:rsidR="00D96F20">
        <w:rPr>
          <w:iCs/>
          <w:noProof/>
          <w:szCs w:val="18"/>
        </w:rPr>
        <w:t>75</w:t>
      </w:r>
      <w:r w:rsidRPr="00BA5347">
        <w:rPr>
          <w:iCs/>
          <w:noProof/>
          <w:szCs w:val="18"/>
        </w:rPr>
        <w:fldChar w:fldCharType="end"/>
      </w:r>
      <w:bookmarkEnd w:id="197"/>
      <w:bookmarkEnd w:id="198"/>
    </w:p>
    <w:p w14:paraId="07C5E0E9" w14:textId="77777777" w:rsidR="00BA5347" w:rsidRPr="00BA5347" w:rsidRDefault="00BA5347" w:rsidP="00BA5347">
      <w:pPr>
        <w:spacing w:after="120" w:line="254" w:lineRule="auto"/>
        <w:jc w:val="center"/>
        <w:rPr>
          <w:rFonts w:cs="Times New Roman"/>
          <w:b/>
          <w:szCs w:val="20"/>
        </w:rPr>
      </w:pPr>
      <w:r w:rsidRPr="00BA5347">
        <w:rPr>
          <w:rFonts w:cs="Times New Roman"/>
          <w:b/>
          <w:szCs w:val="20"/>
        </w:rPr>
        <w:t>PPP projekta dzīves cikls</w:t>
      </w:r>
    </w:p>
    <w:p w14:paraId="4D5209E2" w14:textId="77777777" w:rsidR="00BA5347" w:rsidRPr="00BA5347" w:rsidRDefault="00BA5347" w:rsidP="00BA5347">
      <w:pPr>
        <w:spacing w:after="120" w:line="254" w:lineRule="auto"/>
        <w:jc w:val="center"/>
        <w:rPr>
          <w:rFonts w:cs="Times New Roman"/>
          <w:sz w:val="20"/>
          <w:szCs w:val="20"/>
        </w:rPr>
      </w:pPr>
      <w:r w:rsidRPr="00BA5347">
        <w:rPr>
          <w:rFonts w:cs="Times New Roman"/>
          <w:noProof/>
          <w:lang w:eastAsia="lv-LV"/>
        </w:rPr>
        <w:drawing>
          <wp:inline distT="0" distB="0" distL="0" distR="0" wp14:anchorId="63D7B38C" wp14:editId="650FF76C">
            <wp:extent cx="2713055" cy="34490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69601" cy="3520901"/>
                    </a:xfrm>
                    <a:prstGeom prst="rect">
                      <a:avLst/>
                    </a:prstGeom>
                    <a:noFill/>
                  </pic:spPr>
                </pic:pic>
              </a:graphicData>
            </a:graphic>
          </wp:inline>
        </w:drawing>
      </w:r>
    </w:p>
    <w:p w14:paraId="27904223" w14:textId="77777777" w:rsidR="00080047" w:rsidRDefault="00080047" w:rsidP="00BA5347">
      <w:pPr>
        <w:spacing w:after="120" w:line="254" w:lineRule="auto"/>
        <w:ind w:firstLine="720"/>
        <w:jc w:val="both"/>
        <w:rPr>
          <w:rFonts w:cs="Times New Roman"/>
        </w:rPr>
      </w:pPr>
    </w:p>
    <w:p w14:paraId="5F5208A1" w14:textId="379D612F" w:rsidR="00BA5347" w:rsidRPr="00BA5347" w:rsidRDefault="00BA5347" w:rsidP="00BA5347">
      <w:pPr>
        <w:spacing w:after="120" w:line="254" w:lineRule="auto"/>
        <w:ind w:firstLine="720"/>
        <w:jc w:val="both"/>
        <w:rPr>
          <w:rFonts w:cs="Times New Roman"/>
        </w:rPr>
      </w:pPr>
      <w:r w:rsidRPr="00BA5347">
        <w:rPr>
          <w:rFonts w:cs="Times New Roman"/>
        </w:rPr>
        <w:t>Attēlā tiek identificēti visi soļi (</w:t>
      </w:r>
      <w:r w:rsidRPr="00BA5347">
        <w:rPr>
          <w:rFonts w:cs="Times New Roman"/>
        </w:rPr>
        <w:fldChar w:fldCharType="begin"/>
      </w:r>
      <w:r w:rsidRPr="00BA5347">
        <w:rPr>
          <w:rFonts w:cs="Times New Roman"/>
        </w:rPr>
        <w:instrText xml:space="preserve"> REF _Ref47964206 \h </w:instrText>
      </w:r>
      <w:r w:rsidRPr="00BA5347">
        <w:rPr>
          <w:rFonts w:cs="Times New Roman"/>
        </w:rPr>
      </w:r>
      <w:r w:rsidRPr="00BA5347">
        <w:rPr>
          <w:rFonts w:cs="Times New Roman"/>
        </w:rPr>
        <w:fldChar w:fldCharType="separate"/>
      </w:r>
      <w:r w:rsidR="00D96F20" w:rsidRPr="00BA5347">
        <w:rPr>
          <w:iCs/>
          <w:szCs w:val="18"/>
        </w:rPr>
        <w:t xml:space="preserve">Attēls Nr. </w:t>
      </w:r>
      <w:r w:rsidR="00D96F20">
        <w:rPr>
          <w:iCs/>
          <w:noProof/>
          <w:szCs w:val="18"/>
        </w:rPr>
        <w:t>75</w:t>
      </w:r>
      <w:r w:rsidRPr="00BA5347">
        <w:rPr>
          <w:rFonts w:cs="Times New Roman"/>
        </w:rPr>
        <w:fldChar w:fldCharType="end"/>
      </w:r>
      <w:r w:rsidRPr="00BA5347">
        <w:rPr>
          <w:rFonts w:cs="Times New Roman"/>
        </w:rPr>
        <w:t>), sākot no vajadzību identificēšanas līdz pat projekta rezultātu analīzes. Infografika veicina gan potenciālo publisko partneru, gan iespējamo privāto partneru izpratni par veicamajiem soļiem un aptuveno projekta īstenošanas termiņu.</w:t>
      </w:r>
    </w:p>
    <w:p w14:paraId="0D22E187" w14:textId="2DD0C75F" w:rsidR="00BA5347" w:rsidRPr="00BA5347" w:rsidRDefault="00BA5347" w:rsidP="00BA5347">
      <w:pPr>
        <w:spacing w:after="120" w:line="254" w:lineRule="auto"/>
        <w:jc w:val="both"/>
        <w:rPr>
          <w:rFonts w:cs="Times New Roman"/>
        </w:rPr>
      </w:pPr>
      <w:r w:rsidRPr="00BA5347">
        <w:rPr>
          <w:rFonts w:cs="Times New Roman"/>
        </w:rPr>
        <w:tab/>
        <w:t>Savukārt, CFLA izstrādātajās FEA vadlīnijās</w:t>
      </w:r>
      <w:r w:rsidRPr="00BA5347">
        <w:rPr>
          <w:rFonts w:cs="Times New Roman"/>
          <w:sz w:val="20"/>
          <w:vertAlign w:val="superscript"/>
        </w:rPr>
        <w:footnoteReference w:id="38"/>
      </w:r>
      <w:r w:rsidRPr="00BA5347">
        <w:rPr>
          <w:rFonts w:cs="Times New Roman"/>
        </w:rPr>
        <w:t xml:space="preserve"> ievietota vizualizācija, kur PPP projekts iedalīts 4 fāzēs, kur katru fāzi veido 2 secīgi posmi. Tajā detalizētāk tiek aprakstīti veicamie uzdevumi katrā no projekta cikla fāzēm.</w:t>
      </w:r>
    </w:p>
    <w:p w14:paraId="5C0613C0" w14:textId="77777777" w:rsidR="00647C1A" w:rsidRDefault="00647C1A" w:rsidP="00BA5347">
      <w:pPr>
        <w:spacing w:before="120" w:after="120" w:line="240" w:lineRule="auto"/>
        <w:jc w:val="right"/>
        <w:rPr>
          <w:iCs/>
          <w:szCs w:val="18"/>
        </w:rPr>
      </w:pPr>
    </w:p>
    <w:p w14:paraId="2DF0E30F" w14:textId="77777777" w:rsidR="00647C1A" w:rsidRDefault="00647C1A" w:rsidP="00BA5347">
      <w:pPr>
        <w:spacing w:before="120" w:after="120" w:line="240" w:lineRule="auto"/>
        <w:jc w:val="right"/>
        <w:rPr>
          <w:iCs/>
          <w:szCs w:val="18"/>
        </w:rPr>
      </w:pPr>
    </w:p>
    <w:p w14:paraId="1800C54C" w14:textId="1BD083D5" w:rsidR="00647C1A" w:rsidRDefault="00647C1A" w:rsidP="00BA5347">
      <w:pPr>
        <w:spacing w:before="120" w:after="120" w:line="240" w:lineRule="auto"/>
        <w:jc w:val="right"/>
        <w:rPr>
          <w:iCs/>
          <w:szCs w:val="18"/>
        </w:rPr>
      </w:pPr>
    </w:p>
    <w:p w14:paraId="0E32A3E1" w14:textId="72B9862A" w:rsidR="00BA5347" w:rsidRPr="00BA5347" w:rsidRDefault="00BA5347" w:rsidP="00BA5347">
      <w:pPr>
        <w:spacing w:before="120" w:after="120" w:line="240" w:lineRule="auto"/>
        <w:jc w:val="right"/>
        <w:rPr>
          <w:rFonts w:cs="Times New Roman"/>
          <w:b/>
          <w:iCs/>
          <w:szCs w:val="20"/>
        </w:rPr>
      </w:pPr>
      <w:r w:rsidRPr="00BA5347">
        <w:rPr>
          <w:iCs/>
          <w:szCs w:val="18"/>
        </w:rPr>
        <w:lastRenderedPageBreak/>
        <w:t xml:space="preserve">Attēls Nr. </w:t>
      </w:r>
      <w:r w:rsidRPr="00BA5347">
        <w:rPr>
          <w:iCs/>
          <w:szCs w:val="18"/>
        </w:rPr>
        <w:fldChar w:fldCharType="begin"/>
      </w:r>
      <w:r w:rsidRPr="00BA5347">
        <w:rPr>
          <w:iCs/>
          <w:szCs w:val="18"/>
        </w:rPr>
        <w:instrText xml:space="preserve"> SEQ Attēls_Nr. \* ARABIC </w:instrText>
      </w:r>
      <w:r w:rsidRPr="00BA5347">
        <w:rPr>
          <w:iCs/>
          <w:szCs w:val="18"/>
        </w:rPr>
        <w:fldChar w:fldCharType="separate"/>
      </w:r>
      <w:r w:rsidR="00D96F20">
        <w:rPr>
          <w:iCs/>
          <w:noProof/>
          <w:szCs w:val="18"/>
        </w:rPr>
        <w:t>76</w:t>
      </w:r>
      <w:r w:rsidRPr="00BA5347">
        <w:rPr>
          <w:iCs/>
          <w:noProof/>
          <w:szCs w:val="18"/>
        </w:rPr>
        <w:fldChar w:fldCharType="end"/>
      </w:r>
    </w:p>
    <w:p w14:paraId="47C5AC2E" w14:textId="77777777" w:rsidR="00BA5347" w:rsidRPr="00BA5347" w:rsidRDefault="00BA5347" w:rsidP="00BA5347">
      <w:pPr>
        <w:spacing w:after="120" w:line="254" w:lineRule="auto"/>
        <w:jc w:val="center"/>
        <w:rPr>
          <w:rFonts w:cs="Times New Roman"/>
          <w:b/>
          <w:sz w:val="32"/>
        </w:rPr>
      </w:pPr>
      <w:r w:rsidRPr="00BA5347">
        <w:rPr>
          <w:rFonts w:cs="Times New Roman"/>
          <w:b/>
          <w:szCs w:val="20"/>
        </w:rPr>
        <w:t>PPP projekta FEA izstrādes vadlīniju loma PPP projekta dzīves ciklā</w:t>
      </w:r>
    </w:p>
    <w:p w14:paraId="056B3875" w14:textId="77777777" w:rsidR="00BA5347" w:rsidRPr="00BA5347" w:rsidRDefault="00BA5347" w:rsidP="00BA5347">
      <w:pPr>
        <w:spacing w:after="120" w:line="254" w:lineRule="auto"/>
        <w:jc w:val="center"/>
        <w:rPr>
          <w:rFonts w:cs="Times New Roman"/>
          <w:i/>
          <w:sz w:val="20"/>
          <w:szCs w:val="20"/>
        </w:rPr>
      </w:pPr>
      <w:r w:rsidRPr="00BA5347">
        <w:rPr>
          <w:rFonts w:cs="Times New Roman"/>
          <w:noProof/>
          <w:lang w:eastAsia="lv-LV"/>
        </w:rPr>
        <w:drawing>
          <wp:inline distT="0" distB="0" distL="0" distR="0" wp14:anchorId="3093C3DA" wp14:editId="2FCD3EF7">
            <wp:extent cx="5903003" cy="3136605"/>
            <wp:effectExtent l="0" t="0" r="254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29000" cy="3150418"/>
                    </a:xfrm>
                    <a:prstGeom prst="rect">
                      <a:avLst/>
                    </a:prstGeom>
                    <a:noFill/>
                  </pic:spPr>
                </pic:pic>
              </a:graphicData>
            </a:graphic>
          </wp:inline>
        </w:drawing>
      </w:r>
    </w:p>
    <w:p w14:paraId="7D618883" w14:textId="77777777" w:rsidR="00BA5347" w:rsidRPr="00BA5347" w:rsidRDefault="00BA5347" w:rsidP="00647C1A">
      <w:pPr>
        <w:spacing w:after="120" w:line="254" w:lineRule="auto"/>
        <w:ind w:firstLine="720"/>
        <w:jc w:val="both"/>
        <w:rPr>
          <w:rFonts w:cs="Times New Roman"/>
        </w:rPr>
      </w:pPr>
      <w:r w:rsidRPr="00BA5347">
        <w:rPr>
          <w:rFonts w:cs="Times New Roman"/>
        </w:rPr>
        <w:t>FEA vadlīnijas aptver PPP projekta dzīves cikla pirmās fāzes “Projekta identificēšana” abus posmus – “Projekts” un “PPP risinājums un PPP modelis”. Nākamās fāzes jau ir attiecīgi publiskā un privātā partnera mijiedarbība.</w:t>
      </w:r>
    </w:p>
    <w:p w14:paraId="21BF09A5" w14:textId="77777777" w:rsidR="00BA5347" w:rsidRPr="00BA5347" w:rsidRDefault="00BA5347" w:rsidP="00647C1A">
      <w:pPr>
        <w:spacing w:after="120" w:line="254" w:lineRule="auto"/>
        <w:rPr>
          <w:rFonts w:cs="Times New Roman"/>
          <w:b/>
        </w:rPr>
      </w:pPr>
      <w:bookmarkStart w:id="199" w:name="_Toc36811925"/>
      <w:r w:rsidRPr="00BA5347">
        <w:rPr>
          <w:rFonts w:cs="Times New Roman"/>
          <w:b/>
        </w:rPr>
        <w:t>Noslēgtie PPP līgumi</w:t>
      </w:r>
      <w:bookmarkEnd w:id="199"/>
    </w:p>
    <w:p w14:paraId="38E1C2C1" w14:textId="77777777" w:rsidR="00BA5347" w:rsidRPr="00BA5347" w:rsidRDefault="00BA5347" w:rsidP="00647C1A">
      <w:pPr>
        <w:spacing w:after="120" w:line="254" w:lineRule="auto"/>
        <w:jc w:val="both"/>
        <w:rPr>
          <w:rFonts w:cs="Times New Roman"/>
        </w:rPr>
      </w:pPr>
      <w:r w:rsidRPr="00BA5347">
        <w:rPr>
          <w:rFonts w:cs="Times New Roman"/>
        </w:rPr>
        <w:tab/>
        <w:t>Apskatot datus par noslēgtiem un plānotiem PPP projektiem</w:t>
      </w:r>
      <w:r w:rsidRPr="00BA5347">
        <w:rPr>
          <w:rFonts w:cs="Times New Roman"/>
          <w:sz w:val="20"/>
          <w:vertAlign w:val="superscript"/>
        </w:rPr>
        <w:footnoteReference w:id="39"/>
      </w:r>
      <w:r w:rsidRPr="00BA5347">
        <w:rPr>
          <w:rFonts w:cs="Times New Roman"/>
        </w:rPr>
        <w:t>, sākot ar 2011. gada 22. martu Latvijā tika noslēgti 69 (!) PPP līgumi. Ņemot vērā, ka tikai 2005.gadā LIAA uzsāka piecu pirmo PPP pilotprojektu izstrādi, noslēgto līgumu skaits varētu liecināt par strauju intereses pieaugumu PPP jomā.</w:t>
      </w:r>
    </w:p>
    <w:p w14:paraId="47F9285A" w14:textId="77777777" w:rsidR="00BA5347" w:rsidRPr="00BA5347" w:rsidRDefault="00BA5347" w:rsidP="00647C1A">
      <w:pPr>
        <w:spacing w:after="120" w:line="254" w:lineRule="auto"/>
        <w:jc w:val="both"/>
        <w:rPr>
          <w:rFonts w:cs="Times New Roman"/>
        </w:rPr>
      </w:pPr>
      <w:r w:rsidRPr="00BA5347">
        <w:rPr>
          <w:rFonts w:cs="Times New Roman"/>
        </w:rPr>
        <w:tab/>
        <w:t>Apskatot statistiku detalizētāk, redzams, ka no kopumā 69 noslēgtiem līgumiem:</w:t>
      </w:r>
    </w:p>
    <w:p w14:paraId="3C8DCE0D"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65 ir koncesijas līgumi;</w:t>
      </w:r>
    </w:p>
    <w:p w14:paraId="27269BE5"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2 partnerības līgumi;</w:t>
      </w:r>
    </w:p>
    <w:p w14:paraId="0F376B7F"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2 institucionālie līgumi.</w:t>
      </w:r>
    </w:p>
    <w:p w14:paraId="5C23AFAA" w14:textId="77777777" w:rsidR="00BA5347" w:rsidRPr="00BA5347" w:rsidRDefault="00BA5347" w:rsidP="00647C1A">
      <w:pPr>
        <w:spacing w:after="120" w:line="254" w:lineRule="auto"/>
        <w:ind w:firstLine="720"/>
        <w:jc w:val="both"/>
        <w:rPr>
          <w:rFonts w:cs="Times New Roman"/>
        </w:rPr>
      </w:pPr>
      <w:r w:rsidRPr="00BA5347">
        <w:rPr>
          <w:rFonts w:cs="Times New Roman"/>
        </w:rPr>
        <w:t xml:space="preserve">Koncesijas līgumu gadījumā, vairums no tiem ir par pakalpojumu sniegšanu – sabiedriskā transporta nodrošināšana, atkritumu apsaimniekošana, siltumapgāde. Izvērtējot to ietekmi uz valsts un pašvaldību budžetu, var secināt, ka tie neatspoguļo patieso PPP ieguvumu. </w:t>
      </w:r>
    </w:p>
    <w:p w14:paraId="6017065D" w14:textId="77777777" w:rsidR="00BA5347" w:rsidRPr="00BA5347" w:rsidRDefault="00BA5347" w:rsidP="00647C1A">
      <w:pPr>
        <w:spacing w:after="120" w:line="254" w:lineRule="auto"/>
        <w:ind w:firstLine="720"/>
        <w:jc w:val="both"/>
        <w:rPr>
          <w:rFonts w:cs="Times New Roman"/>
        </w:rPr>
      </w:pPr>
      <w:r w:rsidRPr="00BA5347">
        <w:rPr>
          <w:rFonts w:cs="Times New Roman"/>
        </w:rPr>
        <w:t>Apkopjot koncesijas līgumu galvenās pazīmes, redzams, ka:</w:t>
      </w:r>
    </w:p>
    <w:p w14:paraId="6E5C166B"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57 līgumi ir par pakalpojumu sniegšanu;</w:t>
      </w:r>
    </w:p>
    <w:p w14:paraId="5DD4F1A4"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8 līgumi – citu darbību veikšanai.</w:t>
      </w:r>
    </w:p>
    <w:p w14:paraId="4D471AA3" w14:textId="77777777" w:rsidR="00BA5347" w:rsidRPr="00BA5347" w:rsidRDefault="00BA5347" w:rsidP="00647C1A">
      <w:pPr>
        <w:spacing w:after="120" w:line="254" w:lineRule="auto"/>
        <w:ind w:left="720"/>
        <w:jc w:val="both"/>
        <w:rPr>
          <w:rFonts w:cs="Times New Roman"/>
        </w:rPr>
      </w:pPr>
      <w:r w:rsidRPr="00BA5347">
        <w:rPr>
          <w:rFonts w:cs="Times New Roman"/>
        </w:rPr>
        <w:t>No tiem:</w:t>
      </w:r>
    </w:p>
    <w:p w14:paraId="3BD5B4EF"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36 līgumi ir spēkā esoši (ar 2020.gada 26.martu);</w:t>
      </w:r>
    </w:p>
    <w:p w14:paraId="108B06E0"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lastRenderedPageBreak/>
        <w:t>29 līgumi nav spēkā esoši.</w:t>
      </w:r>
    </w:p>
    <w:p w14:paraId="40936EE1" w14:textId="77777777" w:rsidR="00BA5347" w:rsidRPr="00BA5347" w:rsidRDefault="00BA5347" w:rsidP="00647C1A">
      <w:pPr>
        <w:spacing w:after="120" w:line="254" w:lineRule="auto"/>
        <w:ind w:left="720"/>
        <w:jc w:val="both"/>
        <w:rPr>
          <w:rFonts w:cs="Times New Roman"/>
        </w:rPr>
      </w:pPr>
      <w:r w:rsidRPr="00BA5347">
        <w:rPr>
          <w:rFonts w:cs="Times New Roman"/>
        </w:rPr>
        <w:t>Apskatot detalizētāk 2 partnerības līguma PPP projektus:</w:t>
      </w:r>
    </w:p>
    <w:p w14:paraId="73118DB8" w14:textId="77777777" w:rsidR="00BA5347" w:rsidRPr="00BA5347" w:rsidRDefault="00BA5347" w:rsidP="00647C1A">
      <w:pPr>
        <w:numPr>
          <w:ilvl w:val="0"/>
          <w:numId w:val="5"/>
        </w:numPr>
        <w:spacing w:after="120" w:line="254" w:lineRule="auto"/>
        <w:jc w:val="both"/>
        <w:rPr>
          <w:rFonts w:cs="Times New Roman"/>
        </w:rPr>
      </w:pPr>
      <w:r w:rsidRPr="00BA5347">
        <w:rPr>
          <w:rFonts w:cs="Times New Roman"/>
        </w:rPr>
        <w:t xml:space="preserve">Ogres novada dome - </w:t>
      </w:r>
      <w:r w:rsidRPr="00BA5347">
        <w:rPr>
          <w:rFonts w:cs="Times New Roman"/>
          <w:b/>
        </w:rPr>
        <w:t>Publisko būvdarbu un pakalpojumu līgums par Ogres mākslas skolas renovāciju</w:t>
      </w:r>
      <w:r w:rsidRPr="00BA5347">
        <w:rPr>
          <w:rFonts w:cs="Times New Roman"/>
        </w:rPr>
        <w:t xml:space="preserve"> (Id.Nr. uzņēmuma līgums 1-30.1.7/64/2006, apsaimniekošanas līgums 1-30.1.14/52/2006) Ogres Mākslas skolas renovācija un apsaimniekošana; plānotais līguma termiņš 2006-2021. gads; 2010. gada 29. jūnijā tika izbeigts partnerības līgums, līdz ar SIA „JS&amp;J Ūdensmeistars” maksātnespējas pasludināšanu 2010. gada 8. martā.</w:t>
      </w:r>
    </w:p>
    <w:p w14:paraId="0376BFD6" w14:textId="77777777" w:rsidR="00BA5347" w:rsidRPr="00BA5347" w:rsidRDefault="00BA5347" w:rsidP="00647C1A">
      <w:pPr>
        <w:numPr>
          <w:ilvl w:val="0"/>
          <w:numId w:val="5"/>
        </w:numPr>
        <w:spacing w:after="120" w:line="254" w:lineRule="auto"/>
        <w:jc w:val="both"/>
        <w:rPr>
          <w:rFonts w:cs="Times New Roman"/>
        </w:rPr>
      </w:pPr>
      <w:r w:rsidRPr="00BA5347">
        <w:rPr>
          <w:rFonts w:cs="Times New Roman"/>
        </w:rPr>
        <w:t xml:space="preserve">Ķekavas novada dome, Tukuma novada dome, Ogres novada dome, Mārupes novada dome - </w:t>
      </w:r>
      <w:r w:rsidRPr="00BA5347">
        <w:rPr>
          <w:rFonts w:cs="Times New Roman"/>
          <w:b/>
        </w:rPr>
        <w:t>Publisko būvdarbu un pakalpojumu līgums par pirmsskolas izglītības iestādes būvniecību un apsaimniekošanu</w:t>
      </w:r>
      <w:r w:rsidRPr="00BA5347">
        <w:rPr>
          <w:rFonts w:cs="Times New Roman"/>
        </w:rPr>
        <w:t xml:space="preserve">. 2009. gada 25. jūnijā noslēgts projekta līgums starp Mārupes pagasta padomi, Ķekavas pagasta pašvaldību, Ogres novada domi, Tukuma pilsētas domi un Pilnsabiedrību „ACANA” par četru pirmsskolas izglītības iestāžu būvniecību un apsaimniekošanu; līguma termiņš 2009.-2029. gads; </w:t>
      </w:r>
    </w:p>
    <w:p w14:paraId="7DAA2F1C" w14:textId="77777777" w:rsidR="00BA5347" w:rsidRPr="00BA5347" w:rsidRDefault="00BA5347" w:rsidP="00647C1A">
      <w:pPr>
        <w:spacing w:after="120" w:line="254" w:lineRule="auto"/>
        <w:ind w:firstLine="720"/>
        <w:jc w:val="both"/>
        <w:rPr>
          <w:rFonts w:cs="Times New Roman"/>
        </w:rPr>
      </w:pPr>
      <w:r w:rsidRPr="00BA5347">
        <w:rPr>
          <w:rFonts w:cs="Times New Roman"/>
        </w:rPr>
        <w:t>Noslēgtie Institucionālie PPP līgumi:</w:t>
      </w:r>
    </w:p>
    <w:p w14:paraId="04DE321F" w14:textId="77777777" w:rsidR="00BA5347" w:rsidRPr="00BA5347" w:rsidRDefault="00BA5347" w:rsidP="00647C1A">
      <w:pPr>
        <w:numPr>
          <w:ilvl w:val="0"/>
          <w:numId w:val="6"/>
        </w:numPr>
        <w:spacing w:after="120" w:line="254" w:lineRule="auto"/>
        <w:jc w:val="both"/>
        <w:rPr>
          <w:rFonts w:cs="Times New Roman"/>
        </w:rPr>
      </w:pPr>
      <w:r w:rsidRPr="00BA5347">
        <w:rPr>
          <w:rFonts w:cs="Times New Roman"/>
        </w:rPr>
        <w:t xml:space="preserve">Jelgavas novada dome - </w:t>
      </w:r>
      <w:r w:rsidRPr="00BA5347">
        <w:rPr>
          <w:rFonts w:cs="Times New Roman"/>
          <w:b/>
        </w:rPr>
        <w:t>Jelgavas rajona pašvaldības SIA „Jelgavas rajona slimnīca” kapitāla daļu nodošana komerciālā pārvaldīšanā</w:t>
      </w:r>
      <w:r w:rsidRPr="00BA5347">
        <w:rPr>
          <w:rFonts w:cs="Times New Roman"/>
        </w:rPr>
        <w:t xml:space="preserve">. Privātajam partnerim ir nodotas pārvaldībā SIA „Jelgavas rajona slimnīcas” 149 795,00 kapitāla daļas. Privātais partneris organizē pašvaldības SIA “Jelgavas rajona slimnīca” darbību, piedalās dalībnieku sapulcēs, revīzijas komisijā, kā arī apstiprina šo institūciju darbības reglamentus. Tāpat privātais partneris nosaka sabiedrības finanšu un investīciju politiku un peļņas sadali. Privātajam partnerim nav tiesību pieņemt lēmumus par sabiedrības reorganizāciju, likvidāciju, koncerna līguma slēgšanu par sabiedrības vadības un peļņas nodošanu trešajai personai un koncesijā nodoto kapitāla daļu atsavināšanu. Pēc publiskā partnera noteikta standarta reizi ceturksnī tiek veiktas pārvaldīšanā nodoto kapitāla daļu uzticības pārvaldīšanas efektivitātes novērtēšana. Līguma termiņš 2003.-2023. gads; </w:t>
      </w:r>
    </w:p>
    <w:p w14:paraId="5B3586EF" w14:textId="77777777" w:rsidR="00BA5347" w:rsidRPr="00BA5347" w:rsidRDefault="00BA5347" w:rsidP="00647C1A">
      <w:pPr>
        <w:numPr>
          <w:ilvl w:val="0"/>
          <w:numId w:val="6"/>
        </w:numPr>
        <w:spacing w:after="120" w:line="254" w:lineRule="auto"/>
        <w:jc w:val="both"/>
        <w:rPr>
          <w:rFonts w:cs="Times New Roman"/>
        </w:rPr>
      </w:pPr>
      <w:r w:rsidRPr="00BA5347">
        <w:rPr>
          <w:rFonts w:cs="Times New Roman"/>
        </w:rPr>
        <w:t>Ventspils pilsētas dome - Dalībnieku līgums un līgums par projekta “Ventspils siltumapgādes sistēmas attīstība” īstenošanu. Līguma termiņš 2007. gads – līdz Kopuzņēmuma likvidēšanai.</w:t>
      </w:r>
    </w:p>
    <w:p w14:paraId="47082E92" w14:textId="25D2692F" w:rsidR="00BA5347" w:rsidRPr="00647C1A" w:rsidRDefault="00BA5347" w:rsidP="00647C1A">
      <w:pPr>
        <w:spacing w:after="120" w:line="254" w:lineRule="auto"/>
        <w:ind w:firstLine="720"/>
        <w:jc w:val="both"/>
        <w:rPr>
          <w:rFonts w:cs="Times New Roman"/>
        </w:rPr>
      </w:pPr>
      <w:r w:rsidRPr="00BA5347">
        <w:rPr>
          <w:rFonts w:cs="Times New Roman"/>
        </w:rPr>
        <w:t xml:space="preserve">Pēc detalizētākas noslēgto PPP līgumu analīzes, secināms, ka tie neatspoguļo patieso PPP potenciālu kā arī neveicina privāto investīciju piesaisti. Neskatoties uz to, redzams, ka ir bijušas idejas PPP attīstībai un ievērojamu projektu virzīšanai. Jāpiemin arī, ka </w:t>
      </w:r>
      <w:r w:rsidRPr="00BA5347">
        <w:rPr>
          <w:rFonts w:cs="Times New Roman"/>
          <w:b/>
        </w:rPr>
        <w:t>pēdējo 6 gadu laikā nav noslēgts neviens jauns PPP līgums</w:t>
      </w:r>
      <w:r w:rsidRPr="00BA5347">
        <w:rPr>
          <w:rFonts w:cs="Times New Roman"/>
        </w:rPr>
        <w:t xml:space="preserve"> (kopš 2014. gada).</w:t>
      </w:r>
      <w:bookmarkStart w:id="200" w:name="_Toc36811926"/>
    </w:p>
    <w:p w14:paraId="4FC7E625" w14:textId="5B117025" w:rsidR="00BA5347" w:rsidRPr="00BA5347" w:rsidRDefault="00BA5347" w:rsidP="00647C1A">
      <w:pPr>
        <w:spacing w:after="120" w:line="254" w:lineRule="auto"/>
        <w:rPr>
          <w:rFonts w:cs="Times New Roman"/>
          <w:b/>
        </w:rPr>
      </w:pPr>
      <w:r w:rsidRPr="00BA5347">
        <w:rPr>
          <w:rFonts w:cs="Times New Roman"/>
          <w:b/>
        </w:rPr>
        <w:t>Plānotie PPP projekti</w:t>
      </w:r>
      <w:bookmarkEnd w:id="200"/>
    </w:p>
    <w:p w14:paraId="42D4FCA6" w14:textId="77777777" w:rsidR="00BA5347" w:rsidRPr="00BA5347" w:rsidRDefault="00BA5347" w:rsidP="00647C1A">
      <w:pPr>
        <w:spacing w:after="120" w:line="254" w:lineRule="auto"/>
        <w:ind w:firstLine="720"/>
        <w:jc w:val="both"/>
        <w:rPr>
          <w:rFonts w:cs="Times New Roman"/>
        </w:rPr>
      </w:pPr>
      <w:r w:rsidRPr="00BA5347">
        <w:rPr>
          <w:rFonts w:cs="Times New Roman"/>
        </w:rPr>
        <w:t>Savukārt, apkopojot statistiku par plānotiem PPP projektiem, redzam, ka līdz 2020.gadam kopumā tika ierosināti 43 potenciāli PPP projekti</w:t>
      </w:r>
      <w:r w:rsidRPr="00BA5347">
        <w:rPr>
          <w:rFonts w:cs="Times New Roman"/>
          <w:vertAlign w:val="superscript"/>
        </w:rPr>
        <w:footnoteReference w:id="40"/>
      </w:r>
      <w:r w:rsidRPr="00BA5347">
        <w:rPr>
          <w:rFonts w:cs="Times New Roman"/>
        </w:rPr>
        <w:t xml:space="preserve">. No tiem tikai 26 projekti nonākuši nākamajā fāzē, iesniedzot FEA sagatavošanas lēmumus CFLA. </w:t>
      </w:r>
    </w:p>
    <w:p w14:paraId="7FED32A9" w14:textId="77777777" w:rsidR="00BA5347" w:rsidRPr="00BA5347" w:rsidRDefault="00BA5347" w:rsidP="00647C1A">
      <w:pPr>
        <w:spacing w:after="120" w:line="254" w:lineRule="auto"/>
        <w:jc w:val="both"/>
        <w:rPr>
          <w:rFonts w:cs="Times New Roman"/>
        </w:rPr>
      </w:pPr>
      <w:r w:rsidRPr="00BA5347">
        <w:rPr>
          <w:rFonts w:cs="Times New Roman"/>
        </w:rPr>
        <w:lastRenderedPageBreak/>
        <w:tab/>
        <w:t>Var izdalīt vairākus projektus:</w:t>
      </w:r>
    </w:p>
    <w:p w14:paraId="49BD6CBD"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E67/A7 Ķekavas apvedceļa izbūve (SM);</w:t>
      </w:r>
    </w:p>
    <w:p w14:paraId="03016582"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Nacionālās koncertzāles būvniecība Rīgā (KM);</w:t>
      </w:r>
    </w:p>
    <w:p w14:paraId="78958DBF" w14:textId="24DD9780" w:rsidR="00BA5347" w:rsidRPr="00BA5347" w:rsidRDefault="00BA5347" w:rsidP="00647C1A">
      <w:pPr>
        <w:numPr>
          <w:ilvl w:val="0"/>
          <w:numId w:val="3"/>
        </w:numPr>
        <w:spacing w:after="120" w:line="254" w:lineRule="auto"/>
        <w:jc w:val="both"/>
        <w:rPr>
          <w:rFonts w:cs="Times New Roman"/>
        </w:rPr>
      </w:pPr>
      <w:r w:rsidRPr="00BA5347">
        <w:rPr>
          <w:rFonts w:cs="Times New Roman"/>
        </w:rPr>
        <w:t>Jauna vienota valsts iestāžu administratīvā centra Jelgavā izbūve un 15 reģionālo VUGD depo būvniecība/rekonstrukcija (IeM) (projekta īstenošana apturēta, tiek vērtēts IeM valdījumā esošo NĪ objektu izmantošanas efektivitāte un lietderība).</w:t>
      </w:r>
    </w:p>
    <w:p w14:paraId="1C6BD4FF" w14:textId="77777777" w:rsidR="00BA5347" w:rsidRPr="00BA5347" w:rsidRDefault="00BA5347" w:rsidP="00647C1A">
      <w:pPr>
        <w:spacing w:after="120" w:line="254" w:lineRule="auto"/>
        <w:ind w:firstLine="720"/>
        <w:jc w:val="both"/>
        <w:rPr>
          <w:rFonts w:cs="Times New Roman"/>
        </w:rPr>
      </w:pPr>
      <w:r w:rsidRPr="00BA5347">
        <w:rPr>
          <w:rFonts w:cs="Times New Roman"/>
        </w:rPr>
        <w:t>No augstākminētajiem piemēriem, šobrīd tikai viens projekts ir 3.fāzē (Iepirkuma procedūras norise), tāpēc ir vērts detalizētāk aplūkot Ķekavas apvedceļa izbūves PPP projektu.</w:t>
      </w:r>
    </w:p>
    <w:p w14:paraId="6FD6F0CF" w14:textId="77777777" w:rsidR="00BA5347" w:rsidRPr="00BA5347" w:rsidRDefault="00BA5347" w:rsidP="00BA5347">
      <w:pPr>
        <w:spacing w:before="320" w:after="120" w:line="254" w:lineRule="auto"/>
        <w:rPr>
          <w:rFonts w:cs="Times New Roman"/>
          <w:b/>
        </w:rPr>
      </w:pPr>
      <w:bookmarkStart w:id="201" w:name="_Toc36811927"/>
      <w:r w:rsidRPr="00BA5347">
        <w:rPr>
          <w:rFonts w:cs="Times New Roman"/>
          <w:b/>
        </w:rPr>
        <w:t xml:space="preserve">Ķekavas apvedceļš </w:t>
      </w:r>
      <w:bookmarkEnd w:id="201"/>
    </w:p>
    <w:p w14:paraId="23E11B8E" w14:textId="77777777" w:rsidR="00BA5347" w:rsidRPr="00BA5347" w:rsidRDefault="00BA5347" w:rsidP="00647C1A">
      <w:pPr>
        <w:spacing w:after="120" w:line="254" w:lineRule="auto"/>
        <w:ind w:firstLine="720"/>
        <w:jc w:val="both"/>
        <w:rPr>
          <w:rFonts w:cs="Times New Roman"/>
        </w:rPr>
      </w:pPr>
      <w:r w:rsidRPr="00BA5347">
        <w:rPr>
          <w:rFonts w:cs="Times New Roman"/>
        </w:rPr>
        <w:t>Par vienu no šobrīd apspriestākajiem PPP projektiem Latvijā varētu minēt “E67/A7 Ķekavas apvedceļš” projektu, kur SM pilda publiskā partnera funkcijas. Iemesls pastiprinātai interesei par šo projektu ir fakts, ka tā izmaksas netiks iekļautas vispārējā budžeta bilancē, tādejādi atspoguļojot PPP projektu potenciālu turpmāko investīciju piesaistīšanai un valsts infrastruktūras attīstībai.</w:t>
      </w:r>
    </w:p>
    <w:p w14:paraId="0DEACEDC" w14:textId="77777777" w:rsidR="00BA5347" w:rsidRPr="00BA5347" w:rsidRDefault="00BA5347" w:rsidP="00647C1A">
      <w:pPr>
        <w:spacing w:after="120" w:line="254" w:lineRule="auto"/>
        <w:jc w:val="both"/>
        <w:rPr>
          <w:rFonts w:cs="Times New Roman"/>
        </w:rPr>
      </w:pPr>
      <w:r w:rsidRPr="00BA5347">
        <w:rPr>
          <w:rFonts w:cs="Times New Roman"/>
        </w:rPr>
        <w:tab/>
        <w:t>Kā šī projekta sākuma punktu var fiksēt 2013. gada 12. jūnija SM iesniegto lēmumu Nr.01-24/1 par FEA izstrādi. Šobrīd projekts ir gala fāzē, respektīvi, tiek vērtēti iepirkumā iesniegtie piedāvājumi. Tuvākajā laikā, tiks pieņemts lēmums par pretendentu, kuram tiks piešķirtas līguma slēgšanas tiesības. Atbilstoši MK 2016. gada 10. marta rīkojuma Nr. 172 “Par valsts galvenā autoceļa projekta “E67/A7 Ķekavas apvedceļš” publiskās un privātās partnerības iepirkuma procedūras uzsākšanu” 8.punktam, SM pirms partnerības līguma noslēgšanas MK ir jāiesniedz informatīvais ziņojums.</w:t>
      </w:r>
    </w:p>
    <w:p w14:paraId="040E9136" w14:textId="77777777" w:rsidR="00BA5347" w:rsidRPr="00BA5347" w:rsidRDefault="00BA5347" w:rsidP="00647C1A">
      <w:pPr>
        <w:spacing w:after="120" w:line="254" w:lineRule="auto"/>
        <w:jc w:val="both"/>
        <w:rPr>
          <w:rFonts w:cs="Times New Roman"/>
        </w:rPr>
      </w:pPr>
      <w:r w:rsidRPr="00BA5347">
        <w:rPr>
          <w:rFonts w:cs="Times New Roman"/>
        </w:rPr>
        <w:t>Ķekavas apvedceļa projekta specifikācijas</w:t>
      </w:r>
      <w:r w:rsidRPr="00BA5347">
        <w:rPr>
          <w:rFonts w:cs="Times New Roman"/>
          <w:sz w:val="20"/>
          <w:vertAlign w:val="superscript"/>
        </w:rPr>
        <w:footnoteReference w:id="41"/>
      </w:r>
      <w:r w:rsidRPr="00BA5347">
        <w:rPr>
          <w:rFonts w:cs="Times New Roman"/>
        </w:rPr>
        <w:t>:</w:t>
      </w:r>
    </w:p>
    <w:p w14:paraId="3DE57C70"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 xml:space="preserve">Kopējais Ķekavas apvedceļa garums plānots </w:t>
      </w:r>
      <w:r w:rsidRPr="00BA5347">
        <w:rPr>
          <w:rFonts w:cs="Times New Roman"/>
          <w:b/>
        </w:rPr>
        <w:t>17,5 km</w:t>
      </w:r>
      <w:r w:rsidRPr="00BA5347">
        <w:rPr>
          <w:rFonts w:cs="Times New Roman"/>
        </w:rPr>
        <w:t>, t.sk., jauna ātrgaitas ceļa posma izbūve – 14,4 km un esošā ceļa rekonstrukcija – 3,1 km. 11,1 km plānoti kā četru joslu brauktuve, bet 6,4 km – brauktuve ar divām joslām. Projekts ietver arī četrus divlīmeņu krustojumus, četrus tuneļus, vienu tiltu, septiņus rotācijas apļus un paralēlos ceļus 14,4 km garumā;</w:t>
      </w:r>
    </w:p>
    <w:p w14:paraId="27E3BAE4"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 xml:space="preserve">Projekta ilgums: </w:t>
      </w:r>
      <w:r w:rsidRPr="00BA5347">
        <w:rPr>
          <w:rFonts w:cs="Times New Roman"/>
          <w:b/>
        </w:rPr>
        <w:t>23 gadi</w:t>
      </w:r>
      <w:r w:rsidRPr="00BA5347">
        <w:rPr>
          <w:rFonts w:cs="Times New Roman"/>
        </w:rPr>
        <w:t xml:space="preserve"> (3 gadi būvniecība, 20 gadi uzturēšana)</w:t>
      </w:r>
    </w:p>
    <w:p w14:paraId="66858D60"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 xml:space="preserve">Aplēstais kopējo investīciju apjoms – </w:t>
      </w:r>
      <w:r w:rsidRPr="00BA5347">
        <w:rPr>
          <w:rFonts w:cs="Times New Roman"/>
          <w:b/>
        </w:rPr>
        <w:t xml:space="preserve">160,6 milj. </w:t>
      </w:r>
      <w:r w:rsidRPr="00BA5347">
        <w:rPr>
          <w:rFonts w:cs="Times New Roman"/>
          <w:b/>
          <w:i/>
        </w:rPr>
        <w:t>euro</w:t>
      </w:r>
      <w:r w:rsidRPr="00BA5347">
        <w:rPr>
          <w:rFonts w:cs="Times New Roman"/>
        </w:rPr>
        <w:t>;</w:t>
      </w:r>
    </w:p>
    <w:p w14:paraId="2C8D7FD5"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 xml:space="preserve">Līguma veids: </w:t>
      </w:r>
      <w:r w:rsidRPr="00BA5347">
        <w:rPr>
          <w:rFonts w:cs="Times New Roman"/>
          <w:b/>
        </w:rPr>
        <w:t>partnerības līgums; DBFM</w:t>
      </w:r>
      <w:r w:rsidRPr="00BA5347">
        <w:rPr>
          <w:rFonts w:cs="Times New Roman"/>
        </w:rPr>
        <w:t xml:space="preserve"> (</w:t>
      </w:r>
      <w:r w:rsidRPr="00BA5347">
        <w:rPr>
          <w:rFonts w:cs="Times New Roman"/>
          <w:i/>
        </w:rPr>
        <w:t>design, build, finance, maintain – projektēt, būvēt, finansēt, uzturēt</w:t>
      </w:r>
      <w:r w:rsidRPr="00BA5347">
        <w:rPr>
          <w:rFonts w:cs="Times New Roman"/>
        </w:rPr>
        <w:t>);</w:t>
      </w:r>
    </w:p>
    <w:p w14:paraId="4B6DCDB1"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 xml:space="preserve">Publiskā partnera maksājumu veids: </w:t>
      </w:r>
      <w:r w:rsidRPr="00BA5347">
        <w:rPr>
          <w:rFonts w:cs="Times New Roman"/>
          <w:b/>
        </w:rPr>
        <w:t>pieejamības maksājumi</w:t>
      </w:r>
    </w:p>
    <w:p w14:paraId="4E78EBCC" w14:textId="77777777" w:rsidR="00BA5347" w:rsidRPr="00BA5347" w:rsidRDefault="00BA5347" w:rsidP="00647C1A">
      <w:pPr>
        <w:numPr>
          <w:ilvl w:val="0"/>
          <w:numId w:val="3"/>
        </w:numPr>
        <w:spacing w:after="120" w:line="254" w:lineRule="auto"/>
        <w:jc w:val="both"/>
        <w:rPr>
          <w:rFonts w:cs="Times New Roman"/>
        </w:rPr>
      </w:pPr>
      <w:r w:rsidRPr="00BA5347">
        <w:rPr>
          <w:rFonts w:cs="Times New Roman"/>
        </w:rPr>
        <w:t xml:space="preserve">Uzskaite budžeta bilancē: </w:t>
      </w:r>
      <w:r w:rsidRPr="00BA5347">
        <w:rPr>
          <w:rFonts w:cs="Times New Roman"/>
          <w:b/>
        </w:rPr>
        <w:t>ārpus bilances</w:t>
      </w:r>
    </w:p>
    <w:p w14:paraId="0FFACB8D" w14:textId="77777777" w:rsidR="00BA5347" w:rsidRPr="00BA5347" w:rsidRDefault="00BA5347" w:rsidP="00647C1A">
      <w:pPr>
        <w:spacing w:after="120" w:line="254" w:lineRule="auto"/>
        <w:jc w:val="both"/>
        <w:rPr>
          <w:rFonts w:cs="Times New Roman"/>
        </w:rPr>
      </w:pPr>
      <w:r w:rsidRPr="00BA5347">
        <w:rPr>
          <w:rFonts w:cs="Times New Roman"/>
        </w:rPr>
        <w:t>PPP modeļa izvēles priekšnosacījumi</w:t>
      </w:r>
    </w:p>
    <w:p w14:paraId="235F9CEB" w14:textId="77777777" w:rsidR="00BA5347" w:rsidRPr="00BA5347" w:rsidRDefault="00BA5347" w:rsidP="00647C1A">
      <w:pPr>
        <w:spacing w:after="120" w:line="254" w:lineRule="auto"/>
        <w:ind w:firstLine="720"/>
        <w:jc w:val="both"/>
        <w:rPr>
          <w:rFonts w:cs="Times New Roman"/>
        </w:rPr>
      </w:pPr>
      <w:r w:rsidRPr="00BA5347">
        <w:rPr>
          <w:rFonts w:cs="Times New Roman"/>
        </w:rPr>
        <w:t>PPP izvēlēts kā piemērotākais risinājums, pamatojoties uz sekojošiem kritērijiem</w:t>
      </w:r>
      <w:r w:rsidRPr="00BA5347">
        <w:rPr>
          <w:rFonts w:cs="Times New Roman"/>
          <w:sz w:val="20"/>
          <w:vertAlign w:val="superscript"/>
        </w:rPr>
        <w:footnoteReference w:id="42"/>
      </w:r>
      <w:r w:rsidRPr="00BA5347">
        <w:rPr>
          <w:rFonts w:cs="Times New Roman"/>
        </w:rPr>
        <w:t>:</w:t>
      </w:r>
    </w:p>
    <w:p w14:paraId="26139BCB" w14:textId="77777777" w:rsidR="00BA5347" w:rsidRPr="00BA5347" w:rsidRDefault="00BA5347" w:rsidP="00647C1A">
      <w:pPr>
        <w:numPr>
          <w:ilvl w:val="0"/>
          <w:numId w:val="3"/>
        </w:numPr>
        <w:spacing w:after="120" w:line="254" w:lineRule="auto"/>
        <w:ind w:left="1077" w:hanging="357"/>
        <w:jc w:val="both"/>
        <w:rPr>
          <w:rFonts w:cs="Times New Roman"/>
        </w:rPr>
      </w:pPr>
      <w:r w:rsidRPr="00BA5347">
        <w:rPr>
          <w:rFonts w:cs="Times New Roman"/>
        </w:rPr>
        <w:lastRenderedPageBreak/>
        <w:t>privātā sektora (būvniecības uzņēmumi, bankas u.c.) iesaiste publisko pakalpojumu nodrošināšanā (šajā gadījumā – publiskais partneris jeb pasūtītājs ir SM);</w:t>
      </w:r>
    </w:p>
    <w:p w14:paraId="594C8BF8" w14:textId="77777777" w:rsidR="00BA5347" w:rsidRPr="00BA5347" w:rsidRDefault="00BA5347" w:rsidP="00647C1A">
      <w:pPr>
        <w:numPr>
          <w:ilvl w:val="0"/>
          <w:numId w:val="3"/>
        </w:numPr>
        <w:spacing w:after="120" w:line="254" w:lineRule="auto"/>
        <w:ind w:left="1077" w:hanging="357"/>
        <w:jc w:val="both"/>
        <w:rPr>
          <w:rFonts w:cs="Times New Roman"/>
        </w:rPr>
      </w:pPr>
      <w:r w:rsidRPr="00BA5347">
        <w:rPr>
          <w:rFonts w:cs="Times New Roman"/>
        </w:rPr>
        <w:t>efektīvs veids kā piesaistīt finansējumu un nodrošināt projekta īstenošanu iespējami īsā laikā, kā arī abpusējs finansiāls izdevīgums;</w:t>
      </w:r>
    </w:p>
    <w:p w14:paraId="68A27F09" w14:textId="77777777" w:rsidR="00BA5347" w:rsidRPr="00BA5347" w:rsidRDefault="00BA5347" w:rsidP="00647C1A">
      <w:pPr>
        <w:numPr>
          <w:ilvl w:val="0"/>
          <w:numId w:val="3"/>
        </w:numPr>
        <w:spacing w:after="120" w:line="254" w:lineRule="auto"/>
        <w:ind w:left="1077" w:hanging="357"/>
        <w:jc w:val="both"/>
        <w:rPr>
          <w:rFonts w:cs="Times New Roman"/>
        </w:rPr>
      </w:pPr>
      <w:r w:rsidRPr="00BA5347">
        <w:rPr>
          <w:rFonts w:cs="Times New Roman"/>
        </w:rPr>
        <w:t>optimāls risku sadalījums starp partneriem;</w:t>
      </w:r>
    </w:p>
    <w:p w14:paraId="4EBA51A5" w14:textId="0FAFA444" w:rsidR="00647C1A" w:rsidRPr="00647C1A" w:rsidRDefault="00BA5347" w:rsidP="00647C1A">
      <w:pPr>
        <w:numPr>
          <w:ilvl w:val="0"/>
          <w:numId w:val="3"/>
        </w:numPr>
        <w:spacing w:after="120" w:line="254" w:lineRule="auto"/>
        <w:ind w:left="1077" w:hanging="357"/>
        <w:jc w:val="both"/>
        <w:rPr>
          <w:rFonts w:cs="Times New Roman"/>
        </w:rPr>
      </w:pPr>
      <w:r w:rsidRPr="00BA5347">
        <w:rPr>
          <w:rFonts w:cs="Times New Roman"/>
        </w:rPr>
        <w:t>iespēja izmantot jaunas tehnoloģijas un inovatīvus risinājumus.</w:t>
      </w:r>
    </w:p>
    <w:p w14:paraId="6D1B4B36" w14:textId="03898B86" w:rsidR="00BA5347" w:rsidRPr="00647C1A" w:rsidRDefault="00BA5347" w:rsidP="00647C1A">
      <w:pPr>
        <w:spacing w:after="120" w:line="254" w:lineRule="auto"/>
        <w:jc w:val="both"/>
        <w:rPr>
          <w:rFonts w:cs="Times New Roman"/>
        </w:rPr>
      </w:pPr>
      <w:r w:rsidRPr="00647C1A">
        <w:rPr>
          <w:rFonts w:cs="Times New Roman"/>
        </w:rPr>
        <w:t>PPP modeļa raksturojums</w:t>
      </w:r>
    </w:p>
    <w:p w14:paraId="4B2137B9" w14:textId="77777777" w:rsidR="00BA5347" w:rsidRPr="00BA5347" w:rsidRDefault="00BA5347" w:rsidP="00647C1A">
      <w:pPr>
        <w:spacing w:after="120" w:line="254" w:lineRule="auto"/>
        <w:ind w:firstLine="720"/>
        <w:jc w:val="both"/>
        <w:rPr>
          <w:rFonts w:cs="Times New Roman"/>
        </w:rPr>
      </w:pPr>
      <w:r w:rsidRPr="00BA5347">
        <w:rPr>
          <w:rFonts w:cs="Times New Roman"/>
        </w:rPr>
        <w:t>2020.gada 11.augusta MK sēdē tika izskatīts informatīvais ziņojums "Par valsts galvenā autoceļa "E67/A7 Ķekavas apvedceļš" publiskās un privātās partnerības projektu un tā īstenošanai nepieciešamā finansējuma nodrošināšanu" kā arī rīkojuma projekts "Par Satiksmes ministrijas ilgtermiņa saistībām valsts galvenā autoceļa "E67/A7 Ķekavas apvedceļš" publiskās un privātās partnerības projekta īstenošanai". Minētā PPP projekta ietvaros norit pretendentu piedāvājumu vērtēšana. Ņemot vērā iepriekšminēto, vēl nav skaidra projekta finansēšanas struktūra. Pastāv iespēja, ka daļa no investīcijām tiks piesaistīta ar Eiropas investīciju bankas un/vai Ziemeļu investīciju banka starpniecību. Neatkarīgi no tā, projekta finansējuma riski ir paredzēti privātā partnera pusē, kas nozīmētu ārpusbilances uzskaiti publiskajam partnerim – SM.</w:t>
      </w:r>
    </w:p>
    <w:p w14:paraId="54639DA1" w14:textId="77777777" w:rsidR="00BA5347" w:rsidRPr="00BA5347" w:rsidRDefault="00BA5347" w:rsidP="00647C1A">
      <w:pPr>
        <w:spacing w:after="120" w:line="254" w:lineRule="auto"/>
        <w:ind w:firstLine="720"/>
        <w:jc w:val="both"/>
        <w:rPr>
          <w:rFonts w:cs="Times New Roman"/>
        </w:rPr>
      </w:pPr>
      <w:r w:rsidRPr="00BA5347">
        <w:rPr>
          <w:rFonts w:cs="Times New Roman"/>
        </w:rPr>
        <w:t xml:space="preserve">Ir vērts pieminēt, ka 2018. gada pavasarī Rīgā notika PPP projekta “Ķekavas apvedceļš” </w:t>
      </w:r>
      <w:r w:rsidRPr="00BA5347">
        <w:rPr>
          <w:rFonts w:cs="Times New Roman"/>
          <w:i/>
        </w:rPr>
        <w:t>atvērto durvju dienas</w:t>
      </w:r>
      <w:r w:rsidRPr="00BA5347">
        <w:rPr>
          <w:rFonts w:cs="Times New Roman"/>
        </w:rPr>
        <w:t>, organizējot pasākumu kā individuālas jautājumu – atbilžu sesijas, atbildot uz interesentu jautājumiem par Iepirkumu, kvalifikācijas un līguma piešķiršanas kritērijiem</w:t>
      </w:r>
      <w:r w:rsidRPr="00BA5347">
        <w:rPr>
          <w:rFonts w:cs="Times New Roman"/>
          <w:sz w:val="20"/>
          <w:vertAlign w:val="superscript"/>
        </w:rPr>
        <w:footnoteReference w:id="43"/>
      </w:r>
      <w:r w:rsidRPr="00BA5347">
        <w:rPr>
          <w:rFonts w:cs="Times New Roman"/>
        </w:rPr>
        <w:t>.</w:t>
      </w:r>
    </w:p>
    <w:p w14:paraId="0CA31923" w14:textId="77777777" w:rsidR="00BA5347" w:rsidRPr="00BA5347" w:rsidRDefault="00BA5347" w:rsidP="00647C1A">
      <w:pPr>
        <w:spacing w:after="120" w:line="254" w:lineRule="auto"/>
        <w:ind w:firstLine="720"/>
        <w:jc w:val="both"/>
        <w:rPr>
          <w:rFonts w:cs="Times New Roman"/>
        </w:rPr>
      </w:pPr>
      <w:r w:rsidRPr="00BA5347">
        <w:rPr>
          <w:rFonts w:cs="Times New Roman"/>
        </w:rPr>
        <w:t>Apkopojot pieejamo informāciju par “Ķekavas apvedceļa” projektu, tas šobrīd uzskatāmi ataino PPP projektu iespējas un potenciālu turpmāko investīciju piesaistīšanas un infrastruktūras attīstības virzienam. Respektīvi, privātais partneris uzņemas būvniecības (t.sk. projektēšanas) un pieejamības riskus kā arī ar to saistītas izmaksas (piesaista finansējumu). Publiskā partnera atbildība ir regulāri pieejamības maksājumi līguma termiņa ietvaros kā arī precīza projekta kvalitātes standartu definēšana. Pateicoties risku korektai sadalīšanai, projekta kopējās izmaksas netiks iekļautas publiskā partnera bilancē, tādejādi netiks ietekmēts budžeta deficīts.</w:t>
      </w:r>
    </w:p>
    <w:p w14:paraId="6807F98D" w14:textId="77777777" w:rsidR="00BA5347" w:rsidRPr="00BA5347" w:rsidRDefault="00BA5347" w:rsidP="00647C1A">
      <w:pPr>
        <w:spacing w:after="120" w:line="254" w:lineRule="auto"/>
        <w:rPr>
          <w:rFonts w:cs="Times New Roman"/>
          <w:b/>
        </w:rPr>
      </w:pPr>
      <w:bookmarkStart w:id="202" w:name="_Toc36811928"/>
      <w:r w:rsidRPr="00BA5347">
        <w:rPr>
          <w:rFonts w:cs="Times New Roman"/>
          <w:b/>
        </w:rPr>
        <w:t>Starptautiskā pieredze</w:t>
      </w:r>
      <w:bookmarkEnd w:id="202"/>
    </w:p>
    <w:p w14:paraId="14FD8C03" w14:textId="77777777" w:rsidR="00BA5347" w:rsidRPr="00BA5347" w:rsidRDefault="00BA5347" w:rsidP="00647C1A">
      <w:pPr>
        <w:spacing w:after="120" w:line="254" w:lineRule="auto"/>
        <w:ind w:firstLine="720"/>
        <w:jc w:val="both"/>
        <w:rPr>
          <w:rFonts w:cs="Times New Roman"/>
        </w:rPr>
      </w:pPr>
      <w:r w:rsidRPr="00BA5347">
        <w:rPr>
          <w:rFonts w:cs="Times New Roman"/>
        </w:rPr>
        <w:t>Eiropā un pasaulē PPP jēdziens, neapšaubāmi nav svešs. Valstis izmanto šo projektu priekšrocības, lai piesaistītu investīcijas un attīstītu infrastruktūru, celtu jaunas sabiedriskās ēkas un nodrošinātu sabiedrībai pieejamus pakalpojumus.</w:t>
      </w:r>
    </w:p>
    <w:p w14:paraId="5DF1173F" w14:textId="77777777" w:rsidR="00BA5347" w:rsidRPr="00BA5347" w:rsidRDefault="00BA5347" w:rsidP="00647C1A">
      <w:pPr>
        <w:spacing w:after="120" w:line="254" w:lineRule="auto"/>
        <w:ind w:firstLine="720"/>
        <w:jc w:val="both"/>
        <w:rPr>
          <w:rFonts w:cs="Times New Roman"/>
        </w:rPr>
      </w:pPr>
      <w:r w:rsidRPr="00BA5347">
        <w:rPr>
          <w:rFonts w:cs="Times New Roman"/>
        </w:rPr>
        <w:t xml:space="preserve">Arī ES ietvaros PPP projektiem tiek pievērsta aizvien lielāka uzmanība. Kā jau minēts iepriekš, ir publicētas vadlīnijas PPP projektu koordinēšanai un uzskaitei. Kopš 20. gadsimta deviņdesmitajiem gadiem finanšu izpilde ES ir panākta 1 749 PPP projektos ar kopējo vērtību 336 miljardi </w:t>
      </w:r>
      <w:r w:rsidRPr="00BA5347">
        <w:rPr>
          <w:rFonts w:cs="Times New Roman"/>
          <w:i/>
        </w:rPr>
        <w:t>euro</w:t>
      </w:r>
      <w:r w:rsidRPr="00BA5347">
        <w:rPr>
          <w:rFonts w:cs="Times New Roman"/>
        </w:rPr>
        <w:t>. Lielākā daļa PPP ir īstenota transporta jomā, kurai 2016. gadā bija novirzīta viena trešdaļa no visa gada ieguldījumiem, apsteidzot veselības aprūpi un izglītību</w:t>
      </w:r>
      <w:r w:rsidRPr="00BA5347">
        <w:rPr>
          <w:rFonts w:cs="Times New Roman"/>
          <w:sz w:val="20"/>
          <w:vertAlign w:val="superscript"/>
        </w:rPr>
        <w:footnoteReference w:id="44"/>
      </w:r>
      <w:r w:rsidRPr="00BA5347">
        <w:rPr>
          <w:rFonts w:cs="Times New Roman"/>
        </w:rPr>
        <w:t>.</w:t>
      </w:r>
    </w:p>
    <w:p w14:paraId="0515A2A8" w14:textId="77777777" w:rsidR="00BA5347" w:rsidRPr="00BA5347" w:rsidRDefault="00BA5347" w:rsidP="00647C1A">
      <w:pPr>
        <w:spacing w:after="120" w:line="254" w:lineRule="auto"/>
        <w:ind w:firstLine="720"/>
        <w:jc w:val="both"/>
        <w:rPr>
          <w:rFonts w:cs="Times New Roman"/>
        </w:rPr>
      </w:pPr>
      <w:r w:rsidRPr="00BA5347">
        <w:rPr>
          <w:rFonts w:cs="Times New Roman"/>
        </w:rPr>
        <w:lastRenderedPageBreak/>
        <w:t xml:space="preserve">ES instrumentu klāstā ir iespējas PPP projektus daļēji arī finansēt no ES struktūrfondu un Kohēzijas fonda dotācijas. Tomēr līdz šim PPP ir izmantots neliels apjoms ES līdzekļu. Lai gan EK politika pēdējos gados ir rosinājusi PPP izmantošanu (piemēram, stratēģijā “Eiropa 2020”) kā potenciāli efektīvu veidu projektu īstenošanai, statistika liecina, ka 2000.– 2014. gada periodā tikai 84 PPP projekti, kuru kopējās projektu izmaksas bijušas 29,2 miljardi </w:t>
      </w:r>
      <w:r w:rsidRPr="00BA5347">
        <w:rPr>
          <w:rFonts w:cs="Times New Roman"/>
          <w:i/>
        </w:rPr>
        <w:t>euro</w:t>
      </w:r>
      <w:r w:rsidRPr="00BA5347">
        <w:rPr>
          <w:rFonts w:cs="Times New Roman"/>
        </w:rPr>
        <w:t xml:space="preserve">, saņēma ES finansējumu 5,6 miljardu </w:t>
      </w:r>
      <w:r w:rsidRPr="00BA5347">
        <w:rPr>
          <w:rFonts w:cs="Times New Roman"/>
          <w:i/>
        </w:rPr>
        <w:t>euro</w:t>
      </w:r>
      <w:r w:rsidRPr="00BA5347">
        <w:rPr>
          <w:rFonts w:cs="Times New Roman"/>
        </w:rPr>
        <w:t xml:space="preserve"> apmērā</w:t>
      </w:r>
      <w:r w:rsidRPr="00BA5347">
        <w:rPr>
          <w:rFonts w:cs="Times New Roman"/>
          <w:vertAlign w:val="superscript"/>
        </w:rPr>
        <w:footnoteReference w:id="45"/>
      </w:r>
      <w:r w:rsidRPr="00BA5347">
        <w:rPr>
          <w:rFonts w:cs="Times New Roman"/>
        </w:rPr>
        <w:t>.</w:t>
      </w:r>
      <w:bookmarkStart w:id="203" w:name="_Ref45632450"/>
      <w:bookmarkStart w:id="204" w:name="_Ref46411365"/>
    </w:p>
    <w:p w14:paraId="2A0DC78C" w14:textId="5DC6992E" w:rsidR="00BA5347" w:rsidRPr="00BA5347" w:rsidRDefault="00BA5347" w:rsidP="00BA5347">
      <w:pPr>
        <w:spacing w:before="120" w:after="120" w:line="240" w:lineRule="auto"/>
        <w:jc w:val="right"/>
        <w:rPr>
          <w:rFonts w:cs="Times New Roman"/>
          <w:b/>
          <w:iCs/>
          <w:szCs w:val="20"/>
        </w:rPr>
      </w:pPr>
      <w:bookmarkStart w:id="205" w:name="_Ref47964299"/>
      <w:r w:rsidRPr="00BA5347">
        <w:rPr>
          <w:iCs/>
          <w:szCs w:val="18"/>
        </w:rPr>
        <w:t xml:space="preserve">Attēls Nr. </w:t>
      </w:r>
      <w:r w:rsidRPr="00BA5347">
        <w:rPr>
          <w:iCs/>
          <w:szCs w:val="18"/>
        </w:rPr>
        <w:fldChar w:fldCharType="begin"/>
      </w:r>
      <w:r w:rsidRPr="00BA5347">
        <w:rPr>
          <w:iCs/>
          <w:szCs w:val="18"/>
        </w:rPr>
        <w:instrText xml:space="preserve"> SEQ Attēls_Nr. \* ARABIC </w:instrText>
      </w:r>
      <w:r w:rsidRPr="00BA5347">
        <w:rPr>
          <w:iCs/>
          <w:szCs w:val="18"/>
        </w:rPr>
        <w:fldChar w:fldCharType="separate"/>
      </w:r>
      <w:r w:rsidR="00D96F20">
        <w:rPr>
          <w:iCs/>
          <w:noProof/>
          <w:szCs w:val="18"/>
        </w:rPr>
        <w:t>77</w:t>
      </w:r>
      <w:r w:rsidRPr="00BA5347">
        <w:rPr>
          <w:iCs/>
          <w:noProof/>
          <w:szCs w:val="18"/>
        </w:rPr>
        <w:fldChar w:fldCharType="end"/>
      </w:r>
      <w:bookmarkEnd w:id="203"/>
      <w:bookmarkEnd w:id="204"/>
      <w:bookmarkEnd w:id="205"/>
    </w:p>
    <w:p w14:paraId="6DAD0865" w14:textId="77777777" w:rsidR="00BA5347" w:rsidRPr="00BA5347" w:rsidRDefault="00BA5347" w:rsidP="00BA5347">
      <w:pPr>
        <w:spacing w:after="120" w:line="254" w:lineRule="auto"/>
        <w:jc w:val="center"/>
        <w:rPr>
          <w:rFonts w:cs="Times New Roman"/>
          <w:b/>
          <w:szCs w:val="20"/>
        </w:rPr>
      </w:pPr>
      <w:r w:rsidRPr="00BA5347">
        <w:rPr>
          <w:rFonts w:cs="Times New Roman"/>
          <w:b/>
          <w:szCs w:val="20"/>
        </w:rPr>
        <w:t>Eiropas PPP tirgus dinamika pēc kopējās noslēgto līgumu vērtības un projektu skaita (2010 gads – 2019.gads)</w:t>
      </w:r>
      <w:r w:rsidRPr="00BA5347">
        <w:rPr>
          <w:rFonts w:cs="Times New Roman"/>
          <w:b/>
          <w:sz w:val="20"/>
          <w:szCs w:val="20"/>
          <w:vertAlign w:val="superscript"/>
        </w:rPr>
        <w:footnoteReference w:id="46"/>
      </w:r>
    </w:p>
    <w:p w14:paraId="2227EFEC" w14:textId="77777777" w:rsidR="00BA5347" w:rsidRPr="00BA5347" w:rsidRDefault="00BA5347" w:rsidP="00BA5347">
      <w:pPr>
        <w:spacing w:after="120" w:line="254" w:lineRule="auto"/>
        <w:jc w:val="center"/>
        <w:rPr>
          <w:rFonts w:cs="Times New Roman"/>
          <w:b/>
          <w:sz w:val="32"/>
          <w:highlight w:val="yellow"/>
        </w:rPr>
      </w:pPr>
      <w:r w:rsidRPr="00BA5347">
        <w:rPr>
          <w:noProof/>
          <w:lang w:eastAsia="lv-LV"/>
        </w:rPr>
        <w:drawing>
          <wp:inline distT="0" distB="0" distL="0" distR="0" wp14:anchorId="6FF5491E" wp14:editId="3002F75D">
            <wp:extent cx="5067300" cy="2846567"/>
            <wp:effectExtent l="0" t="0" r="0" b="114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712BF37E" w14:textId="5C3A6AAC" w:rsidR="00BA5347" w:rsidRPr="00BA5347" w:rsidRDefault="00BA5347" w:rsidP="00647C1A">
      <w:pPr>
        <w:spacing w:after="120" w:line="254" w:lineRule="auto"/>
        <w:ind w:firstLine="720"/>
        <w:jc w:val="both"/>
        <w:rPr>
          <w:rFonts w:cs="Times New Roman"/>
          <w:iCs/>
          <w:szCs w:val="18"/>
        </w:rPr>
      </w:pPr>
      <w:r w:rsidRPr="00BA5347">
        <w:rPr>
          <w:rFonts w:cs="Times New Roman"/>
          <w:iCs/>
          <w:szCs w:val="18"/>
        </w:rPr>
        <w:t>Aplūkojot ES statistiku PPP projektu aktivitātē (</w:t>
      </w:r>
      <w:r w:rsidRPr="00BA5347">
        <w:rPr>
          <w:rFonts w:cs="Times New Roman"/>
          <w:iCs/>
          <w:szCs w:val="18"/>
        </w:rPr>
        <w:fldChar w:fldCharType="begin"/>
      </w:r>
      <w:r w:rsidRPr="00BA5347">
        <w:rPr>
          <w:rFonts w:cs="Times New Roman"/>
          <w:iCs/>
          <w:szCs w:val="18"/>
        </w:rPr>
        <w:instrText xml:space="preserve"> REF _Ref47964299 \h </w:instrText>
      </w:r>
      <w:r w:rsidRPr="00BA5347">
        <w:rPr>
          <w:rFonts w:cs="Times New Roman"/>
          <w:iCs/>
          <w:szCs w:val="18"/>
        </w:rPr>
      </w:r>
      <w:r w:rsidRPr="00BA5347">
        <w:rPr>
          <w:rFonts w:cs="Times New Roman"/>
          <w:iCs/>
          <w:szCs w:val="18"/>
        </w:rPr>
        <w:fldChar w:fldCharType="separate"/>
      </w:r>
      <w:r w:rsidR="00D96F20" w:rsidRPr="00BA5347">
        <w:rPr>
          <w:iCs/>
          <w:szCs w:val="18"/>
        </w:rPr>
        <w:t xml:space="preserve">Attēls Nr. </w:t>
      </w:r>
      <w:r w:rsidR="00D96F20">
        <w:rPr>
          <w:iCs/>
          <w:noProof/>
          <w:szCs w:val="18"/>
        </w:rPr>
        <w:t>77</w:t>
      </w:r>
      <w:r w:rsidRPr="00BA5347">
        <w:rPr>
          <w:rFonts w:cs="Times New Roman"/>
          <w:iCs/>
          <w:szCs w:val="18"/>
        </w:rPr>
        <w:fldChar w:fldCharType="end"/>
      </w:r>
      <w:r w:rsidRPr="00BA5347">
        <w:rPr>
          <w:rFonts w:cs="Times New Roman"/>
          <w:iCs/>
          <w:szCs w:val="18"/>
        </w:rPr>
        <w:t>), ir skaidri redzams, ka attieksme pret šāda tipa sadarbībām ES mērogā ir samērā neviennozīmīga. 2019. gadā deviņas ES valstis noslēdza vismaz 1 PPP līgumu (2018.gadā – tāpat kā 2019. gadā), savukārt, 7 valstis noslēdza vismaz 2 PPP līgumus (2018. gadā – 5 valstis vismaz 2 PPP līgumus). Aktīvākās valstis noslēgto līgumu skaitā - Lielbritānija un Francija.</w:t>
      </w:r>
    </w:p>
    <w:p w14:paraId="529CE20D" w14:textId="266E069B" w:rsidR="00BA5347" w:rsidRDefault="00BA5347" w:rsidP="00647C1A">
      <w:pPr>
        <w:spacing w:after="120" w:line="254" w:lineRule="auto"/>
        <w:ind w:firstLine="720"/>
        <w:jc w:val="both"/>
        <w:rPr>
          <w:rFonts w:cs="Times New Roman"/>
        </w:rPr>
      </w:pPr>
      <w:r w:rsidRPr="00BA5347">
        <w:rPr>
          <w:rFonts w:cs="Times New Roman"/>
        </w:rPr>
        <w:t>Ņemot vērā iepriekšminēto valstu atšķirību īstenoto PPP projektu apmēriem no Latvijas PPP projektu apmēriem, turpmākai tēmas analīzei tika izvēlētas Latvijas kaimiņu valstis – Lietuva, Igaunija un Polija.</w:t>
      </w:r>
      <w:bookmarkStart w:id="206" w:name="_Toc36811929"/>
    </w:p>
    <w:p w14:paraId="4B2CFB1E" w14:textId="6CD8C224" w:rsidR="00BA5347" w:rsidRPr="00BA5347" w:rsidRDefault="00BA5347" w:rsidP="00647C1A">
      <w:pPr>
        <w:spacing w:after="120"/>
        <w:jc w:val="both"/>
        <w:rPr>
          <w:rFonts w:cs="Times New Roman"/>
        </w:rPr>
      </w:pPr>
      <w:r w:rsidRPr="00BA5347">
        <w:rPr>
          <w:rFonts w:cs="Times New Roman"/>
          <w:b/>
        </w:rPr>
        <w:t>Lietuva</w:t>
      </w:r>
      <w:bookmarkEnd w:id="206"/>
    </w:p>
    <w:p w14:paraId="17AA89C3" w14:textId="77777777" w:rsidR="00BA5347" w:rsidRPr="00BA5347" w:rsidRDefault="00BA5347" w:rsidP="00BA5347">
      <w:pPr>
        <w:spacing w:after="120"/>
        <w:jc w:val="both"/>
        <w:rPr>
          <w:rFonts w:cs="Times New Roman"/>
        </w:rPr>
      </w:pPr>
      <w:r w:rsidRPr="00BA5347">
        <w:rPr>
          <w:rFonts w:cs="Times New Roman"/>
        </w:rPr>
        <w:tab/>
        <w:t xml:space="preserve">Lietuvas pieeja PPP projektiem ir samērā līdzīga Latvijas pamatprincipiem. Centrālā projektu vadības aģentūra (CPVA) veic PPP Kompetences centra funkcijas un palīdz Lietuvā radīt tiesiskus, administratīvus un institucionālus apstākļus, kas nepieciešami efektīvas PPP partnerības izveidošanai. CPVA organizē arī apmācības šajā jomā valsts pārvaldes iestādēm, uzsākot un īstenojot PPP projektus. PPP Kompetences centrs ir izveidots projekta “Publiskās </w:t>
      </w:r>
      <w:r w:rsidRPr="00BA5347">
        <w:rPr>
          <w:rFonts w:cs="Times New Roman"/>
        </w:rPr>
        <w:lastRenderedPageBreak/>
        <w:t>un privātās partnerības veicināšana” ietvaros, kas tiek īstenots kopā ar Lietuvas FM un tiek finansēts no ES struktūrfondiem.</w:t>
      </w:r>
      <w:r w:rsidRPr="00BA5347">
        <w:rPr>
          <w:rFonts w:cs="Times New Roman"/>
          <w:sz w:val="20"/>
          <w:vertAlign w:val="superscript"/>
        </w:rPr>
        <w:footnoteReference w:id="47"/>
      </w:r>
    </w:p>
    <w:p w14:paraId="0473CBD8" w14:textId="77777777" w:rsidR="00BA5347" w:rsidRPr="00BA5347" w:rsidRDefault="00BA5347" w:rsidP="00BA5347">
      <w:pPr>
        <w:spacing w:after="120"/>
        <w:jc w:val="both"/>
        <w:rPr>
          <w:rFonts w:cs="Times New Roman"/>
        </w:rPr>
      </w:pPr>
      <w:r w:rsidRPr="00BA5347">
        <w:rPr>
          <w:rFonts w:cs="Times New Roman"/>
        </w:rPr>
        <w:tab/>
        <w:t>Lietuvas FM ir atbildīga par FEA izvērtēšanu, informācijas par PPP projektu vākšanu, sistematizēšanu, glabāšanu un pārvaldību, kā arī ziņošanu valdībai par noslēgtajiem PPP līgumiem. Pie iesaistītājām institūcijām, līdzīgi kā Latvijā, pieskaitāmas arī IUB, VARAM, Lietuvas valdība un nozaru ministrijas. Lietuvas valdība pieņem gala lēmumu par katra PPP projekta īstenošanas uzsākšanu.</w:t>
      </w:r>
    </w:p>
    <w:p w14:paraId="695FD450" w14:textId="77777777" w:rsidR="00BA5347" w:rsidRPr="00BA5347" w:rsidRDefault="00BA5347" w:rsidP="00BA5347">
      <w:pPr>
        <w:spacing w:after="120" w:line="254" w:lineRule="auto"/>
        <w:jc w:val="both"/>
        <w:rPr>
          <w:rFonts w:cs="Times New Roman"/>
        </w:rPr>
      </w:pPr>
      <w:r w:rsidRPr="00BA5347">
        <w:rPr>
          <w:rFonts w:cs="Times New Roman"/>
        </w:rPr>
        <w:tab/>
        <w:t>Apkopojot pieejamo informāciju</w:t>
      </w:r>
      <w:r w:rsidRPr="00BA5347">
        <w:rPr>
          <w:rFonts w:cs="Times New Roman"/>
          <w:vertAlign w:val="superscript"/>
        </w:rPr>
        <w:footnoteReference w:id="48"/>
      </w:r>
      <w:r w:rsidRPr="00BA5347">
        <w:rPr>
          <w:rFonts w:cs="Times New Roman"/>
        </w:rPr>
        <w:t>, līdz 2018. gada 1. janvārim Lietuvā kopumā ir noslēgti 57 PPP līgumi, no kuriem 54 līgumi ir koncesijas tipa (pakalpojumu sniegšana) un 3 līgumi ir partnerības tipa.</w:t>
      </w:r>
    </w:p>
    <w:p w14:paraId="1C60FFC5" w14:textId="77777777" w:rsidR="00BA5347" w:rsidRPr="00BA5347" w:rsidRDefault="00BA5347" w:rsidP="00BA5347">
      <w:pPr>
        <w:spacing w:after="120" w:line="254" w:lineRule="auto"/>
        <w:jc w:val="both"/>
        <w:rPr>
          <w:rFonts w:cs="Times New Roman"/>
        </w:rPr>
      </w:pPr>
      <w:r w:rsidRPr="00BA5347">
        <w:rPr>
          <w:rFonts w:cs="Times New Roman"/>
        </w:rPr>
        <w:tab/>
        <w:t>Zemāk partnerības PPP līgumu detaļas:</w:t>
      </w:r>
    </w:p>
    <w:p w14:paraId="5040E1F6"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Skolas ēkas būvniecības un pārvaldīšana</w:t>
      </w:r>
      <w:r w:rsidRPr="00BA5347">
        <w:rPr>
          <w:rFonts w:cs="Times New Roman"/>
          <w:vertAlign w:val="superscript"/>
        </w:rPr>
        <w:footnoteReference w:id="49"/>
      </w:r>
      <w:r w:rsidRPr="00BA5347">
        <w:rPr>
          <w:rFonts w:cs="Times New Roman"/>
        </w:rPr>
        <w:t>, Viļņa, līguma termiņš 2010. gada jūlijs -2035. gada jūlijs (25 gadi);</w:t>
      </w:r>
    </w:p>
    <w:p w14:paraId="64297973"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Palangas apvedceļa būvniecība un uzturēšana</w:t>
      </w:r>
      <w:r w:rsidRPr="00BA5347">
        <w:rPr>
          <w:rFonts w:cs="Times New Roman"/>
          <w:vertAlign w:val="superscript"/>
        </w:rPr>
        <w:footnoteReference w:id="50"/>
      </w:r>
      <w:r w:rsidRPr="00BA5347">
        <w:rPr>
          <w:rFonts w:cs="Times New Roman"/>
        </w:rPr>
        <w:t>, Palangas reģions, līguma termiņš 2013. gada aprīlis – 2038. gada aprīlis (25 gadi);</w:t>
      </w:r>
    </w:p>
    <w:p w14:paraId="26251DE0"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Viļņas pašvaldības policijas ēkas būvniecība un pārvaldīšana</w:t>
      </w:r>
      <w:r w:rsidRPr="00BA5347">
        <w:rPr>
          <w:rFonts w:cs="Times New Roman"/>
          <w:vertAlign w:val="superscript"/>
        </w:rPr>
        <w:footnoteReference w:id="51"/>
      </w:r>
      <w:r w:rsidRPr="00BA5347">
        <w:rPr>
          <w:rFonts w:cs="Times New Roman"/>
        </w:rPr>
        <w:t>, Viļņa, līguma termiņš 2016. gada jūlijs – 2033. gada decembris (17,5 gadi).</w:t>
      </w:r>
    </w:p>
    <w:p w14:paraId="78F7DFD5" w14:textId="77777777" w:rsidR="00BA5347" w:rsidRPr="00BA5347" w:rsidRDefault="00BA5347" w:rsidP="00BA5347">
      <w:pPr>
        <w:spacing w:after="120" w:line="254" w:lineRule="auto"/>
        <w:ind w:firstLine="720"/>
        <w:jc w:val="both"/>
        <w:rPr>
          <w:rFonts w:cs="Times New Roman"/>
        </w:rPr>
      </w:pPr>
      <w:r w:rsidRPr="00BA5347">
        <w:rPr>
          <w:rFonts w:cs="Times New Roman"/>
        </w:rPr>
        <w:t xml:space="preserve">Savukārt, procesā esoši PPP projekti ietver 2 objektu izbūvi Lietuvas AiM vajadzībām, kā arī Šauļi pašvaldības policijas ēkas būvniecību un pārvaldīšanu. Kopējās iepriekšminēto projektu investīcijas sasniedz 90 milj. </w:t>
      </w:r>
      <w:r w:rsidRPr="00BA5347">
        <w:rPr>
          <w:rFonts w:cs="Times New Roman"/>
          <w:i/>
        </w:rPr>
        <w:t>euro</w:t>
      </w:r>
      <w:r w:rsidRPr="00BA5347">
        <w:rPr>
          <w:rFonts w:cs="Times New Roman"/>
        </w:rPr>
        <w:t>, kas tiks finansēti no privātā investora puses.</w:t>
      </w:r>
    </w:p>
    <w:p w14:paraId="5852D6D4" w14:textId="77777777" w:rsidR="00BA5347" w:rsidRPr="00BA5347" w:rsidRDefault="00BA5347" w:rsidP="00BA5347">
      <w:pPr>
        <w:spacing w:after="120" w:line="254" w:lineRule="auto"/>
        <w:ind w:firstLine="720"/>
        <w:jc w:val="both"/>
        <w:rPr>
          <w:rFonts w:cs="Times New Roman"/>
        </w:rPr>
      </w:pPr>
      <w:r w:rsidRPr="00BA5347">
        <w:rPr>
          <w:rFonts w:cs="Times New Roman"/>
        </w:rPr>
        <w:t>Ir vērts pieminēt, ka Lietuva 11 gadu laikā kopš PPP Kompetences centra izveidošanas 2009. gadā, ir spējusi ievērojami paātrināt PPP projektu izskatīšanu un apstiprināšanu. Šobrīd viena PPP projekta cikls līdz līguma apstiprināšanai aizņem vidēji 14 mēnešus (salīdzinot ar pirmajiem PPP līgumiem, kuru cikls ilga līdz pat 4 gadiem). Kā galvenos iemeslus efektivitātei var minēt spēcīgu PPP normatīvo bāzi, centralizētas institūcijas PPP jautājumos izveidi, individuālu pieeju katra PPP projekta potenciāla izvērtēšanai kā arī stingru politikas nostāju PPP projektu turpmākai pilnveidei, realizācijai un plašākai pielietošanai.</w:t>
      </w:r>
    </w:p>
    <w:p w14:paraId="7D0864F2" w14:textId="77777777" w:rsidR="00BA5347" w:rsidRPr="00BA5347" w:rsidRDefault="00BA5347" w:rsidP="00BA5347">
      <w:pPr>
        <w:spacing w:after="120" w:line="254" w:lineRule="auto"/>
        <w:ind w:firstLine="720"/>
        <w:jc w:val="both"/>
        <w:rPr>
          <w:rFonts w:cs="Times New Roman"/>
        </w:rPr>
      </w:pPr>
      <w:r w:rsidRPr="00BA5347">
        <w:rPr>
          <w:rFonts w:cs="Times New Roman"/>
        </w:rPr>
        <w:t xml:space="preserve">PPP potenciāls Lietuvā tiek iekļauts arī ilgtermiņa stratēģijas plānošanā valsts mērogā. Līdz ar Nacionālā attīstības plāna izveidi, PPP iespējas tiek izvirzītas kā nozīmīga daļa turpmāko 10 gadu stratēģijai. Papildus infrastruktūras attīstībai, Lietuvā PPP potenciāls tiek pētīts un īstenots arī energoefektivitātes projektos. </w:t>
      </w:r>
    </w:p>
    <w:p w14:paraId="46158143" w14:textId="77777777" w:rsidR="00BA5347" w:rsidRPr="00BA5347" w:rsidRDefault="00BA5347" w:rsidP="00647C1A">
      <w:pPr>
        <w:spacing w:before="120" w:after="120" w:line="254" w:lineRule="auto"/>
        <w:rPr>
          <w:rFonts w:cs="Times New Roman"/>
          <w:b/>
        </w:rPr>
      </w:pPr>
      <w:bookmarkStart w:id="207" w:name="_Toc36811930"/>
      <w:r w:rsidRPr="00BA5347">
        <w:rPr>
          <w:rFonts w:cs="Times New Roman"/>
          <w:b/>
        </w:rPr>
        <w:t>Igaunija</w:t>
      </w:r>
      <w:bookmarkEnd w:id="207"/>
    </w:p>
    <w:p w14:paraId="420CD02A" w14:textId="77777777" w:rsidR="00BA5347" w:rsidRPr="00BA5347" w:rsidRDefault="00BA5347" w:rsidP="00BA5347">
      <w:pPr>
        <w:spacing w:after="120" w:line="254" w:lineRule="auto"/>
        <w:jc w:val="both"/>
        <w:rPr>
          <w:rFonts w:cs="Times New Roman"/>
        </w:rPr>
      </w:pPr>
      <w:r w:rsidRPr="00BA5347">
        <w:rPr>
          <w:rFonts w:cs="Times New Roman"/>
        </w:rPr>
        <w:tab/>
        <w:t xml:space="preserve">Igaunijas patreizējā situācija ap PPP projektiem, šķiet, ir tuvāka Latvijas esošajam progresam. Līdzīgi kā Latvijā, arī Igaunijā šobrīd nav ievērojamu PPP projektu, kur līgums jau </w:t>
      </w:r>
      <w:r w:rsidRPr="00BA5347">
        <w:rPr>
          <w:rFonts w:cs="Times New Roman"/>
        </w:rPr>
        <w:lastRenderedPageBreak/>
        <w:t>ir noslēgts. Neatkarīgi no tā, interese par un ap PPP pieaug. Šī brīža Igaunijas Finanšu ministrs ir apņēmies aktivizēt PPP jautājumu un netālā nākotnē vēlas redzēt noslēgtus partnerības līgumus.</w:t>
      </w:r>
    </w:p>
    <w:p w14:paraId="009AB986" w14:textId="77777777" w:rsidR="00BA5347" w:rsidRPr="00BA5347" w:rsidRDefault="00BA5347" w:rsidP="00BA5347">
      <w:pPr>
        <w:spacing w:after="120" w:line="254" w:lineRule="auto"/>
        <w:jc w:val="both"/>
        <w:rPr>
          <w:rFonts w:cs="Times New Roman"/>
        </w:rPr>
      </w:pPr>
      <w:r w:rsidRPr="00BA5347">
        <w:rPr>
          <w:rFonts w:cs="Times New Roman"/>
        </w:rPr>
        <w:tab/>
        <w:t>Igaunijā kā galvenā atbildīgā institūcija PPP jautājumos ir noteikta FM. Process PPP līguma noslēgšanā– publiskais partneris iesniedz FEA analīzi Igaunijas FM, kur tiek analizēts un sagatavots atzinums par tā ietekmi uz valsts budžetu un tā parādu. Gala lēmumu par PPP projekta īstenošanu pieņem Igaunijas valdība. Jāpiemin, ka Igaunijā pašlaik nepastāv atsevišķa institūcija, kas atbild par PPP projektu koordinēšanu un politikas izstrādi.</w:t>
      </w:r>
    </w:p>
    <w:p w14:paraId="4ACBEA20" w14:textId="77777777" w:rsidR="00BA5347" w:rsidRPr="00BA5347" w:rsidRDefault="00BA5347" w:rsidP="00BA5347">
      <w:pPr>
        <w:spacing w:after="120" w:line="254" w:lineRule="auto"/>
        <w:jc w:val="both"/>
        <w:rPr>
          <w:rFonts w:cs="Times New Roman"/>
        </w:rPr>
      </w:pPr>
      <w:r w:rsidRPr="00BA5347">
        <w:rPr>
          <w:rFonts w:cs="Times New Roman"/>
        </w:rPr>
        <w:tab/>
        <w:t>Neskatoties uz to, ka Igaunijā ir izveidota PPP normatīvā bāze, pētījumu trūkums šajā nozarē ir liedzis aktīvi attīstīt PPP projektus, tādejādi ierobežojot arī PPP politikas izstrādi. Pirmais ietilpīgais pētījums par PPP noticis 2016. gadā</w:t>
      </w:r>
      <w:r w:rsidRPr="00BA5347">
        <w:rPr>
          <w:rFonts w:cs="Times New Roman"/>
          <w:sz w:val="20"/>
          <w:vertAlign w:val="superscript"/>
        </w:rPr>
        <w:footnoteReference w:id="52"/>
      </w:r>
      <w:r w:rsidRPr="00BA5347">
        <w:rPr>
          <w:rFonts w:cs="Times New Roman"/>
        </w:rPr>
        <w:t>. Pētījumā aprakstīti galvenie šķēršļi un risināmie jautājumi, ko jāatrisina, lai spētu valstiskā līmenī aktivizēt PPP projektu slēgšanu. Kā piemēram:</w:t>
      </w:r>
    </w:p>
    <w:p w14:paraId="0BE19A0E"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Vienotas PPP politikas trūkums;</w:t>
      </w:r>
    </w:p>
    <w:p w14:paraId="68DFD483"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Pašvaldību un nozaru ministrijas izglītošanu PPP jautājumos;</w:t>
      </w:r>
    </w:p>
    <w:p w14:paraId="6DE8A617"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Centralizētas institūcijas izveidi, kas atbild par PPP projektu koordinēšanu un uzraudzību;</w:t>
      </w:r>
    </w:p>
    <w:p w14:paraId="1138ADE7" w14:textId="77777777" w:rsidR="00BA5347" w:rsidRPr="00BA5347" w:rsidRDefault="00BA5347" w:rsidP="00BA5347">
      <w:pPr>
        <w:numPr>
          <w:ilvl w:val="0"/>
          <w:numId w:val="3"/>
        </w:numPr>
        <w:spacing w:after="120" w:line="254" w:lineRule="auto"/>
        <w:jc w:val="both"/>
        <w:rPr>
          <w:rFonts w:cs="Times New Roman"/>
          <w:sz w:val="22"/>
        </w:rPr>
      </w:pPr>
      <w:r w:rsidRPr="00BA5347">
        <w:rPr>
          <w:rFonts w:cs="Times New Roman"/>
        </w:rPr>
        <w:t>Neskaidrības ap PPP projektu finansēšanas struktūru un uzskaiti (ārpus bilances iespēju definēšana).</w:t>
      </w:r>
    </w:p>
    <w:p w14:paraId="46743FF9" w14:textId="77777777" w:rsidR="00BA5347" w:rsidRPr="00BA5347" w:rsidRDefault="00BA5347" w:rsidP="00BA5347">
      <w:pPr>
        <w:spacing w:after="120" w:line="254" w:lineRule="auto"/>
        <w:ind w:firstLine="720"/>
        <w:jc w:val="both"/>
        <w:rPr>
          <w:rFonts w:cs="Times New Roman"/>
        </w:rPr>
      </w:pPr>
      <w:r w:rsidRPr="00BA5347">
        <w:rPr>
          <w:rFonts w:cs="Times New Roman"/>
        </w:rPr>
        <w:t xml:space="preserve">Īsi pēc šī pētījuma publicēšanas, Igaunijas valdība ir spējusi ātriem soļiem virzīties uz priekšu un jau 2017.gada decembrī apstiprināja </w:t>
      </w:r>
      <w:r w:rsidRPr="00BA5347">
        <w:rPr>
          <w:rFonts w:cs="Times New Roman"/>
          <w:sz w:val="20"/>
          <w:vertAlign w:val="superscript"/>
        </w:rPr>
        <w:footnoteReference w:id="53"/>
      </w:r>
      <w:r w:rsidRPr="00BA5347">
        <w:rPr>
          <w:rFonts w:cs="Times New Roman"/>
        </w:rPr>
        <w:t>jaunās PPP projektu pamatnostādnes un vadlīnijas. Tās tiks ņemtas par pamatu turpmāko projektu izvērtēšanai un PPP iespēju analīzei.</w:t>
      </w:r>
    </w:p>
    <w:p w14:paraId="2E7924A5" w14:textId="06782E18" w:rsidR="00BA5347" w:rsidRPr="00647C1A" w:rsidRDefault="00BA5347" w:rsidP="00647C1A">
      <w:pPr>
        <w:spacing w:after="120" w:line="254" w:lineRule="auto"/>
        <w:ind w:firstLine="720"/>
        <w:jc w:val="both"/>
        <w:rPr>
          <w:rFonts w:cs="Times New Roman"/>
        </w:rPr>
      </w:pPr>
      <w:r w:rsidRPr="00BA5347">
        <w:rPr>
          <w:rFonts w:cs="Times New Roman"/>
        </w:rPr>
        <w:t xml:space="preserve">Velkot paralēles ar Latvijas esošo situāciju, Igaunijā šobrīd uzmanības centrā ir vērienīgs, 1,7 miljardu </w:t>
      </w:r>
      <w:r w:rsidRPr="00BA5347">
        <w:rPr>
          <w:rFonts w:cs="Times New Roman"/>
          <w:i/>
        </w:rPr>
        <w:t>euro</w:t>
      </w:r>
      <w:r w:rsidRPr="00BA5347">
        <w:rPr>
          <w:rFonts w:cs="Times New Roman"/>
        </w:rPr>
        <w:t xml:space="preserve">, projekts </w:t>
      </w:r>
      <w:r w:rsidRPr="00BA5347">
        <w:rPr>
          <w:rFonts w:cs="Times New Roman"/>
          <w:sz w:val="20"/>
          <w:vertAlign w:val="superscript"/>
        </w:rPr>
        <w:footnoteReference w:id="54"/>
      </w:r>
      <w:r w:rsidRPr="00BA5347">
        <w:rPr>
          <w:rFonts w:cs="Times New Roman"/>
        </w:rPr>
        <w:t>– valsts nozīmes maģistrālo ceļu paplašināšanai līdz 4 brauktuves joslām. Šis projekts (kā Latvijas Ķekavas apvedceļa gadījumā) potenciāli varētu būt PPP celmlauzis Igaunijā. Ņemot vērā, ka izvēle par labu PPP līgumam ir lielākoties politisks lēmums, šobrīd tas ir vairāk diskusiju stadijā, atšķirībā no Latvijas gadījuma, kur Ķekavas apvedceļa projektā drīzumā jau tiks noteikts iepirkuma konkursa uzvarētājs un sākta līguma saskaņošana.</w:t>
      </w:r>
      <w:bookmarkStart w:id="208" w:name="_Toc36811931"/>
    </w:p>
    <w:p w14:paraId="13E887B0" w14:textId="0F9DA96B" w:rsidR="00BA5347" w:rsidRPr="00BA5347" w:rsidRDefault="00BA5347" w:rsidP="00647C1A">
      <w:pPr>
        <w:spacing w:before="120" w:after="120" w:line="254" w:lineRule="auto"/>
        <w:rPr>
          <w:rFonts w:cs="Times New Roman"/>
          <w:b/>
        </w:rPr>
      </w:pPr>
      <w:r w:rsidRPr="00BA5347">
        <w:rPr>
          <w:rFonts w:cs="Times New Roman"/>
          <w:b/>
        </w:rPr>
        <w:t>Polija</w:t>
      </w:r>
      <w:bookmarkEnd w:id="208"/>
    </w:p>
    <w:p w14:paraId="5AAA320B" w14:textId="77777777" w:rsidR="00BA5347" w:rsidRPr="00BA5347" w:rsidRDefault="00BA5347" w:rsidP="00BA5347">
      <w:pPr>
        <w:spacing w:after="120" w:line="254" w:lineRule="auto"/>
        <w:jc w:val="both"/>
        <w:rPr>
          <w:rFonts w:cs="Times New Roman"/>
        </w:rPr>
      </w:pPr>
      <w:r w:rsidRPr="00BA5347">
        <w:rPr>
          <w:rFonts w:cs="Times New Roman"/>
        </w:rPr>
        <w:tab/>
        <w:t>Salīdzinot Poliju ar iepriekš apskatītajām valstīm un Latviju, var droši apgalvot, ka Polija ir ievērojami priekšā Baltijas valstīm. Polijā ne tikai ir augsti attīstīta PPP izstrādes politika, bet arī tās attīstības plāns, kas paredz aktīvu PPP līgumu slēgšanu.</w:t>
      </w:r>
    </w:p>
    <w:p w14:paraId="4E4EB84C" w14:textId="77777777" w:rsidR="00BA5347" w:rsidRPr="00BA5347" w:rsidRDefault="00BA5347" w:rsidP="00BA5347">
      <w:pPr>
        <w:spacing w:after="120" w:line="254" w:lineRule="auto"/>
        <w:jc w:val="both"/>
        <w:rPr>
          <w:rFonts w:cs="Times New Roman"/>
        </w:rPr>
      </w:pPr>
      <w:r w:rsidRPr="00BA5347">
        <w:rPr>
          <w:rFonts w:cs="Times New Roman"/>
        </w:rPr>
        <w:tab/>
        <w:t xml:space="preserve">Polijā kā galvenā atbildīgā institūcija par PPP ir noteikta Investīciju un Ekonomika ministrija. Tā ir atbildīga par politikas izstrādi, projektu koordinēšanu uz uzraudzību. Tās ietvaros 2011.gada 26.janvārī tika izveidota PPP platforma, kuras biedri ir nozaru ministrijas, pašvaldības, izglītības iestādes kā arī citas publiskā sektora institūcijas. PPP platformas mērķi </w:t>
      </w:r>
      <w:r w:rsidRPr="00BA5347">
        <w:rPr>
          <w:rFonts w:cs="Times New Roman"/>
        </w:rPr>
        <w:lastRenderedPageBreak/>
        <w:t>ir pieredzes apmaiņa, atbalsts PPP projektu izstrādes posmā, zināšanu bāzes paplašināšana kā arī PPP projektu popularizēšana.</w:t>
      </w:r>
    </w:p>
    <w:p w14:paraId="3D010F74" w14:textId="77777777" w:rsidR="00BA5347" w:rsidRPr="00BA5347" w:rsidRDefault="00BA5347" w:rsidP="00BA5347">
      <w:pPr>
        <w:spacing w:after="120" w:line="254" w:lineRule="auto"/>
        <w:jc w:val="both"/>
        <w:rPr>
          <w:rFonts w:cs="Times New Roman"/>
        </w:rPr>
      </w:pPr>
      <w:r w:rsidRPr="00BA5347">
        <w:rPr>
          <w:rFonts w:cs="Times New Roman"/>
        </w:rPr>
        <w:tab/>
        <w:t>Kā viens no spilgtākajiem notikumiem PPP attīstībā Polijā ir jāmin 2017. gada 26. jūlija Polijas valdības pieņemto PPP politikas stratēģiju. Tās vadmotīvs bija strauja PPP projektu attīstība un ar to saistīto darbību kopums efektīvai investīciju piesaistei. Galvenais jaunās PPP politikas uzdevums bija līdz 2020.gada beigām noslēgt vismaz 100 jaunus PPP līgumus.</w:t>
      </w:r>
      <w:bookmarkStart w:id="209" w:name="_Ref45636464"/>
      <w:bookmarkStart w:id="210" w:name="_Ref47019864"/>
      <w:r w:rsidRPr="00BA5347">
        <w:rPr>
          <w:rFonts w:cs="Times New Roman"/>
          <w:sz w:val="20"/>
          <w:vertAlign w:val="superscript"/>
        </w:rPr>
        <w:footnoteReference w:id="55"/>
      </w:r>
    </w:p>
    <w:p w14:paraId="6CBAB8CB" w14:textId="212F2F0A" w:rsidR="00BA5347" w:rsidRPr="00BA5347" w:rsidRDefault="00BA5347" w:rsidP="00BA5347">
      <w:pPr>
        <w:spacing w:before="120" w:after="120" w:line="240" w:lineRule="auto"/>
        <w:jc w:val="right"/>
        <w:rPr>
          <w:rFonts w:cs="Times New Roman"/>
          <w:b/>
          <w:iCs/>
          <w:szCs w:val="20"/>
        </w:rPr>
      </w:pPr>
      <w:bookmarkStart w:id="211" w:name="_Ref47966925"/>
      <w:r w:rsidRPr="00BA5347">
        <w:rPr>
          <w:iCs/>
          <w:szCs w:val="18"/>
        </w:rPr>
        <w:t xml:space="preserve">Attēls Nr. </w:t>
      </w:r>
      <w:r w:rsidRPr="00BA5347">
        <w:rPr>
          <w:iCs/>
          <w:szCs w:val="18"/>
        </w:rPr>
        <w:fldChar w:fldCharType="begin"/>
      </w:r>
      <w:r w:rsidRPr="00BA5347">
        <w:rPr>
          <w:iCs/>
          <w:szCs w:val="18"/>
        </w:rPr>
        <w:instrText xml:space="preserve"> SEQ Attēls_Nr. \* ARABIC </w:instrText>
      </w:r>
      <w:r w:rsidRPr="00BA5347">
        <w:rPr>
          <w:iCs/>
          <w:szCs w:val="18"/>
        </w:rPr>
        <w:fldChar w:fldCharType="separate"/>
      </w:r>
      <w:r w:rsidR="00D96F20">
        <w:rPr>
          <w:iCs/>
          <w:noProof/>
          <w:szCs w:val="18"/>
        </w:rPr>
        <w:t>78</w:t>
      </w:r>
      <w:r w:rsidRPr="00BA5347">
        <w:rPr>
          <w:iCs/>
          <w:noProof/>
          <w:szCs w:val="18"/>
        </w:rPr>
        <w:fldChar w:fldCharType="end"/>
      </w:r>
      <w:bookmarkEnd w:id="209"/>
      <w:bookmarkEnd w:id="210"/>
      <w:bookmarkEnd w:id="211"/>
    </w:p>
    <w:p w14:paraId="525033EA" w14:textId="77777777" w:rsidR="00BA5347" w:rsidRPr="00BA5347" w:rsidRDefault="00BA5347" w:rsidP="00BA5347">
      <w:pPr>
        <w:spacing w:after="120" w:line="254" w:lineRule="auto"/>
        <w:jc w:val="center"/>
        <w:rPr>
          <w:rFonts w:cs="Times New Roman"/>
          <w:i/>
          <w:szCs w:val="20"/>
        </w:rPr>
      </w:pPr>
      <w:r w:rsidRPr="00BA5347">
        <w:rPr>
          <w:rFonts w:cs="Times New Roman"/>
          <w:b/>
          <w:szCs w:val="20"/>
        </w:rPr>
        <w:t>Polijā noslēgto PPP līgumu dinamika 2009.gads – 2019.gads</w:t>
      </w:r>
      <w:r w:rsidRPr="00BA5347">
        <w:rPr>
          <w:rFonts w:cs="Times New Roman"/>
          <w:i/>
          <w:szCs w:val="20"/>
          <w:vertAlign w:val="superscript"/>
        </w:rPr>
        <w:footnoteReference w:id="56"/>
      </w:r>
    </w:p>
    <w:p w14:paraId="69E46EB3" w14:textId="77777777" w:rsidR="00BA5347" w:rsidRPr="00BA5347" w:rsidRDefault="00BA5347" w:rsidP="00BA5347">
      <w:pPr>
        <w:spacing w:after="120" w:line="254" w:lineRule="auto"/>
        <w:jc w:val="center"/>
        <w:rPr>
          <w:rFonts w:cs="Times New Roman"/>
          <w:sz w:val="20"/>
          <w:szCs w:val="20"/>
        </w:rPr>
      </w:pPr>
      <w:r w:rsidRPr="00BA5347">
        <w:rPr>
          <w:rFonts w:cs="Times New Roman"/>
          <w:noProof/>
          <w:sz w:val="20"/>
          <w:szCs w:val="20"/>
          <w:lang w:eastAsia="lv-LV"/>
        </w:rPr>
        <w:drawing>
          <wp:inline distT="0" distB="0" distL="0" distR="0" wp14:anchorId="7CD8812D" wp14:editId="35D22BD6">
            <wp:extent cx="5732629" cy="249555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41410" cy="2542905"/>
                    </a:xfrm>
                    <a:prstGeom prst="rect">
                      <a:avLst/>
                    </a:prstGeom>
                    <a:noFill/>
                  </pic:spPr>
                </pic:pic>
              </a:graphicData>
            </a:graphic>
          </wp:inline>
        </w:drawing>
      </w:r>
    </w:p>
    <w:p w14:paraId="7B77A8EF" w14:textId="77777777" w:rsidR="00BA5347" w:rsidRPr="00BA5347" w:rsidRDefault="00BA5347" w:rsidP="00BA5347">
      <w:pPr>
        <w:spacing w:after="120" w:line="254" w:lineRule="auto"/>
        <w:ind w:firstLine="720"/>
        <w:jc w:val="both"/>
        <w:rPr>
          <w:rFonts w:cs="Times New Roman"/>
        </w:rPr>
      </w:pPr>
      <w:r w:rsidRPr="00BA5347">
        <w:rPr>
          <w:rFonts w:cs="Times New Roman"/>
        </w:rPr>
        <w:t xml:space="preserve">Laikposmā no 2009. gada 1. janvāra līdz 2019. gada 31. decembrim Polijā kopumā ir noslēgti 159 PPP līgumi, no kuriem 141 līgums tiek vai jau ir realizēts. Noslēgto līgumu kopējo investīciju apmērs sasniedza 7,3 miljardu </w:t>
      </w:r>
      <w:r w:rsidRPr="00BA5347">
        <w:rPr>
          <w:rFonts w:cs="Times New Roman"/>
          <w:i/>
        </w:rPr>
        <w:t xml:space="preserve">PLN </w:t>
      </w:r>
      <w:r w:rsidRPr="00BA5347">
        <w:rPr>
          <w:rFonts w:cs="Times New Roman"/>
        </w:rPr>
        <w:t xml:space="preserve">(apmēram 1,6 miljardi </w:t>
      </w:r>
      <w:r w:rsidRPr="00BA5347">
        <w:rPr>
          <w:rFonts w:cs="Times New Roman"/>
          <w:i/>
        </w:rPr>
        <w:t>euro</w:t>
      </w:r>
      <w:r w:rsidRPr="00BA5347">
        <w:rPr>
          <w:rFonts w:cs="Times New Roman"/>
        </w:rPr>
        <w:t xml:space="preserve">). No visiem noslēgtajiem PPP līgumiem, 35 līgumi ir partnerības tipa jeb privātais partneris saņem pieejamības maksājumus. Tas nozīmē, ka apmēram 25% visu PPP līgumu ir potenciāls būt ārpus bilances (apmēram 400 milj. </w:t>
      </w:r>
      <w:r w:rsidRPr="00BA5347">
        <w:rPr>
          <w:rFonts w:cs="Times New Roman"/>
          <w:i/>
        </w:rPr>
        <w:t>euro</w:t>
      </w:r>
      <w:r w:rsidRPr="00BA5347">
        <w:rPr>
          <w:rFonts w:cs="Times New Roman"/>
        </w:rPr>
        <w:t xml:space="preserve"> no kopējām investīcijām).</w:t>
      </w:r>
    </w:p>
    <w:p w14:paraId="3898C5D8" w14:textId="77777777" w:rsidR="00BA5347" w:rsidRPr="00BA5347" w:rsidRDefault="00BA5347" w:rsidP="00BA5347">
      <w:pPr>
        <w:spacing w:after="120" w:line="254" w:lineRule="auto"/>
        <w:jc w:val="both"/>
        <w:rPr>
          <w:rFonts w:cs="Times New Roman"/>
        </w:rPr>
      </w:pPr>
      <w:r w:rsidRPr="00BA5347">
        <w:rPr>
          <w:rFonts w:cs="Times New Roman"/>
        </w:rPr>
        <w:tab/>
        <w:t>Zemāk minēti daži no ievērojamākajiem PPP projektiem Polijā</w:t>
      </w:r>
      <w:r w:rsidRPr="00BA5347">
        <w:rPr>
          <w:rFonts w:cs="Times New Roman"/>
          <w:sz w:val="20"/>
          <w:vertAlign w:val="superscript"/>
        </w:rPr>
        <w:footnoteReference w:id="57"/>
      </w:r>
      <w:r w:rsidRPr="00BA5347">
        <w:rPr>
          <w:rFonts w:cs="Times New Roman"/>
        </w:rPr>
        <w:t>:</w:t>
      </w:r>
    </w:p>
    <w:p w14:paraId="57EAD465"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 xml:space="preserve">Apgabaltiesas ēkas celtniecība un apsaimniekošana pilsētā Nowy Sącz, līguma termiņš 2015.gada augusts – 2038.gada marts (23 gadi un 3 mēneši), kopējais investīciju apjoms – 11,5 milj. </w:t>
      </w:r>
      <w:r w:rsidRPr="00BA5347">
        <w:rPr>
          <w:rFonts w:cs="Times New Roman"/>
          <w:i/>
        </w:rPr>
        <w:t>euro;</w:t>
      </w:r>
    </w:p>
    <w:p w14:paraId="66E31A3B"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Gdaņskas pilsētas atkritumu termiskās pārveidošanas rūpnīcas projektēšana, būvniecība un apsaimniekošana, līguma termiņš 2018.gada maijs – 2047.gada maijs (29 gadi), kopējais investīciju apjoms – 136,5 milj</w:t>
      </w:r>
      <w:r w:rsidRPr="00BA5347">
        <w:rPr>
          <w:rFonts w:cs="Times New Roman"/>
          <w:i/>
        </w:rPr>
        <w:t>. euro</w:t>
      </w:r>
      <w:r w:rsidRPr="00BA5347">
        <w:rPr>
          <w:rFonts w:cs="Times New Roman"/>
        </w:rPr>
        <w:t>;</w:t>
      </w:r>
    </w:p>
    <w:p w14:paraId="317226B8"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 xml:space="preserve">Dienesta viesnīcu kompleksa esošo telpu projektēšana, rekonstrukcija un apsaimniekošana Krakovas pilsētā; līguma termiņš 2014.gada novembris – 2039.gada janvāris (25 gadi un 4 mēn.), kopējais investīciju apjoms – 19,5 milj. </w:t>
      </w:r>
      <w:r w:rsidRPr="00BA5347">
        <w:rPr>
          <w:rFonts w:cs="Times New Roman"/>
          <w:i/>
        </w:rPr>
        <w:t>euro</w:t>
      </w:r>
      <w:r w:rsidRPr="00BA5347">
        <w:rPr>
          <w:rFonts w:cs="Times New Roman"/>
        </w:rPr>
        <w:t>.</w:t>
      </w:r>
    </w:p>
    <w:p w14:paraId="03444028" w14:textId="16C2BF6B" w:rsidR="00BA5347" w:rsidRPr="00BA5347" w:rsidRDefault="00BA5347" w:rsidP="00BA5347">
      <w:pPr>
        <w:spacing w:before="120" w:after="120" w:line="240" w:lineRule="auto"/>
        <w:ind w:firstLine="720"/>
        <w:jc w:val="both"/>
        <w:rPr>
          <w:rFonts w:cs="Times New Roman"/>
          <w:iCs/>
          <w:szCs w:val="18"/>
        </w:rPr>
      </w:pPr>
      <w:r w:rsidRPr="00BA5347">
        <w:rPr>
          <w:rFonts w:cs="Times New Roman"/>
          <w:iCs/>
          <w:szCs w:val="18"/>
        </w:rPr>
        <w:lastRenderedPageBreak/>
        <w:t>Kā redzams, Polijā ir vērojama ilgtspējīga un stabila PPP attīstība. Spriežot pēc jaunu PPP līgumu dinamikas pēdējos 11 gados (</w:t>
      </w:r>
      <w:r w:rsidRPr="00BA5347">
        <w:rPr>
          <w:rFonts w:cs="Times New Roman"/>
          <w:iCs/>
          <w:szCs w:val="18"/>
        </w:rPr>
        <w:fldChar w:fldCharType="begin"/>
      </w:r>
      <w:r w:rsidRPr="00BA5347">
        <w:rPr>
          <w:rFonts w:cs="Times New Roman"/>
          <w:iCs/>
          <w:szCs w:val="18"/>
        </w:rPr>
        <w:instrText xml:space="preserve"> REF _Ref47966925 \h </w:instrText>
      </w:r>
      <w:r w:rsidRPr="00BA5347">
        <w:rPr>
          <w:rFonts w:cs="Times New Roman"/>
          <w:iCs/>
          <w:szCs w:val="18"/>
        </w:rPr>
      </w:r>
      <w:r w:rsidRPr="00BA5347">
        <w:rPr>
          <w:rFonts w:cs="Times New Roman"/>
          <w:iCs/>
          <w:szCs w:val="18"/>
        </w:rPr>
        <w:fldChar w:fldCharType="separate"/>
      </w:r>
      <w:r w:rsidR="00D96F20" w:rsidRPr="00BA5347">
        <w:rPr>
          <w:iCs/>
          <w:szCs w:val="18"/>
        </w:rPr>
        <w:t xml:space="preserve">Attēls Nr. </w:t>
      </w:r>
      <w:r w:rsidR="00D96F20">
        <w:rPr>
          <w:iCs/>
          <w:noProof/>
          <w:szCs w:val="18"/>
        </w:rPr>
        <w:t>78</w:t>
      </w:r>
      <w:r w:rsidRPr="00BA5347">
        <w:rPr>
          <w:rFonts w:cs="Times New Roman"/>
          <w:iCs/>
          <w:szCs w:val="18"/>
        </w:rPr>
        <w:fldChar w:fldCharType="end"/>
      </w:r>
      <w:r w:rsidRPr="00BA5347">
        <w:rPr>
          <w:rFonts w:cs="Times New Roman"/>
          <w:iCs/>
          <w:szCs w:val="18"/>
        </w:rPr>
        <w:t>), var secināt, ka to pieaugums notika vienmērīgi, un 2017.gadā pieņemtās PPP politikas stratēģijas uzdevums bija nostiprināt jau esošās pamatnostādnes un valdības līmenī izteikt atbalstu turpmākai attīstībai.</w:t>
      </w:r>
    </w:p>
    <w:p w14:paraId="6C5DF3CE" w14:textId="77777777" w:rsidR="00BA5347" w:rsidRPr="00BA5347" w:rsidRDefault="00BA5347" w:rsidP="00BA5347">
      <w:pPr>
        <w:spacing w:before="320" w:after="120" w:line="254" w:lineRule="auto"/>
        <w:rPr>
          <w:rFonts w:cs="Times New Roman"/>
          <w:b/>
        </w:rPr>
      </w:pPr>
      <w:bookmarkStart w:id="212" w:name="_Toc36811932"/>
      <w:r w:rsidRPr="00BA5347">
        <w:rPr>
          <w:rFonts w:cs="Times New Roman"/>
          <w:b/>
        </w:rPr>
        <w:t>Secinājumi un priekšlikumi</w:t>
      </w:r>
      <w:bookmarkEnd w:id="212"/>
    </w:p>
    <w:p w14:paraId="6B5F054B" w14:textId="77777777" w:rsidR="00BA5347" w:rsidRPr="00BA5347" w:rsidRDefault="00BA5347" w:rsidP="00BA5347">
      <w:pPr>
        <w:spacing w:after="120" w:line="254" w:lineRule="auto"/>
        <w:ind w:left="360" w:firstLine="360"/>
        <w:jc w:val="both"/>
        <w:rPr>
          <w:rFonts w:cs="Times New Roman"/>
        </w:rPr>
      </w:pPr>
      <w:r w:rsidRPr="00BA5347">
        <w:rPr>
          <w:rFonts w:cs="Times New Roman"/>
        </w:rPr>
        <w:t>Apkopojot pieejamos materiālus par PPP, secināms, ka šobrīd PPP jautājums tiek aktualizēts lielā skaitā valstu. It īpaši Eiropā, kur ES dalībvalstis aktīvi meklē alternatīvas iespējas investīciju piesaistē un infrastruktūras attīstībai. Zemāk apkopoti  veiktie secinājumi pēc sadaļas sagatavošanas un pieejamo materiālu par PPP izvērtēšanas:</w:t>
      </w:r>
    </w:p>
    <w:p w14:paraId="375B0EE6" w14:textId="77777777"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PPP ir jau zināms sadarbības veids gan Latvijā, gan citur pasaulē;</w:t>
      </w:r>
    </w:p>
    <w:p w14:paraId="3B5762C0" w14:textId="77777777"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PPP ir ilgtermiņa sadarbība, kas nozīmē arī salīdzinoši ilgu sagatavošanās/plānošanas procesu kā arī kompetentu speciālistu piesaisti katrā projektā;</w:t>
      </w:r>
    </w:p>
    <w:p w14:paraId="22742762" w14:textId="77777777" w:rsidR="00BA5347" w:rsidRPr="00BA5347" w:rsidRDefault="00BA5347" w:rsidP="00BA5347">
      <w:pPr>
        <w:numPr>
          <w:ilvl w:val="0"/>
          <w:numId w:val="3"/>
        </w:numPr>
        <w:spacing w:after="120" w:line="254" w:lineRule="auto"/>
        <w:ind w:left="1077" w:hanging="357"/>
        <w:jc w:val="both"/>
        <w:rPr>
          <w:rFonts w:cs="Times New Roman"/>
          <w:sz w:val="22"/>
        </w:rPr>
      </w:pPr>
      <w:r w:rsidRPr="00BA5347">
        <w:rPr>
          <w:rFonts w:cs="Times New Roman"/>
        </w:rPr>
        <w:t>risku sadalījums starp publisko un privāto partneri ir viens no galvenajiem aspektiem, lai projekta investīcijas publiskais partneris spētu atstāt ārpus bilances;</w:t>
      </w:r>
    </w:p>
    <w:p w14:paraId="5D17A6F4" w14:textId="77777777"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ES līmenī ir izstrādātas PPP vadlīnijas, kā arī iespējams atbalsts PPP projektu īstenošanas fāzēs;</w:t>
      </w:r>
    </w:p>
    <w:p w14:paraId="6F6CBC00" w14:textId="77777777"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pieeja PPP projektiem atšķiras no valsts uz valsti, nav vienotas attieksmes vai politikas attiecībā uz to kā tiek organizēti, koordinēti un uzraudzīti PPP līgumi;</w:t>
      </w:r>
    </w:p>
    <w:p w14:paraId="39753247" w14:textId="77777777"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iespējamas arī nelielas atšķirības ES vadlīniju interpretācijā, terminu/definīciju izmantošanā;</w:t>
      </w:r>
    </w:p>
    <w:p w14:paraId="6016A562" w14:textId="537336A5"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vadoties pēc ES statistikas, Eiropā tikai 9 valstis 2019.</w:t>
      </w:r>
      <w:r w:rsidR="00A91F7D">
        <w:rPr>
          <w:rFonts w:cs="Times New Roman"/>
        </w:rPr>
        <w:t xml:space="preserve"> </w:t>
      </w:r>
      <w:r w:rsidRPr="00BA5347">
        <w:rPr>
          <w:rFonts w:cs="Times New Roman"/>
        </w:rPr>
        <w:t>gadā noslēdza vismaz 1 PPP līgumu, kas nozīmē, ka, neatkarīgi no pastiprinātās intereses, aktivitāte ap PPP pagaidām ir ļoti zema;</w:t>
      </w:r>
    </w:p>
    <w:p w14:paraId="5FD38767" w14:textId="77777777"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Latvijā interese par PPP pieaug, izmantot vai neizmantot PPP ir politisks lēmums;</w:t>
      </w:r>
    </w:p>
    <w:p w14:paraId="50FE5C59" w14:textId="77777777"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Latvijā PPP termins un ideja tiek izmantota kopš 21.gadsimta sākuma, joma nav sveša;</w:t>
      </w:r>
    </w:p>
    <w:p w14:paraId="4929ABAE" w14:textId="77777777"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Latvijā PPP normatīvā bāze ir pietiekami augstā līmenī, lai spētu aktīvāk organizēt PPP līgumus;</w:t>
      </w:r>
    </w:p>
    <w:p w14:paraId="5EAC1AE2" w14:textId="77777777"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Latvijas PPP publiski pieejamā informācija neglabājas vienuviet un tās aktuālā informācija starp informācijas avotiem mēdz atšķirties;</w:t>
      </w:r>
    </w:p>
    <w:p w14:paraId="0B9046CB" w14:textId="4469EDA4" w:rsidR="00BA5347" w:rsidRPr="00BA5347" w:rsidRDefault="00A91F7D" w:rsidP="00BA5347">
      <w:pPr>
        <w:numPr>
          <w:ilvl w:val="0"/>
          <w:numId w:val="3"/>
        </w:numPr>
        <w:spacing w:after="120" w:line="254" w:lineRule="auto"/>
        <w:ind w:left="1077" w:hanging="357"/>
        <w:jc w:val="both"/>
        <w:rPr>
          <w:rFonts w:cs="Times New Roman"/>
        </w:rPr>
      </w:pPr>
      <w:r>
        <w:rPr>
          <w:rFonts w:cs="Times New Roman"/>
        </w:rPr>
        <w:t xml:space="preserve">Latvijā PPP </w:t>
      </w:r>
      <w:r w:rsidR="00BA5347" w:rsidRPr="00BA5347">
        <w:rPr>
          <w:rFonts w:cs="Times New Roman"/>
        </w:rPr>
        <w:t>funkcijas ir sadalītas starp CFLA un FM, kas teorētiski nesekmē nozares attīstību;</w:t>
      </w:r>
    </w:p>
    <w:p w14:paraId="38F8826F" w14:textId="77777777"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Latvijā pastāv vienota PPP metodoloģija un vadlīnijas;</w:t>
      </w:r>
    </w:p>
    <w:p w14:paraId="30B0A801" w14:textId="77777777"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Latvijā šobrīd tuvu noslēgtam līgumam ir Ķekavas apvedceļa PPP projekts, kas, potenciāli, varētu būt labais piemērs kā PPP projekts spēj piesaistīt investīcijas, attīstīt infrastruktūru un vienlaicīgi neietekmēt budžeta deficītu (ārpusbilances uzskaitē);</w:t>
      </w:r>
    </w:p>
    <w:p w14:paraId="0429F360" w14:textId="77777777" w:rsidR="00BA5347" w:rsidRPr="00BA5347" w:rsidRDefault="00BA5347" w:rsidP="00BA5347">
      <w:pPr>
        <w:numPr>
          <w:ilvl w:val="0"/>
          <w:numId w:val="3"/>
        </w:numPr>
        <w:spacing w:after="120" w:line="254" w:lineRule="auto"/>
        <w:ind w:left="1077" w:hanging="357"/>
        <w:jc w:val="both"/>
        <w:rPr>
          <w:rFonts w:cs="Times New Roman"/>
        </w:rPr>
      </w:pPr>
      <w:r w:rsidRPr="00BA5347">
        <w:rPr>
          <w:rFonts w:cs="Times New Roman"/>
        </w:rPr>
        <w:t>pozitīvi, ka Latvijā ir vairāki projekti diskusiju līmenī, kas potenciāli var tikt īstenoti kā partnerības PPP projekti.</w:t>
      </w:r>
    </w:p>
    <w:p w14:paraId="586A6884" w14:textId="77777777" w:rsidR="00BA5347" w:rsidRPr="00BA5347" w:rsidRDefault="00BA5347" w:rsidP="00BA5347">
      <w:pPr>
        <w:spacing w:after="120" w:line="254" w:lineRule="auto"/>
        <w:jc w:val="both"/>
        <w:rPr>
          <w:rFonts w:cs="Times New Roman"/>
        </w:rPr>
      </w:pPr>
      <w:r w:rsidRPr="00BA5347">
        <w:rPr>
          <w:rFonts w:cs="Times New Roman"/>
        </w:rPr>
        <w:lastRenderedPageBreak/>
        <w:t>Priekšlikumi un ierosinājumi</w:t>
      </w:r>
    </w:p>
    <w:p w14:paraId="0538641A"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Publiskā un privātā sektora turpmākā izglītošana</w:t>
      </w:r>
    </w:p>
    <w:p w14:paraId="5F64EC3F" w14:textId="77777777" w:rsidR="00BA5347" w:rsidRPr="00BA5347" w:rsidRDefault="00BA5347" w:rsidP="00BA5347">
      <w:pPr>
        <w:numPr>
          <w:ilvl w:val="1"/>
          <w:numId w:val="3"/>
        </w:numPr>
        <w:spacing w:after="120" w:line="254" w:lineRule="auto"/>
        <w:jc w:val="both"/>
        <w:rPr>
          <w:rFonts w:cs="Times New Roman"/>
        </w:rPr>
      </w:pPr>
      <w:r w:rsidRPr="00BA5347">
        <w:rPr>
          <w:rFonts w:cs="Times New Roman"/>
        </w:rPr>
        <w:t>Informatīvā materiāla izstrāde, zināšanu bāzes aktualizēšana;</w:t>
      </w:r>
    </w:p>
    <w:p w14:paraId="3DC80C92"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turpināt darbu pie metodoloģijas un procesa pilnveidošanas, veicinot uz partnerības līguma tipa balstītus projektus, kuru uzskaite iespējama ārpus valsts budžeta bilances;</w:t>
      </w:r>
    </w:p>
    <w:p w14:paraId="3E971528" w14:textId="77777777" w:rsidR="00BA5347" w:rsidRPr="00BA5347" w:rsidRDefault="00BA5347" w:rsidP="00A91F7D">
      <w:pPr>
        <w:numPr>
          <w:ilvl w:val="0"/>
          <w:numId w:val="3"/>
        </w:numPr>
        <w:contextualSpacing/>
        <w:jc w:val="both"/>
      </w:pPr>
      <w:r w:rsidRPr="00BA5347">
        <w:rPr>
          <w:rFonts w:cs="Times New Roman"/>
        </w:rPr>
        <w:t>Stiprināt CFLA kā PPP kompetences funkcijas, veicinot CFLA iespējas sniegt plašāku atbalstu PPP projektu iniciatoriem, t.sk., nodrošināt standartizētus risinājumus PPP projektu ideju novērtēšanai un iepirkumu dokumentācijas sagatavošanai;</w:t>
      </w:r>
    </w:p>
    <w:p w14:paraId="45136A62" w14:textId="77777777" w:rsidR="00BA5347" w:rsidRPr="00BA5347" w:rsidRDefault="00BA5347" w:rsidP="00A91F7D">
      <w:pPr>
        <w:numPr>
          <w:ilvl w:val="0"/>
          <w:numId w:val="3"/>
        </w:numPr>
        <w:contextualSpacing/>
        <w:jc w:val="both"/>
      </w:pPr>
      <w:r w:rsidRPr="00BA5347">
        <w:t>Informatīvā ziņojuma sagatavošana par valsts un pašvaldību vajadzību nodrošināšanai nepieciešamo projektu, kuri nav finansējami no  Eiropas Savienības struktūrfondiem un Kohēzijas fonda, kā arī citas ārvalstu finanšu palīdzības, īstenošanu publiskās un privātās partnerības ietvaros, nodrošinot to uzskaiti ārpus budžeta bilances;</w:t>
      </w:r>
    </w:p>
    <w:p w14:paraId="14E51D0D"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 xml:space="preserve">PPP stratēģijas izveide: 5-10 gadu plāns PPP attīstībai </w:t>
      </w:r>
    </w:p>
    <w:p w14:paraId="34984155" w14:textId="77777777" w:rsidR="00BA5347" w:rsidRPr="00BA5347" w:rsidRDefault="00BA5347" w:rsidP="00BA5347">
      <w:pPr>
        <w:numPr>
          <w:ilvl w:val="1"/>
          <w:numId w:val="3"/>
        </w:numPr>
        <w:spacing w:after="120" w:line="254" w:lineRule="auto"/>
        <w:jc w:val="both"/>
        <w:rPr>
          <w:rFonts w:cs="Times New Roman"/>
        </w:rPr>
      </w:pPr>
      <w:r w:rsidRPr="00BA5347">
        <w:rPr>
          <w:rFonts w:cs="Times New Roman"/>
        </w:rPr>
        <w:t>līdzīgi kā Polijas piemērā, skaidra plāna pieņemšana veicina PPP attīstību un iesaistīto pušu aktīvāku iesaisti;</w:t>
      </w:r>
    </w:p>
    <w:p w14:paraId="500F29E7" w14:textId="77777777" w:rsidR="00BA5347" w:rsidRPr="00BA5347" w:rsidRDefault="00BA5347" w:rsidP="00BA5347">
      <w:pPr>
        <w:numPr>
          <w:ilvl w:val="0"/>
          <w:numId w:val="3"/>
        </w:numPr>
        <w:spacing w:after="120" w:line="254" w:lineRule="auto"/>
        <w:jc w:val="both"/>
        <w:rPr>
          <w:rFonts w:cs="Times New Roman"/>
        </w:rPr>
      </w:pPr>
      <w:r w:rsidRPr="00BA5347">
        <w:rPr>
          <w:rFonts w:cs="Times New Roman"/>
        </w:rPr>
        <w:t>skaidra politiskā nostāja PPP turpmākajam virzienam valstī</w:t>
      </w:r>
    </w:p>
    <w:p w14:paraId="70C75C74" w14:textId="77777777" w:rsidR="00BA5347" w:rsidRPr="00BA5347" w:rsidRDefault="00BA5347" w:rsidP="00BA5347">
      <w:pPr>
        <w:numPr>
          <w:ilvl w:val="1"/>
          <w:numId w:val="3"/>
        </w:numPr>
        <w:spacing w:after="120" w:line="254" w:lineRule="auto"/>
        <w:jc w:val="both"/>
        <w:rPr>
          <w:rFonts w:cs="Times New Roman"/>
        </w:rPr>
      </w:pPr>
      <w:r w:rsidRPr="00BA5347">
        <w:rPr>
          <w:rFonts w:cs="Times New Roman"/>
        </w:rPr>
        <w:t>PPP attīstība ir, galvenokārt, politisks lēmums, nepieciešams skaidrs viedoklis par turpmāko PPP projektu attīstību, lai tā tiktu īstenota.</w:t>
      </w:r>
    </w:p>
    <w:p w14:paraId="2B32D0AB" w14:textId="77777777" w:rsidR="00BA5347" w:rsidRPr="00BA5347" w:rsidRDefault="00BA5347" w:rsidP="00BA5347"/>
    <w:p w14:paraId="04F12A20" w14:textId="77777777" w:rsidR="00BF6D43" w:rsidRDefault="00BF6D43" w:rsidP="00BF6D43"/>
    <w:p w14:paraId="32E9C2FA" w14:textId="77777777" w:rsidR="00483024" w:rsidRDefault="00483024" w:rsidP="00BF6D43"/>
    <w:p w14:paraId="4CE9B0E2" w14:textId="77777777" w:rsidR="00483024" w:rsidRDefault="00483024" w:rsidP="00BF6D43"/>
    <w:p w14:paraId="3C33B38E" w14:textId="77777777" w:rsidR="00483024" w:rsidRDefault="00483024" w:rsidP="00BF6D43"/>
    <w:p w14:paraId="267C262E" w14:textId="77777777" w:rsidR="00483024" w:rsidRDefault="00483024" w:rsidP="00BF6D43"/>
    <w:p w14:paraId="7BCE7DE9" w14:textId="491E58F2" w:rsidR="00B63402" w:rsidRDefault="00B63402" w:rsidP="00BF6D43"/>
    <w:p w14:paraId="38B66FE3" w14:textId="6FF26ECF" w:rsidR="00B63402" w:rsidRDefault="00B63402" w:rsidP="00BF6D43"/>
    <w:p w14:paraId="6D1F8132" w14:textId="345E9206" w:rsidR="00A06344" w:rsidRDefault="00A06344" w:rsidP="00BF6D43"/>
    <w:p w14:paraId="2B14B903" w14:textId="7EACFCE9" w:rsidR="00647C1A" w:rsidRDefault="00647C1A" w:rsidP="00BF6D43"/>
    <w:p w14:paraId="4D6F8289" w14:textId="77777777" w:rsidR="00647C1A" w:rsidRDefault="00647C1A" w:rsidP="00BF6D43"/>
    <w:p w14:paraId="7CEA3D0A" w14:textId="77777777" w:rsidR="00A06344" w:rsidRPr="00BF6D43" w:rsidRDefault="00A06344" w:rsidP="00BF6D43"/>
    <w:p w14:paraId="25390277" w14:textId="77777777" w:rsidR="00544325" w:rsidRDefault="00544325" w:rsidP="00544325">
      <w:pPr>
        <w:pStyle w:val="Heading1"/>
      </w:pPr>
      <w:bookmarkStart w:id="213" w:name="_Toc48200656"/>
      <w:r w:rsidRPr="00544325">
        <w:lastRenderedPageBreak/>
        <w:t>VIDĒJA TERMIŅA I</w:t>
      </w:r>
      <w:r>
        <w:t>ZDEVUMU PĀRSKATĪŠANAS REZULTĀTI</w:t>
      </w:r>
      <w:bookmarkEnd w:id="213"/>
    </w:p>
    <w:p w14:paraId="17205A16" w14:textId="77777777" w:rsidR="00544325" w:rsidRDefault="00544325" w:rsidP="006A15ED">
      <w:pPr>
        <w:pStyle w:val="Heading2"/>
        <w:numPr>
          <w:ilvl w:val="1"/>
          <w:numId w:val="2"/>
        </w:numPr>
      </w:pPr>
      <w:bookmarkStart w:id="214" w:name="_Toc48200657"/>
      <w:r w:rsidRPr="00544325">
        <w:t>Atbalsta funkciju centralizācijas iespējas</w:t>
      </w:r>
      <w:bookmarkEnd w:id="214"/>
    </w:p>
    <w:p w14:paraId="4F2CC313" w14:textId="77777777" w:rsidR="00483024" w:rsidRDefault="00483024" w:rsidP="00483024">
      <w:pPr>
        <w:ind w:firstLine="720"/>
        <w:jc w:val="both"/>
      </w:pPr>
      <w:r>
        <w:t xml:space="preserve">Atbalsta funkciju centralizācija ir veids, kā resori un iestādes var uzlabot savu izdevumu efektivitāti. Efektivizējot atbalsta funkciju sniegšanu, ir iespējams nodrošināt kvalificētāku specializēto personālu, kas var veikt sarežģītākas darbības. Savukārt, koncentrējot atbalsta funkciju izpildi vienuviet, ir iespējams samazināt administratīvās izmaksas (telpu, IT sistēmu uzturēšana, apmācības u. c.). Citu valstu pieredze (Igaunija, Lietuva, Nīderlande, Somija, Zviedrija u. c.) liecina, ka, centralizējot vairākas atbalsta funkcijas vienoto pakalpojumu centros, tiek ietaupīti budžeta līdzekļi un labāk pārvaldīta informācija. Tādējādi tiek sniegts augstākas kvalitātes pakalpojums. </w:t>
      </w:r>
    </w:p>
    <w:p w14:paraId="03449BE1" w14:textId="77777777" w:rsidR="00483024" w:rsidRDefault="00483024" w:rsidP="00431268">
      <w:pPr>
        <w:ind w:firstLine="720"/>
        <w:jc w:val="both"/>
      </w:pPr>
      <w:r>
        <w:t>Pašlaik valsts pārvaldē atbalsta funkcijas tiek nodrošinātas vairākos sadarbības (centralizācijas) līmeņos. Vēl joprojām valsts pārvaldes iestādes veic gan pamatfunkcijas (funkcijas, kas noteiktas likumā, deleģētas u. tml.), gan arī atbalsta funkcijas – tādas kā grāmatvedība, personāla lietvedība, personāla atlase, iepirkumi, informācijas sistēmu uzturēšana, dokumentu lietvedība utt. Izvērtējot nepieciešamos resursus funkciju veikšanai, daļa iestāžu sadarbojas resora ietvaros, lai nodrošinātu atbalsta funkcijas.</w:t>
      </w:r>
    </w:p>
    <w:p w14:paraId="7A1CB065" w14:textId="01E4DECB" w:rsidR="00483024" w:rsidRDefault="00483024" w:rsidP="00483024">
      <w:pPr>
        <w:pStyle w:val="Caption"/>
        <w:rPr>
          <w:noProof/>
        </w:rPr>
      </w:pPr>
      <w:bookmarkStart w:id="215" w:name="_Ref47361434"/>
      <w:r>
        <w:t xml:space="preserve">Attēls Nr. </w:t>
      </w:r>
      <w:fldSimple w:instr=" SEQ Attēls_Nr. \* ARABIC ">
        <w:r w:rsidR="00D96F20">
          <w:rPr>
            <w:noProof/>
          </w:rPr>
          <w:t>79</w:t>
        </w:r>
      </w:fldSimple>
      <w:bookmarkEnd w:id="215"/>
    </w:p>
    <w:p w14:paraId="0FB066E0" w14:textId="4C6E30FC" w:rsidR="00647C1A" w:rsidRPr="00647C1A" w:rsidRDefault="00647C1A" w:rsidP="00647C1A">
      <w:pPr>
        <w:jc w:val="center"/>
      </w:pPr>
      <w:r w:rsidRPr="00647C1A">
        <w:rPr>
          <w:b/>
          <w:bCs/>
        </w:rPr>
        <w:t>Atbalsta f</w:t>
      </w:r>
      <w:r>
        <w:rPr>
          <w:b/>
          <w:bCs/>
        </w:rPr>
        <w:t>unkciju centralizācijas līmenis</w:t>
      </w:r>
      <w:r>
        <w:rPr>
          <w:rStyle w:val="FootnoteReference"/>
          <w:b/>
          <w:bCs/>
        </w:rPr>
        <w:footnoteReference w:id="58"/>
      </w:r>
    </w:p>
    <w:p w14:paraId="39A81299" w14:textId="77777777" w:rsidR="00483024" w:rsidRDefault="00483024" w:rsidP="00483024">
      <w:r w:rsidRPr="005B278B">
        <w:rPr>
          <w:rFonts w:ascii="Verdana" w:eastAsia="Calibri" w:hAnsi="Verdana" w:cs="Calibri"/>
          <w:noProof/>
          <w:lang w:eastAsia="lv-LV"/>
        </w:rPr>
        <w:drawing>
          <wp:inline distT="0" distB="0" distL="0" distR="0" wp14:anchorId="53F81848" wp14:editId="6FC857A6">
            <wp:extent cx="5760085" cy="3240206"/>
            <wp:effectExtent l="0" t="0" r="0" b="0"/>
            <wp:docPr id="72" name="Picture 72" descr="C:\Users\VPDKV\AppData\Local\Microsoft\Windows\INetCache\Content.Outlook\L5KLGQ1C\Atbalsta-funkciju-cetntralizācija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PDKV\AppData\Local\Microsoft\Windows\INetCache\Content.Outlook\L5KLGQ1C\Atbalsta-funkciju-cetntralizācija (002).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60085" cy="3240206"/>
                    </a:xfrm>
                    <a:prstGeom prst="rect">
                      <a:avLst/>
                    </a:prstGeom>
                    <a:noFill/>
                    <a:ln>
                      <a:noFill/>
                    </a:ln>
                  </pic:spPr>
                </pic:pic>
              </a:graphicData>
            </a:graphic>
          </wp:inline>
        </w:drawing>
      </w:r>
    </w:p>
    <w:p w14:paraId="7FDE4461" w14:textId="44E3882F" w:rsidR="00B71726" w:rsidRDefault="00B71726" w:rsidP="00B71726">
      <w:pPr>
        <w:spacing w:before="120" w:after="120" w:line="254" w:lineRule="auto"/>
        <w:ind w:firstLine="720"/>
        <w:jc w:val="both"/>
        <w:rPr>
          <w:rFonts w:cs="Times New Roman"/>
          <w:color w:val="000000" w:themeColor="text1"/>
        </w:rPr>
      </w:pPr>
      <w:r w:rsidRPr="00B71726">
        <w:rPr>
          <w:rFonts w:cs="Times New Roman"/>
          <w:color w:val="000000" w:themeColor="text1"/>
        </w:rPr>
        <w:t xml:space="preserve">Vērtējot atbalsta funkciju centralizāciju </w:t>
      </w:r>
      <w:r w:rsidR="001B56F3">
        <w:rPr>
          <w:rFonts w:cs="Times New Roman"/>
          <w:color w:val="000000" w:themeColor="text1"/>
        </w:rPr>
        <w:t>VRP</w:t>
      </w:r>
      <w:r w:rsidRPr="00B71726">
        <w:rPr>
          <w:rFonts w:cs="Times New Roman"/>
          <w:color w:val="000000" w:themeColor="text1"/>
        </w:rPr>
        <w:t xml:space="preserve"> plāna 2020 ietvaros par 2018.</w:t>
      </w:r>
      <w:r w:rsidR="001B56F3">
        <w:rPr>
          <w:rFonts w:cs="Times New Roman"/>
          <w:color w:val="000000" w:themeColor="text1"/>
        </w:rPr>
        <w:t xml:space="preserve"> </w:t>
      </w:r>
      <w:r w:rsidRPr="00B71726">
        <w:rPr>
          <w:rFonts w:cs="Times New Roman"/>
          <w:color w:val="000000" w:themeColor="text1"/>
        </w:rPr>
        <w:t xml:space="preserve">gadā paveikto, tika secināts, ka virknē resoru atsevišķas funkcijas ir centralizētas pilnībā (iepirkumu funkcija VARAM, LM, EM, </w:t>
      </w:r>
      <w:r>
        <w:rPr>
          <w:rFonts w:cs="Times New Roman"/>
          <w:color w:val="000000" w:themeColor="text1"/>
        </w:rPr>
        <w:t xml:space="preserve">IeM, </w:t>
      </w:r>
      <w:r w:rsidRPr="00B71726">
        <w:rPr>
          <w:rFonts w:cs="Times New Roman"/>
          <w:color w:val="000000" w:themeColor="text1"/>
        </w:rPr>
        <w:t xml:space="preserve">AiM, ZM, savukārt grāmatvedības funkcija – ĀM, MK resors, bet personālvadības funkcija ĀM) </w:t>
      </w:r>
      <w:r w:rsidRPr="00B71726">
        <w:rPr>
          <w:rFonts w:eastAsia="Calibri" w:cs="Times New Roman"/>
        </w:rPr>
        <w:t>(</w:t>
      </w:r>
      <w:r>
        <w:rPr>
          <w:rFonts w:eastAsia="Calibri" w:cs="Times New Roman"/>
        </w:rPr>
        <w:fldChar w:fldCharType="begin"/>
      </w:r>
      <w:r>
        <w:rPr>
          <w:rFonts w:eastAsia="Calibri" w:cs="Times New Roman"/>
        </w:rPr>
        <w:instrText xml:space="preserve"> REF _Ref47361434 \h </w:instrText>
      </w:r>
      <w:r>
        <w:rPr>
          <w:rFonts w:eastAsia="Calibri" w:cs="Times New Roman"/>
        </w:rPr>
      </w:r>
      <w:r>
        <w:rPr>
          <w:rFonts w:eastAsia="Calibri" w:cs="Times New Roman"/>
        </w:rPr>
        <w:fldChar w:fldCharType="separate"/>
      </w:r>
      <w:r w:rsidR="00D96F20">
        <w:t xml:space="preserve">Attēls Nr. </w:t>
      </w:r>
      <w:r w:rsidR="00D96F20">
        <w:rPr>
          <w:noProof/>
        </w:rPr>
        <w:t>79</w:t>
      </w:r>
      <w:r>
        <w:rPr>
          <w:rFonts w:eastAsia="Calibri" w:cs="Times New Roman"/>
        </w:rPr>
        <w:fldChar w:fldCharType="end"/>
      </w:r>
      <w:r w:rsidRPr="00B71726">
        <w:rPr>
          <w:rFonts w:eastAsia="Calibri" w:cs="Times New Roman"/>
        </w:rPr>
        <w:t>)</w:t>
      </w:r>
      <w:r w:rsidRPr="00B71726">
        <w:rPr>
          <w:rFonts w:cs="Times New Roman"/>
          <w:color w:val="000000" w:themeColor="text1"/>
        </w:rPr>
        <w:t>. Arī 2019.</w:t>
      </w:r>
      <w:r w:rsidR="001B56F3">
        <w:rPr>
          <w:rFonts w:cs="Times New Roman"/>
          <w:color w:val="000000" w:themeColor="text1"/>
        </w:rPr>
        <w:t xml:space="preserve"> </w:t>
      </w:r>
      <w:r w:rsidRPr="00B71726">
        <w:rPr>
          <w:rFonts w:cs="Times New Roman"/>
          <w:color w:val="000000" w:themeColor="text1"/>
        </w:rPr>
        <w:t xml:space="preserve">gadā ir vērojama pozitīva </w:t>
      </w:r>
      <w:r w:rsidRPr="00B71726">
        <w:rPr>
          <w:rFonts w:cs="Times New Roman"/>
          <w:color w:val="000000" w:themeColor="text1"/>
        </w:rPr>
        <w:lastRenderedPageBreak/>
        <w:t>tendence un virzība uz atbalsta funkciju tālāku centralizāciju, tomēr konstatēts, ka 2019.</w:t>
      </w:r>
      <w:r w:rsidR="001B56F3">
        <w:rPr>
          <w:rFonts w:cs="Times New Roman"/>
          <w:color w:val="000000" w:themeColor="text1"/>
        </w:rPr>
        <w:t xml:space="preserve"> </w:t>
      </w:r>
      <w:r w:rsidRPr="00B71726">
        <w:rPr>
          <w:rFonts w:cs="Times New Roman"/>
          <w:color w:val="000000" w:themeColor="text1"/>
        </w:rPr>
        <w:t>gadā joprojām atsevišķās, īpaši mazās, iestādēs vē</w:t>
      </w:r>
      <w:r>
        <w:rPr>
          <w:rFonts w:cs="Times New Roman"/>
          <w:color w:val="000000" w:themeColor="text1"/>
        </w:rPr>
        <w:t xml:space="preserve">l </w:t>
      </w:r>
      <w:r w:rsidRPr="00B71726">
        <w:rPr>
          <w:rFonts w:cs="Times New Roman"/>
          <w:color w:val="000000" w:themeColor="text1"/>
        </w:rPr>
        <w:t>joprojām ir samērā liels atbalsta funkciju veicēju īpatsvars</w:t>
      </w:r>
    </w:p>
    <w:p w14:paraId="25D222AC" w14:textId="63FD88ED" w:rsidR="00757718" w:rsidRPr="00757718" w:rsidRDefault="00757718" w:rsidP="00757718">
      <w:pPr>
        <w:spacing w:before="120" w:after="120" w:line="254" w:lineRule="auto"/>
        <w:ind w:firstLine="720"/>
        <w:jc w:val="both"/>
        <w:rPr>
          <w:rFonts w:cs="Times New Roman"/>
        </w:rPr>
      </w:pPr>
      <w:r w:rsidRPr="00D164A8">
        <w:rPr>
          <w:rFonts w:cs="Times New Roman"/>
        </w:rPr>
        <w:t>Vienlaikus ir atzīmējams, ka funkciju centralizācija</w:t>
      </w:r>
      <w:r>
        <w:rPr>
          <w:rFonts w:cs="Times New Roman"/>
        </w:rPr>
        <w:t xml:space="preserve"> un tās rezultātā sagaidāmais ieguvums ir</w:t>
      </w:r>
      <w:r w:rsidRPr="00D164A8">
        <w:rPr>
          <w:rFonts w:cs="Times New Roman"/>
        </w:rPr>
        <w:t xml:space="preserve"> </w:t>
      </w:r>
      <w:r>
        <w:rPr>
          <w:rFonts w:cs="Times New Roman"/>
        </w:rPr>
        <w:t xml:space="preserve">tieši </w:t>
      </w:r>
      <w:r w:rsidRPr="00D164A8">
        <w:rPr>
          <w:rFonts w:cs="Times New Roman"/>
        </w:rPr>
        <w:t>atkarīg</w:t>
      </w:r>
      <w:r>
        <w:rPr>
          <w:rFonts w:cs="Times New Roman"/>
        </w:rPr>
        <w:t>s</w:t>
      </w:r>
      <w:r w:rsidRPr="00D164A8">
        <w:rPr>
          <w:rFonts w:cs="Times New Roman"/>
        </w:rPr>
        <w:t xml:space="preserve"> no resora iestāžu formas un statusa. Tā, piemēram, visu</w:t>
      </w:r>
      <w:r>
        <w:rPr>
          <w:rFonts w:cs="Times New Roman"/>
        </w:rPr>
        <w:t xml:space="preserve"> S</w:t>
      </w:r>
      <w:r w:rsidRPr="00D164A8">
        <w:rPr>
          <w:rFonts w:cs="Times New Roman"/>
        </w:rPr>
        <w:t xml:space="preserve">M padotības iestāžu izveidi nosaka ES tiesību akti, vienlaikus </w:t>
      </w:r>
      <w:r>
        <w:rPr>
          <w:rFonts w:cs="Times New Roman"/>
        </w:rPr>
        <w:t xml:space="preserve">faktiski visām </w:t>
      </w:r>
      <w:r w:rsidRPr="00D164A8">
        <w:rPr>
          <w:rFonts w:cs="Times New Roman"/>
        </w:rPr>
        <w:t xml:space="preserve">iestādēm paredzot stingru regulējumu attiecībā uz iestāžu neatkarību (atsevišķa institūcija, kas organizatoriskā, funkcionālā, hierarhijas un lēmumu pieņemšanas ziņā ir juridiski nošķirta un neatkarīga no jebkuras citas privātas vai valsts struktūras). </w:t>
      </w:r>
      <w:r>
        <w:rPr>
          <w:rFonts w:cs="Times New Roman"/>
        </w:rPr>
        <w:t>Turklāt jāatzīmē, ka visas S</w:t>
      </w:r>
      <w:r w:rsidRPr="00D164A8">
        <w:rPr>
          <w:rFonts w:cs="Times New Roman"/>
        </w:rPr>
        <w:t>M padotības iestādes ir arī budžeta nefinansētas iestādes</w:t>
      </w:r>
      <w:r>
        <w:rPr>
          <w:rFonts w:cs="Times New Roman"/>
        </w:rPr>
        <w:t>. L</w:t>
      </w:r>
      <w:r w:rsidRPr="00D164A8">
        <w:rPr>
          <w:rFonts w:cs="Times New Roman"/>
        </w:rPr>
        <w:t>īdz ar to finanšu un administratīvo resursu ietaupījum</w:t>
      </w:r>
      <w:r>
        <w:rPr>
          <w:rFonts w:cs="Times New Roman"/>
        </w:rPr>
        <w:t>s no funkciju centralizācijas var netikt sasniegts.</w:t>
      </w:r>
    </w:p>
    <w:p w14:paraId="0CF2446A" w14:textId="77777777" w:rsidR="00B71726" w:rsidRPr="00B71726" w:rsidRDefault="00561855" w:rsidP="00B71726">
      <w:pPr>
        <w:spacing w:before="120" w:after="120" w:line="254" w:lineRule="auto"/>
        <w:ind w:firstLine="720"/>
        <w:jc w:val="both"/>
        <w:rPr>
          <w:rFonts w:cs="Times New Roman"/>
          <w:color w:val="000000" w:themeColor="text1"/>
        </w:rPr>
      </w:pPr>
      <w:r>
        <w:rPr>
          <w:rFonts w:cs="Times New Roman"/>
          <w:color w:val="000000" w:themeColor="text1"/>
        </w:rPr>
        <w:t>VK</w:t>
      </w:r>
      <w:r w:rsidR="00B71726" w:rsidRPr="00B71726">
        <w:rPr>
          <w:rFonts w:cs="Times New Roman"/>
          <w:color w:val="000000" w:themeColor="text1"/>
        </w:rPr>
        <w:t xml:space="preserve"> ir izvērtējusi </w:t>
      </w:r>
      <w:r w:rsidR="00B71726" w:rsidRPr="00B71726">
        <w:rPr>
          <w:rFonts w:cs="Times New Roman"/>
          <w:bCs/>
          <w:color w:val="000000" w:themeColor="text1"/>
        </w:rPr>
        <w:t>atbalsta funkciju veicēju īpatsvaru</w:t>
      </w:r>
      <w:r w:rsidR="00B71726" w:rsidRPr="00B71726">
        <w:rPr>
          <w:rFonts w:cs="Times New Roman"/>
          <w:color w:val="000000" w:themeColor="text1"/>
        </w:rPr>
        <w:t xml:space="preserve"> valsts pārvaldes iestādēs. Datu analīzē ir izmantota informācija par 2019. gadu, kas saskaņā ar MK 2017. gada 7. novembra noteikumos Nr.662 “Noteikumi par valsts tiešās pārvaldes iestāžu un citu valsts un pašvaldību institūciju amatpersonu (darbinieku) atlīdzības un personu uzskaites sistēmu”, noteikto kārtību iesniegta atlīdzības uzskaites sistēmā.</w:t>
      </w:r>
    </w:p>
    <w:p w14:paraId="0FDF2C59" w14:textId="33FC01B4" w:rsidR="00B71726" w:rsidRPr="00B71726" w:rsidRDefault="00B71726" w:rsidP="00CB61C6">
      <w:pPr>
        <w:spacing w:before="120" w:after="120" w:line="254" w:lineRule="auto"/>
        <w:ind w:firstLine="720"/>
        <w:jc w:val="both"/>
        <w:rPr>
          <w:rFonts w:cs="Times New Roman"/>
          <w:color w:val="000000" w:themeColor="text1"/>
        </w:rPr>
      </w:pPr>
      <w:r w:rsidRPr="00B71726">
        <w:rPr>
          <w:rFonts w:cs="Times New Roman"/>
          <w:color w:val="000000" w:themeColor="text1"/>
        </w:rPr>
        <w:t>Veicot analīzi iepriekšējos gados, amati tika atlasīti atbilstoši MK 2010. gada 14. decembra ieteikumiem Nr.2 “Valsts pārvaldes iestādes struktūras izveidošanas kārtība”, kuru pielikumā ir definēti amati, kas nodrošina atbalsta funkcijas. Vienlaikus tika ņemts vērā, ka atsevišķām iestādēm šie amati klasificējas kā pamatfunkciju veicēju amati, piemēram, biļešu kasieri muzejos u.c. Kopumā datu atlase un pēc tam to manuāla caurskate, atlasot starp tiem amatus, kas atsevišķās iestādes ir pamatfunkcija,  prasīja lielu cilvēkresursu darba ieguldījumu. Līdz ar to par 2019.</w:t>
      </w:r>
      <w:r w:rsidR="001B56F3">
        <w:rPr>
          <w:rFonts w:cs="Times New Roman"/>
          <w:color w:val="000000" w:themeColor="text1"/>
        </w:rPr>
        <w:t xml:space="preserve"> </w:t>
      </w:r>
      <w:r w:rsidRPr="00B71726">
        <w:rPr>
          <w:rFonts w:cs="Times New Roman"/>
          <w:color w:val="000000" w:themeColor="text1"/>
        </w:rPr>
        <w:t>gadu tika vērtētās galvenās atbalstu funkciju veicošās amatu saimes – 14.“Grāmatvedība”, 30.“Personālvad</w:t>
      </w:r>
      <w:r w:rsidR="00CB61C6">
        <w:rPr>
          <w:rFonts w:cs="Times New Roman"/>
          <w:color w:val="000000" w:themeColor="text1"/>
        </w:rPr>
        <w:t>ība” un 2.”Apgāde (iepirkšana)”</w:t>
      </w:r>
    </w:p>
    <w:p w14:paraId="7FB500DC" w14:textId="028F76EA" w:rsidR="00B71726" w:rsidRDefault="00B71726" w:rsidP="00B71726">
      <w:pPr>
        <w:spacing w:before="120" w:after="120" w:line="254" w:lineRule="auto"/>
        <w:ind w:firstLine="720"/>
        <w:jc w:val="both"/>
        <w:rPr>
          <w:rFonts w:cs="Times New Roman"/>
          <w:color w:val="000000" w:themeColor="text1"/>
        </w:rPr>
      </w:pPr>
      <w:r w:rsidRPr="00B71726">
        <w:rPr>
          <w:rFonts w:cs="Times New Roman"/>
          <w:color w:val="000000" w:themeColor="text1"/>
        </w:rPr>
        <w:t>Veicot dažādu atbalsta funkciju turpmāku centralizāciju, tā ir jāizvērtē ne tikai no klienta vajadzību viedokļa, bet arī no procesu efektivitātes. Bieži procesu centralizācija, kas balstīta tikai uz klienta vajadzību apmierināšanu nenodrošina kopējo efektivitāti, tāpēc ir nepieciešami vienoti standarti, kas sabalansē iestādes funkcionalitāti un klientu vajadzības. Šādu pieeju praksē pierādīja arī FM resorā veiktā grāmatvedības procesu centralizācija, kas tiek organizēta resora par grāmatvedību kompetentākajā iestādē – Valsts Kasē, kas no 2020. gada augusta nodrošinās grāmatvedības pakalpojumu 11 iestādēm, kopā 4</w:t>
      </w:r>
      <w:r w:rsidR="00757718">
        <w:rPr>
          <w:rFonts w:cs="Times New Roman"/>
          <w:color w:val="000000" w:themeColor="text1"/>
        </w:rPr>
        <w:t xml:space="preserve"> </w:t>
      </w:r>
      <w:r w:rsidRPr="00B71726">
        <w:rPr>
          <w:rFonts w:cs="Times New Roman"/>
          <w:color w:val="000000" w:themeColor="text1"/>
        </w:rPr>
        <w:t>800 iestādēs nodarbinātajiem.</w:t>
      </w:r>
    </w:p>
    <w:p w14:paraId="5DEEF068" w14:textId="7BC3072E" w:rsidR="00561855" w:rsidRDefault="00561855" w:rsidP="00561855">
      <w:pPr>
        <w:spacing w:before="120" w:after="120" w:line="254" w:lineRule="auto"/>
        <w:ind w:firstLine="720"/>
        <w:jc w:val="both"/>
        <w:rPr>
          <w:rFonts w:cs="Times New Roman"/>
        </w:rPr>
      </w:pPr>
      <w:r w:rsidRPr="00561855">
        <w:rPr>
          <w:rFonts w:cs="Times New Roman"/>
          <w:color w:val="000000" w:themeColor="text1"/>
        </w:rPr>
        <w:t>Vērtējot pamata un pārējo funkciju, kā arī atbalsta funkciju veicēju īpatsvaru resoros 2019. gadā tika vērtētas tikai atsevišķas atbalsta funkciju veicēju saimes (14.“Grāmatvedība”, 30.“Personālvadība” un 2.</w:t>
      </w:r>
      <w:r w:rsidR="001B56F3" w:rsidRPr="00561855" w:rsidDel="001B56F3">
        <w:rPr>
          <w:rFonts w:cs="Times New Roman"/>
          <w:color w:val="000000" w:themeColor="text1"/>
        </w:rPr>
        <w:t xml:space="preserve"> </w:t>
      </w:r>
      <w:r w:rsidR="001B56F3">
        <w:rPr>
          <w:rFonts w:cs="Times New Roman"/>
          <w:color w:val="000000" w:themeColor="text1"/>
        </w:rPr>
        <w:t>“</w:t>
      </w:r>
      <w:r w:rsidRPr="00561855">
        <w:rPr>
          <w:rFonts w:cs="Times New Roman"/>
          <w:color w:val="000000" w:themeColor="text1"/>
        </w:rPr>
        <w:t>Apgāde (iepirkšana)”) un salīdzināšanas nolūkos tika piemērota metodika pārrēķinot iestādē, attiecīgajā saimē klasificētos amatus uz 100 amata vietām</w:t>
      </w:r>
      <w:r w:rsidRPr="00561855">
        <w:rPr>
          <w:rFonts w:cs="Times New Roman"/>
        </w:rPr>
        <w:t>.</w:t>
      </w:r>
    </w:p>
    <w:p w14:paraId="36764F35" w14:textId="77777777" w:rsidR="00CB61C6" w:rsidRDefault="00CB61C6" w:rsidP="00561855">
      <w:pPr>
        <w:pStyle w:val="Caption"/>
      </w:pPr>
      <w:bookmarkStart w:id="216" w:name="_Ref47363003"/>
    </w:p>
    <w:p w14:paraId="03BC1D33" w14:textId="77777777" w:rsidR="00CB61C6" w:rsidRDefault="00CB61C6" w:rsidP="00561855">
      <w:pPr>
        <w:pStyle w:val="Caption"/>
      </w:pPr>
    </w:p>
    <w:p w14:paraId="5C91EDCC" w14:textId="77777777" w:rsidR="00CB61C6" w:rsidRDefault="00CB61C6" w:rsidP="00561855">
      <w:pPr>
        <w:pStyle w:val="Caption"/>
      </w:pPr>
    </w:p>
    <w:p w14:paraId="615AAF06" w14:textId="77777777" w:rsidR="00CB61C6" w:rsidRDefault="00CB61C6" w:rsidP="00561855">
      <w:pPr>
        <w:pStyle w:val="Caption"/>
      </w:pPr>
    </w:p>
    <w:p w14:paraId="46AC5434" w14:textId="77777777" w:rsidR="00CB61C6" w:rsidRDefault="00CB61C6" w:rsidP="00561855">
      <w:pPr>
        <w:pStyle w:val="Caption"/>
      </w:pPr>
    </w:p>
    <w:p w14:paraId="5CC7AF14" w14:textId="77777777" w:rsidR="00CB61C6" w:rsidRDefault="00CB61C6" w:rsidP="00561855">
      <w:pPr>
        <w:pStyle w:val="Caption"/>
      </w:pPr>
    </w:p>
    <w:p w14:paraId="259083E8" w14:textId="77777777" w:rsidR="00CB61C6" w:rsidRDefault="00CB61C6" w:rsidP="00561855">
      <w:pPr>
        <w:pStyle w:val="Caption"/>
      </w:pPr>
    </w:p>
    <w:p w14:paraId="3289A29E" w14:textId="2D4B2204" w:rsidR="00561855" w:rsidRDefault="00561855" w:rsidP="00561855">
      <w:pPr>
        <w:pStyle w:val="Caption"/>
      </w:pPr>
      <w:bookmarkStart w:id="217" w:name="_Ref48204118"/>
      <w:r>
        <w:lastRenderedPageBreak/>
        <w:t xml:space="preserve">Attēls Nr. </w:t>
      </w:r>
      <w:fldSimple w:instr=" SEQ Attēls_Nr. \* ARABIC ">
        <w:r w:rsidR="00D96F20">
          <w:rPr>
            <w:noProof/>
          </w:rPr>
          <w:t>80</w:t>
        </w:r>
      </w:fldSimple>
      <w:bookmarkEnd w:id="216"/>
      <w:bookmarkEnd w:id="217"/>
    </w:p>
    <w:p w14:paraId="65306342" w14:textId="77777777" w:rsidR="00561855" w:rsidRPr="00561855" w:rsidRDefault="00561855" w:rsidP="00561855">
      <w:pPr>
        <w:spacing w:before="120" w:after="120" w:line="254" w:lineRule="auto"/>
        <w:jc w:val="center"/>
        <w:rPr>
          <w:rFonts w:cs="Times New Roman"/>
          <w:color w:val="000000" w:themeColor="text1"/>
        </w:rPr>
      </w:pPr>
      <w:r w:rsidRPr="00561855">
        <w:rPr>
          <w:rFonts w:cs="Times New Roman"/>
          <w:b/>
          <w:bCs/>
          <w:color w:val="000000" w:themeColor="text1"/>
        </w:rPr>
        <w:t xml:space="preserve">Pamata un pārējo funkciju, kā arī atbalsta funkciju (amatu saimēs “Grāmatvedība”, “Iepirkumi”, </w:t>
      </w:r>
      <w:r w:rsidRPr="00F17C94">
        <w:rPr>
          <w:rFonts w:cs="Times New Roman"/>
          <w:b/>
          <w:bCs/>
          <w:color w:val="000000" w:themeColor="text1"/>
        </w:rPr>
        <w:t>“</w:t>
      </w:r>
      <w:r w:rsidRPr="00561855">
        <w:rPr>
          <w:rFonts w:cs="Times New Roman"/>
          <w:b/>
          <w:bCs/>
          <w:color w:val="000000" w:themeColor="text1"/>
        </w:rPr>
        <w:t>Personālvadība</w:t>
      </w:r>
      <w:r w:rsidRPr="00F17C94">
        <w:rPr>
          <w:rFonts w:cs="Times New Roman"/>
          <w:b/>
          <w:bCs/>
          <w:color w:val="000000" w:themeColor="text1"/>
        </w:rPr>
        <w:t>”</w:t>
      </w:r>
      <w:r w:rsidRPr="00561855">
        <w:rPr>
          <w:rFonts w:cs="Times New Roman"/>
          <w:b/>
          <w:bCs/>
          <w:color w:val="000000" w:themeColor="text1"/>
        </w:rPr>
        <w:t>)</w:t>
      </w:r>
      <w:r w:rsidRPr="00F17C94">
        <w:rPr>
          <w:rFonts w:cs="Times New Roman"/>
          <w:b/>
          <w:bCs/>
          <w:color w:val="000000" w:themeColor="text1"/>
        </w:rPr>
        <w:t xml:space="preserve"> </w:t>
      </w:r>
      <w:r w:rsidRPr="00561855">
        <w:rPr>
          <w:rFonts w:cs="Times New Roman"/>
          <w:b/>
          <w:bCs/>
          <w:color w:val="000000" w:themeColor="text1"/>
        </w:rPr>
        <w:t xml:space="preserve"> veicēju amatu īpatsvars  resoros un vidēji valsts pārvaldē, %</w:t>
      </w:r>
    </w:p>
    <w:p w14:paraId="0C5CCF58" w14:textId="77777777" w:rsidR="00561855" w:rsidRPr="00561855" w:rsidRDefault="00623B55" w:rsidP="00561855">
      <w:r>
        <w:rPr>
          <w:noProof/>
          <w:lang w:eastAsia="lv-LV"/>
        </w:rPr>
        <w:drawing>
          <wp:inline distT="0" distB="0" distL="0" distR="0" wp14:anchorId="14D913E6" wp14:editId="66DD1759">
            <wp:extent cx="5734050" cy="3686175"/>
            <wp:effectExtent l="0" t="0" r="0" b="9525"/>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5F8B19D1" w14:textId="77777777" w:rsidR="00623B55" w:rsidRDefault="00623B55" w:rsidP="00DD3352">
      <w:pPr>
        <w:spacing w:before="120" w:after="120" w:line="254" w:lineRule="auto"/>
        <w:ind w:firstLine="720"/>
        <w:jc w:val="both"/>
        <w:rPr>
          <w:rFonts w:cs="Times New Roman"/>
          <w:color w:val="000000" w:themeColor="text1"/>
        </w:rPr>
      </w:pPr>
    </w:p>
    <w:p w14:paraId="766A3F43" w14:textId="36A1127F" w:rsidR="00335EBE" w:rsidRPr="00080047" w:rsidRDefault="00DD3352" w:rsidP="00080047">
      <w:pPr>
        <w:pStyle w:val="Caption"/>
        <w:ind w:firstLine="720"/>
        <w:jc w:val="both"/>
        <w:rPr>
          <w:rFonts w:cs="Times New Roman"/>
        </w:rPr>
      </w:pPr>
      <w:r w:rsidRPr="00DD3352">
        <w:rPr>
          <w:rFonts w:cs="Times New Roman"/>
          <w:color w:val="000000" w:themeColor="text1"/>
        </w:rPr>
        <w:t>2017. gadā tika veikta daļēja atbalsta funkciju centralizācija – 81% nodarbināto veicamie pienākumi bija saistīti ar pamatfunkciju nodrošināšanu, savukārt 19% nodarbināto 2017. gadā nodrošin</w:t>
      </w:r>
      <w:r w:rsidR="00335EBE">
        <w:rPr>
          <w:rFonts w:cs="Times New Roman"/>
          <w:color w:val="000000" w:themeColor="text1"/>
        </w:rPr>
        <w:t>āja atbalsta funkcijas</w:t>
      </w:r>
      <w:r w:rsidRPr="00DD3352">
        <w:rPr>
          <w:rFonts w:cs="Times New Roman"/>
          <w:color w:val="000000" w:themeColor="text1"/>
        </w:rPr>
        <w:t xml:space="preserve">, līdz ar to atsevišķās iestādēs amati, kas būtu klasificējami, piemēram, personālvadības un grāmatvedības saimēs nav identificēti. </w:t>
      </w:r>
      <w:r w:rsidRPr="00DD3352">
        <w:rPr>
          <w:rFonts w:cs="Times New Roman"/>
        </w:rPr>
        <w:t xml:space="preserve">Savukārt 2019. gadā valsts pārvaldē atbalsta funkciju vidējais veicēju skaits samazināts līdz 3,2% </w:t>
      </w:r>
      <w:r w:rsidR="00335EBE">
        <w:rPr>
          <w:rFonts w:cs="Times New Roman"/>
        </w:rPr>
        <w:t>(</w:t>
      </w:r>
      <w:r w:rsidR="00080047">
        <w:rPr>
          <w:rFonts w:cs="Times New Roman"/>
        </w:rPr>
        <w:fldChar w:fldCharType="begin"/>
      </w:r>
      <w:r w:rsidR="00080047">
        <w:rPr>
          <w:rFonts w:cs="Times New Roman"/>
        </w:rPr>
        <w:instrText xml:space="preserve"> REF _Ref48204118 \h </w:instrText>
      </w:r>
      <w:r w:rsidR="00080047">
        <w:rPr>
          <w:rFonts w:cs="Times New Roman"/>
        </w:rPr>
      </w:r>
      <w:r w:rsidR="00080047">
        <w:rPr>
          <w:rFonts w:cs="Times New Roman"/>
        </w:rPr>
        <w:fldChar w:fldCharType="separate"/>
      </w:r>
      <w:r w:rsidR="00D96F20">
        <w:t xml:space="preserve">Attēls Nr. </w:t>
      </w:r>
      <w:r w:rsidR="00D96F20">
        <w:rPr>
          <w:noProof/>
        </w:rPr>
        <w:t>80</w:t>
      </w:r>
      <w:r w:rsidR="00080047">
        <w:rPr>
          <w:rFonts w:cs="Times New Roman"/>
        </w:rPr>
        <w:fldChar w:fldCharType="end"/>
      </w:r>
      <w:r w:rsidR="00335EBE">
        <w:rPr>
          <w:rFonts w:cs="Times New Roman"/>
        </w:rPr>
        <w:t>).</w:t>
      </w:r>
    </w:p>
    <w:p w14:paraId="6509F376" w14:textId="65C16C0B" w:rsidR="00335EBE" w:rsidRDefault="00335EBE" w:rsidP="00080047">
      <w:pPr>
        <w:pStyle w:val="Caption"/>
        <w:ind w:firstLine="720"/>
        <w:jc w:val="both"/>
      </w:pPr>
      <w:r w:rsidRPr="00335EBE">
        <w:rPr>
          <w:rFonts w:cs="Times New Roman"/>
          <w:color w:val="000000" w:themeColor="text1"/>
        </w:rPr>
        <w:t>2017. gadā tika secināts, ka vidēji valsts pārvaldē 14.</w:t>
      </w:r>
      <w:r w:rsidRPr="00335EBE">
        <w:rPr>
          <w:rFonts w:cs="Times New Roman"/>
        </w:rPr>
        <w:t xml:space="preserve">amatu saimē “Grāmatvedība” </w:t>
      </w:r>
      <w:r w:rsidRPr="00335EBE">
        <w:rPr>
          <w:rFonts w:cs="Times New Roman"/>
          <w:color w:val="000000" w:themeColor="text1"/>
        </w:rPr>
        <w:t xml:space="preserve">ir klasificēti 2 grāmatveži uz 100 amata vietām </w:t>
      </w:r>
      <w:r w:rsidRPr="00335EBE">
        <w:rPr>
          <w:rFonts w:cs="Times New Roman"/>
        </w:rPr>
        <w:t>(</w:t>
      </w:r>
      <w:r w:rsidR="00080047">
        <w:rPr>
          <w:rFonts w:cs="Times New Roman"/>
        </w:rPr>
        <w:fldChar w:fldCharType="begin"/>
      </w:r>
      <w:r w:rsidR="00080047">
        <w:rPr>
          <w:rFonts w:cs="Times New Roman"/>
        </w:rPr>
        <w:instrText xml:space="preserve"> REF _Ref48204128 \h </w:instrText>
      </w:r>
      <w:r w:rsidR="00080047">
        <w:rPr>
          <w:rFonts w:cs="Times New Roman"/>
        </w:rPr>
      </w:r>
      <w:r w:rsidR="00080047">
        <w:rPr>
          <w:rFonts w:cs="Times New Roman"/>
        </w:rPr>
        <w:fldChar w:fldCharType="separate"/>
      </w:r>
      <w:r w:rsidR="00D96F20">
        <w:t xml:space="preserve">Attēls Nr. </w:t>
      </w:r>
      <w:r w:rsidR="00D96F20">
        <w:rPr>
          <w:noProof/>
        </w:rPr>
        <w:t>81</w:t>
      </w:r>
      <w:r w:rsidR="00080047">
        <w:rPr>
          <w:rFonts w:cs="Times New Roman"/>
        </w:rPr>
        <w:fldChar w:fldCharType="end"/>
      </w:r>
      <w:r w:rsidRPr="00335EBE">
        <w:rPr>
          <w:rFonts w:cs="Times New Roman"/>
        </w:rPr>
        <w:t>)</w:t>
      </w:r>
      <w:r w:rsidRPr="00335EBE">
        <w:rPr>
          <w:rFonts w:cs="Times New Roman"/>
          <w:color w:val="000000" w:themeColor="text1"/>
        </w:rPr>
        <w:t xml:space="preserve">. </w:t>
      </w:r>
      <w:r w:rsidRPr="00335EBE">
        <w:rPr>
          <w:rFonts w:cs="Times New Roman"/>
        </w:rPr>
        <w:t>Tika konstatēts, ka ir iestāde, kurā 14.amatu saimē “Grāmatvedība” uz 100 amata vietām ir klasificēti pat 18,2 grāmatveži, kas pēc būtības ir neefektīvs resursu izlietojums.</w:t>
      </w:r>
      <w:r w:rsidRPr="00335EBE">
        <w:rPr>
          <w:rFonts w:cs="Times New Roman"/>
          <w:color w:val="000000" w:themeColor="text1"/>
        </w:rPr>
        <w:t xml:space="preserve"> Izvērtējot 2019.</w:t>
      </w:r>
      <w:r w:rsidR="001B56F3">
        <w:rPr>
          <w:rFonts w:cs="Times New Roman"/>
          <w:color w:val="000000" w:themeColor="text1"/>
        </w:rPr>
        <w:t xml:space="preserve"> </w:t>
      </w:r>
      <w:r w:rsidRPr="00335EBE">
        <w:rPr>
          <w:rFonts w:cs="Times New Roman"/>
          <w:color w:val="000000" w:themeColor="text1"/>
        </w:rPr>
        <w:t>gada 14.</w:t>
      </w:r>
      <w:r w:rsidRPr="00335EBE">
        <w:t>amatu saimē “Grāmatvedība” klasificēto amatu skaitu, t</w:t>
      </w:r>
      <w:r w:rsidRPr="00335EBE">
        <w:rPr>
          <w:rFonts w:cs="Times New Roman"/>
          <w:color w:val="000000" w:themeColor="text1"/>
        </w:rPr>
        <w:t>ika secināts, ka šajā saimē valsts pārvaldē vidēji ir klasificēti 1,4 grāmatveži uz 100 a</w:t>
      </w:r>
      <w:r w:rsidR="00080047">
        <w:rPr>
          <w:rFonts w:cs="Times New Roman"/>
          <w:color w:val="000000" w:themeColor="text1"/>
        </w:rPr>
        <w:t>mata vietām</w:t>
      </w:r>
      <w:r w:rsidRPr="00335EBE">
        <w:t>, tādējādi salīdzinot ar 2017. gadu vidējam amata vietu skaitam samazinoties par 0,6</w:t>
      </w:r>
      <w:r w:rsidRPr="00335EBE">
        <w:rPr>
          <w:rFonts w:cs="Times New Roman"/>
          <w:color w:val="000000" w:themeColor="text1"/>
        </w:rPr>
        <w:t xml:space="preserve">. </w:t>
      </w:r>
      <w:r w:rsidRPr="00335EBE">
        <w:t>Tomēr ir arī iestāde</w:t>
      </w:r>
      <w:r w:rsidR="00D87491">
        <w:t>s</w:t>
      </w:r>
      <w:r w:rsidRPr="00335EBE">
        <w:t>, kurā</w:t>
      </w:r>
      <w:r w:rsidR="00D87491">
        <w:t>s</w:t>
      </w:r>
      <w:r w:rsidRPr="00335EBE">
        <w:t xml:space="preserve"> šajā saimē pārrēķinot uz 100 amata vietām ir klasificēti </w:t>
      </w:r>
      <w:r w:rsidR="00D87491">
        <w:t>vairāk</w:t>
      </w:r>
      <w:r w:rsidRPr="00335EBE">
        <w:t xml:space="preserve"> </w:t>
      </w:r>
      <w:r w:rsidR="00D87491">
        <w:t>kā vidējais skaits grāmatvežu</w:t>
      </w:r>
      <w:r w:rsidRPr="00335EBE">
        <w:t xml:space="preserve">, kas </w:t>
      </w:r>
      <w:r w:rsidR="00D87491">
        <w:t>resoriem būtu pārskatāms, meklējot efektīvāko</w:t>
      </w:r>
      <w:r w:rsidRPr="00335EBE">
        <w:t xml:space="preserve"> resursu izlietojumu. Vienlaikus jāatzīmē, ka amati tika atlasīti pēc to klasificēšanas konkrētajā amatu saimē, nezinot konkrētus pienākumus, ko darbinieks veic, jo var būt situācijas, kad darbinieks pilda vēl arī cita amata funkcijas, kā arī var būt pretēja situācija, kad, piemēram, darbinieks veic galvenokārt grāmatveža funkcijas, bet ir k</w:t>
      </w:r>
      <w:r w:rsidR="00455E1F">
        <w:t>lasificēts finanšu amatu saimē.</w:t>
      </w:r>
    </w:p>
    <w:p w14:paraId="15D77A40" w14:textId="7C66353F" w:rsidR="00080047" w:rsidRDefault="00080047" w:rsidP="00080047">
      <w:pPr>
        <w:rPr>
          <w:iCs/>
          <w:szCs w:val="18"/>
        </w:rPr>
      </w:pPr>
      <w:bookmarkStart w:id="218" w:name="_Ref47363563"/>
    </w:p>
    <w:p w14:paraId="7815B1C9" w14:textId="77777777" w:rsidR="00080047" w:rsidRPr="00080047" w:rsidRDefault="00080047" w:rsidP="00080047"/>
    <w:p w14:paraId="49CDD51A" w14:textId="0EE2A2A8" w:rsidR="00D87491" w:rsidRPr="00335EBE" w:rsidRDefault="00D87491" w:rsidP="00D87491">
      <w:pPr>
        <w:pStyle w:val="Caption"/>
      </w:pPr>
      <w:bookmarkStart w:id="219" w:name="_Ref48204128"/>
      <w:r>
        <w:lastRenderedPageBreak/>
        <w:t xml:space="preserve">Attēls Nr. </w:t>
      </w:r>
      <w:fldSimple w:instr=" SEQ Attēls_Nr. \* ARABIC ">
        <w:r w:rsidR="00D96F20">
          <w:rPr>
            <w:noProof/>
          </w:rPr>
          <w:t>81</w:t>
        </w:r>
      </w:fldSimple>
      <w:bookmarkEnd w:id="218"/>
      <w:bookmarkEnd w:id="219"/>
    </w:p>
    <w:p w14:paraId="78751B1C" w14:textId="44B5CAF7" w:rsidR="00D87491" w:rsidRPr="00D87491" w:rsidRDefault="00D87491" w:rsidP="00D87491">
      <w:pPr>
        <w:spacing w:before="120" w:after="120" w:line="254" w:lineRule="auto"/>
        <w:jc w:val="center"/>
        <w:rPr>
          <w:rFonts w:cs="Times New Roman"/>
          <w:b/>
          <w:color w:val="000000" w:themeColor="text1"/>
        </w:rPr>
      </w:pPr>
      <w:r w:rsidRPr="00D87491">
        <w:rPr>
          <w:rFonts w:eastAsiaTheme="minorEastAsia" w:cs="Times New Roman"/>
          <w:b/>
          <w:bCs/>
          <w:kern w:val="24"/>
          <w:lang w:eastAsia="lv-LV"/>
        </w:rPr>
        <w:t xml:space="preserve">14. amatu saimē </w:t>
      </w:r>
      <w:r w:rsidR="001B56F3">
        <w:rPr>
          <w:rFonts w:eastAsiaTheme="minorEastAsia" w:cs="Times New Roman"/>
          <w:b/>
          <w:bCs/>
          <w:kern w:val="24"/>
          <w:lang w:eastAsia="lv-LV"/>
        </w:rPr>
        <w:t>“</w:t>
      </w:r>
      <w:r w:rsidRPr="00D87491">
        <w:rPr>
          <w:rFonts w:eastAsiaTheme="minorEastAsia" w:cs="Times New Roman"/>
          <w:b/>
          <w:bCs/>
          <w:kern w:val="24"/>
          <w:lang w:eastAsia="lv-LV"/>
        </w:rPr>
        <w:t>Grāmatvedība</w:t>
      </w:r>
      <w:r w:rsidR="001B56F3">
        <w:rPr>
          <w:rFonts w:eastAsiaTheme="minorEastAsia" w:cs="Times New Roman"/>
          <w:b/>
          <w:bCs/>
          <w:kern w:val="24"/>
          <w:lang w:eastAsia="lv-LV"/>
        </w:rPr>
        <w:t>”</w:t>
      </w:r>
      <w:r w:rsidRPr="00D87491">
        <w:rPr>
          <w:rFonts w:eastAsiaTheme="minorEastAsia" w:cs="Times New Roman"/>
          <w:b/>
          <w:bCs/>
          <w:kern w:val="24"/>
          <w:lang w:eastAsia="lv-LV"/>
        </w:rPr>
        <w:t xml:space="preserve"> klasificēto amata vietu skaits resoros un vidējais valsts pārvaldē šajā saimē klasificēto amata vietu skaits uz 100 amata vietām 2019. gadā</w:t>
      </w:r>
    </w:p>
    <w:p w14:paraId="31EAA611" w14:textId="4AE5746C" w:rsidR="00647BD5" w:rsidRDefault="00623B55" w:rsidP="0071213E">
      <w:pPr>
        <w:spacing w:before="120" w:after="120" w:line="254" w:lineRule="auto"/>
        <w:jc w:val="center"/>
        <w:rPr>
          <w:rFonts w:cs="Times New Roman"/>
          <w:color w:val="000000" w:themeColor="text1"/>
        </w:rPr>
      </w:pPr>
      <w:r w:rsidRPr="00855479">
        <w:rPr>
          <w:rFonts w:asciiTheme="minorHAnsi" w:hAnsiTheme="minorHAnsi"/>
          <w:noProof/>
          <w:sz w:val="22"/>
          <w:szCs w:val="22"/>
          <w:lang w:eastAsia="lv-LV"/>
        </w:rPr>
        <w:drawing>
          <wp:inline distT="0" distB="0" distL="0" distR="0" wp14:anchorId="4AD5A565" wp14:editId="03C87EF3">
            <wp:extent cx="5609492" cy="2919046"/>
            <wp:effectExtent l="0" t="0" r="10795" b="1524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5FB023A1" w14:textId="77777777" w:rsidR="0071213E" w:rsidRPr="0071213E" w:rsidRDefault="0071213E" w:rsidP="0071213E">
      <w:pPr>
        <w:spacing w:before="120" w:after="120" w:line="254" w:lineRule="auto"/>
        <w:jc w:val="center"/>
        <w:rPr>
          <w:rFonts w:cs="Times New Roman"/>
          <w:color w:val="000000" w:themeColor="text1"/>
        </w:rPr>
      </w:pPr>
    </w:p>
    <w:p w14:paraId="11F196CC" w14:textId="19DD5CE3" w:rsidR="00623B55" w:rsidRDefault="00623B55" w:rsidP="00623B55">
      <w:pPr>
        <w:pStyle w:val="Caption"/>
      </w:pPr>
      <w:bookmarkStart w:id="220" w:name="_Ref47364710"/>
      <w:r>
        <w:t xml:space="preserve">Attēls Nr. </w:t>
      </w:r>
      <w:fldSimple w:instr=" SEQ Attēls_Nr. \* ARABIC ">
        <w:r w:rsidR="00D96F20">
          <w:rPr>
            <w:noProof/>
          </w:rPr>
          <w:t>82</w:t>
        </w:r>
      </w:fldSimple>
      <w:bookmarkEnd w:id="220"/>
    </w:p>
    <w:p w14:paraId="7C32C18F" w14:textId="40B243CF" w:rsidR="00623B55" w:rsidRPr="00623B55" w:rsidRDefault="00623B55" w:rsidP="00623B55">
      <w:pPr>
        <w:spacing w:before="120" w:after="120" w:line="254" w:lineRule="auto"/>
        <w:jc w:val="center"/>
        <w:rPr>
          <w:b/>
        </w:rPr>
      </w:pPr>
      <w:r w:rsidRPr="00623B55">
        <w:rPr>
          <w:rFonts w:eastAsiaTheme="minorEastAsia" w:cs="Times New Roman"/>
          <w:b/>
          <w:bCs/>
          <w:kern w:val="24"/>
          <w:lang w:eastAsia="lv-LV"/>
        </w:rPr>
        <w:t xml:space="preserve">14. amatu saimē </w:t>
      </w:r>
      <w:r w:rsidR="001B56F3">
        <w:rPr>
          <w:rFonts w:eastAsiaTheme="minorEastAsia" w:cs="Times New Roman"/>
          <w:b/>
          <w:bCs/>
          <w:kern w:val="24"/>
          <w:lang w:eastAsia="lv-LV"/>
        </w:rPr>
        <w:t>“</w:t>
      </w:r>
      <w:r w:rsidRPr="00623B55">
        <w:rPr>
          <w:rFonts w:eastAsiaTheme="minorEastAsia" w:cs="Times New Roman"/>
          <w:b/>
          <w:bCs/>
          <w:kern w:val="24"/>
          <w:lang w:eastAsia="lv-LV"/>
        </w:rPr>
        <w:t>Apgāde (iepirkšana)</w:t>
      </w:r>
      <w:r w:rsidR="001B56F3">
        <w:rPr>
          <w:rFonts w:eastAsiaTheme="minorEastAsia" w:cs="Times New Roman"/>
          <w:b/>
          <w:bCs/>
          <w:kern w:val="24"/>
          <w:lang w:eastAsia="lv-LV"/>
        </w:rPr>
        <w:t>”</w:t>
      </w:r>
      <w:r w:rsidRPr="00623B55">
        <w:rPr>
          <w:rFonts w:eastAsiaTheme="minorEastAsia" w:cs="Times New Roman"/>
          <w:b/>
          <w:bCs/>
          <w:kern w:val="24"/>
          <w:lang w:eastAsia="lv-LV"/>
        </w:rPr>
        <w:t xml:space="preserve"> klasificēto amata vietu skaits resoros un vidējais valsts pārvaldē šajā saimē klasificēto amata vietu skaits uz 100 amata vietām</w:t>
      </w:r>
    </w:p>
    <w:p w14:paraId="0D92B0AD" w14:textId="47A560C8" w:rsidR="00647BD5" w:rsidRPr="00080047" w:rsidRDefault="00623B55" w:rsidP="00080047">
      <w:pPr>
        <w:spacing w:before="120" w:after="120" w:line="254" w:lineRule="auto"/>
        <w:rPr>
          <w:rFonts w:asciiTheme="minorHAnsi" w:hAnsiTheme="minorHAnsi"/>
          <w:sz w:val="22"/>
          <w:szCs w:val="22"/>
        </w:rPr>
      </w:pPr>
      <w:r w:rsidRPr="00623B55">
        <w:rPr>
          <w:rFonts w:asciiTheme="minorHAnsi" w:hAnsiTheme="minorHAnsi"/>
          <w:noProof/>
          <w:sz w:val="22"/>
          <w:szCs w:val="22"/>
          <w:lang w:eastAsia="lv-LV"/>
        </w:rPr>
        <w:drawing>
          <wp:inline distT="0" distB="0" distL="0" distR="0" wp14:anchorId="35571427" wp14:editId="68ACFA6D">
            <wp:extent cx="5772150" cy="2695575"/>
            <wp:effectExtent l="0" t="0" r="0" b="9525"/>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1CF12DEE" w14:textId="1DFC0D12" w:rsidR="001B56F3" w:rsidRDefault="001B56F3" w:rsidP="001B56F3">
      <w:pPr>
        <w:spacing w:before="120" w:after="120" w:line="254" w:lineRule="auto"/>
        <w:ind w:firstLine="720"/>
        <w:jc w:val="both"/>
      </w:pPr>
      <w:r w:rsidRPr="00623B55">
        <w:rPr>
          <w:rFonts w:cs="Times New Roman"/>
          <w:color w:val="000000" w:themeColor="text1"/>
        </w:rPr>
        <w:t>Izvērtējot 2.</w:t>
      </w:r>
      <w:r w:rsidRPr="00623B55">
        <w:t>amatu saimē “Apgāde (iepirkšana)” klasificēto amatu skaitu, t</w:t>
      </w:r>
      <w:r w:rsidRPr="00623B55">
        <w:rPr>
          <w:rFonts w:cs="Times New Roman"/>
          <w:color w:val="000000" w:themeColor="text1"/>
        </w:rPr>
        <w:t xml:space="preserve">ika secināts, ka šajā saimē valsts pārvaldē vidēji ir klasificēti 0,9 iepirkuma </w:t>
      </w:r>
      <w:r>
        <w:rPr>
          <w:rFonts w:cs="Times New Roman"/>
          <w:color w:val="000000" w:themeColor="text1"/>
        </w:rPr>
        <w:t>speciālisti uz 100 amata vietām (</w:t>
      </w:r>
      <w:r>
        <w:rPr>
          <w:rFonts w:cs="Times New Roman"/>
          <w:color w:val="000000" w:themeColor="text1"/>
        </w:rPr>
        <w:fldChar w:fldCharType="begin"/>
      </w:r>
      <w:r>
        <w:rPr>
          <w:rFonts w:cs="Times New Roman"/>
          <w:color w:val="000000" w:themeColor="text1"/>
        </w:rPr>
        <w:instrText xml:space="preserve"> REF _Ref47364710 \h </w:instrText>
      </w:r>
      <w:r>
        <w:rPr>
          <w:rFonts w:cs="Times New Roman"/>
          <w:color w:val="000000" w:themeColor="text1"/>
        </w:rPr>
      </w:r>
      <w:r>
        <w:rPr>
          <w:rFonts w:cs="Times New Roman"/>
          <w:color w:val="000000" w:themeColor="text1"/>
        </w:rPr>
        <w:fldChar w:fldCharType="separate"/>
      </w:r>
      <w:r w:rsidR="00D96F20">
        <w:t xml:space="preserve">Attēls Nr. </w:t>
      </w:r>
      <w:r w:rsidR="00D96F20">
        <w:rPr>
          <w:noProof/>
        </w:rPr>
        <w:t>82</w:t>
      </w:r>
      <w:r>
        <w:rPr>
          <w:rFonts w:cs="Times New Roman"/>
          <w:color w:val="000000" w:themeColor="text1"/>
        </w:rPr>
        <w:fldChar w:fldCharType="end"/>
      </w:r>
      <w:r>
        <w:rPr>
          <w:rFonts w:cs="Times New Roman"/>
          <w:color w:val="000000" w:themeColor="text1"/>
        </w:rPr>
        <w:t xml:space="preserve">). </w:t>
      </w:r>
      <w:r w:rsidRPr="00623B55">
        <w:t xml:space="preserve">Vienlaikus ir vairākas iestādes, kurās šajā saimē uz 100 amata vietām ir klasificēti 2,8 - 3,8 iepirkuma speciālisti, kas vairāk nekā 3 reizes pārsniedz valsts pārvaldes vidējo rādītāju, (piemēram – Valsts sociālās aprūpes centrs “Vidzeme” – 3,8 iepirkuma speciālisti; </w:t>
      </w:r>
      <w:r>
        <w:t>IeM</w:t>
      </w:r>
      <w:r w:rsidRPr="00623B55">
        <w:t xml:space="preserve"> Informācijas centrs – 3,5; Izglītības kvalitātes valsts dienests – 2,8)</w:t>
      </w:r>
      <w:r>
        <w:t>.</w:t>
      </w:r>
      <w:r w:rsidRPr="00623B55">
        <w:t xml:space="preserve">  </w:t>
      </w:r>
    </w:p>
    <w:p w14:paraId="68AA34B4" w14:textId="19764284" w:rsidR="00647BD5" w:rsidRDefault="00623B55" w:rsidP="001B56F3">
      <w:pPr>
        <w:spacing w:before="120" w:after="120" w:line="254" w:lineRule="auto"/>
        <w:ind w:firstLine="720"/>
        <w:jc w:val="both"/>
      </w:pPr>
      <w:r w:rsidRPr="00623B55">
        <w:rPr>
          <w:rFonts w:cs="Times New Roman"/>
        </w:rPr>
        <w:lastRenderedPageBreak/>
        <w:t xml:space="preserve">2017. gadā tika secināts, ka 30.amatu saimē “Personālvadība” </w:t>
      </w:r>
      <w:r w:rsidRPr="00623B55">
        <w:rPr>
          <w:rFonts w:cs="Times New Roman"/>
          <w:color w:val="000000" w:themeColor="text1"/>
        </w:rPr>
        <w:t xml:space="preserve">vidēji valsts pārvaldē ir klasificēti 1,2 personāla speciālisti uz 100 amata vietām </w:t>
      </w:r>
      <w:r w:rsidRPr="00623B55">
        <w:rPr>
          <w:rFonts w:cs="Times New Roman"/>
        </w:rPr>
        <w:t>(</w:t>
      </w:r>
      <w:r w:rsidR="006E7DCE">
        <w:rPr>
          <w:rFonts w:cs="Times New Roman"/>
        </w:rPr>
        <w:fldChar w:fldCharType="begin"/>
      </w:r>
      <w:r w:rsidR="006E7DCE">
        <w:rPr>
          <w:rFonts w:cs="Times New Roman"/>
        </w:rPr>
        <w:instrText xml:space="preserve"> REF _Ref47365757 \h </w:instrText>
      </w:r>
      <w:r w:rsidR="006E7DCE">
        <w:rPr>
          <w:rFonts w:cs="Times New Roman"/>
        </w:rPr>
      </w:r>
      <w:r w:rsidR="006E7DCE">
        <w:rPr>
          <w:rFonts w:cs="Times New Roman"/>
        </w:rPr>
        <w:fldChar w:fldCharType="separate"/>
      </w:r>
      <w:r w:rsidR="00D96F20">
        <w:t xml:space="preserve">Attēls Nr. </w:t>
      </w:r>
      <w:r w:rsidR="00D96F20">
        <w:rPr>
          <w:noProof/>
        </w:rPr>
        <w:t>83</w:t>
      </w:r>
      <w:r w:rsidR="006E7DCE">
        <w:rPr>
          <w:rFonts w:cs="Times New Roman"/>
        </w:rPr>
        <w:fldChar w:fldCharType="end"/>
      </w:r>
      <w:r w:rsidRPr="00623B55">
        <w:rPr>
          <w:rFonts w:cs="Times New Roman"/>
        </w:rPr>
        <w:t>)</w:t>
      </w:r>
      <w:r w:rsidRPr="00623B55">
        <w:rPr>
          <w:rFonts w:cs="Times New Roman"/>
          <w:color w:val="000000" w:themeColor="text1"/>
        </w:rPr>
        <w:t>. Vienlaikus tika konstatēts, ka ir arī iestāde, kurā</w:t>
      </w:r>
      <w:r w:rsidRPr="00623B55">
        <w:rPr>
          <w:rFonts w:cs="Times New Roman"/>
        </w:rPr>
        <w:t xml:space="preserve"> 30.amatu saimē “Personālvadība” uz 100 amata vietām ir klasificēts 9,1 personāla speciālists.</w:t>
      </w:r>
      <w:r w:rsidRPr="00623B55">
        <w:rPr>
          <w:rFonts w:asciiTheme="minorHAnsi" w:hAnsiTheme="minorHAnsi"/>
        </w:rPr>
        <w:t xml:space="preserve"> </w:t>
      </w:r>
      <w:r w:rsidRPr="00623B55">
        <w:t>Savukārt 2019.</w:t>
      </w:r>
      <w:r w:rsidR="00141A91">
        <w:t xml:space="preserve"> </w:t>
      </w:r>
      <w:r w:rsidRPr="00623B55">
        <w:t xml:space="preserve">gada dati liecina, ka  30.amatu saimē “Personālvadība” </w:t>
      </w:r>
      <w:r w:rsidRPr="00623B55">
        <w:rPr>
          <w:rFonts w:cs="Times New Roman"/>
          <w:color w:val="000000" w:themeColor="text1"/>
        </w:rPr>
        <w:t xml:space="preserve">vidēji valsts pārvaldē ir klasificēti 0,8 personāla speciālisti uz 100 amata vietām </w:t>
      </w:r>
      <w:r w:rsidR="006E7DCE">
        <w:t>(</w:t>
      </w:r>
      <w:r w:rsidR="006E7DCE">
        <w:fldChar w:fldCharType="begin"/>
      </w:r>
      <w:r w:rsidR="006E7DCE">
        <w:instrText xml:space="preserve"> REF _Ref47365757 \h </w:instrText>
      </w:r>
      <w:r w:rsidR="006E7DCE">
        <w:fldChar w:fldCharType="separate"/>
      </w:r>
      <w:r w:rsidR="00D96F20">
        <w:t xml:space="preserve">Attēls Nr. </w:t>
      </w:r>
      <w:r w:rsidR="00D96F20">
        <w:rPr>
          <w:noProof/>
        </w:rPr>
        <w:t>83</w:t>
      </w:r>
      <w:r w:rsidR="006E7DCE">
        <w:fldChar w:fldCharType="end"/>
      </w:r>
      <w:r w:rsidR="006E7DCE">
        <w:t xml:space="preserve">), </w:t>
      </w:r>
      <w:r w:rsidRPr="00623B55">
        <w:rPr>
          <w:rFonts w:cs="Times New Roman"/>
          <w:color w:val="000000" w:themeColor="text1"/>
        </w:rPr>
        <w:t>tādējādi salīdzinot ar 2017. gadu samazinot vidējo amatu vietu skaitu par 0,4. Vienlaikus tika konstatēts, ka ir arī iestāde, kurā</w:t>
      </w:r>
      <w:r w:rsidRPr="00623B55">
        <w:t xml:space="preserve"> 30.amatu saimē “Personālvadība” uz pārrēķinātām 100 amata vietām ir klasificēti </w:t>
      </w:r>
      <w:r w:rsidR="006E7DCE">
        <w:t>daudz vairāk</w:t>
      </w:r>
      <w:r w:rsidRPr="00623B55">
        <w:t xml:space="preserve"> personāla speciālisti</w:t>
      </w:r>
      <w:r w:rsidR="006E7DCE">
        <w:t xml:space="preserve"> nekā vidējais</w:t>
      </w:r>
      <w:r w:rsidRPr="00623B55">
        <w:t>. (piemēram</w:t>
      </w:r>
      <w:r w:rsidR="00647BD5">
        <w:t>, Latvijas Zinātnes padome – 14,</w:t>
      </w:r>
      <w:r w:rsidRPr="00623B55">
        <w:t>3 personāla speciālisti; Datu valsts inspekcija – 3,8; Juridiskās palīdzības administrācija 2,9). Ņemot vērā, ka šīs iestādes atbilst mazas iestādes statusam ar mazu kopējo nodarbināto skaitu, tad būtu izvērtējama turpmāka attiecīgās funkcijas centralizācija konkrētā resora ietvaros.  (Vienlaikus atzīmējam, ka ar 2020. gada 1. jūliju Latvijas Zinātnes padome tiek reorganizēta)</w:t>
      </w:r>
    </w:p>
    <w:p w14:paraId="0655E80C" w14:textId="246ACD69" w:rsidR="00623B55" w:rsidRDefault="00623B55" w:rsidP="00623B55">
      <w:pPr>
        <w:pStyle w:val="Caption"/>
      </w:pPr>
      <w:bookmarkStart w:id="221" w:name="_Ref47365757"/>
      <w:r>
        <w:t xml:space="preserve">Attēls Nr. </w:t>
      </w:r>
      <w:fldSimple w:instr=" SEQ Attēls_Nr. \* ARABIC ">
        <w:r w:rsidR="00D96F20">
          <w:rPr>
            <w:noProof/>
          </w:rPr>
          <w:t>83</w:t>
        </w:r>
      </w:fldSimple>
      <w:bookmarkEnd w:id="221"/>
    </w:p>
    <w:p w14:paraId="28B3BB79" w14:textId="77777777" w:rsidR="00623B55" w:rsidRPr="00623B55" w:rsidRDefault="00623B55" w:rsidP="00623B55">
      <w:pPr>
        <w:spacing w:before="120" w:after="120" w:line="254" w:lineRule="auto"/>
        <w:ind w:firstLine="720"/>
        <w:jc w:val="center"/>
        <w:rPr>
          <w:b/>
        </w:rPr>
      </w:pPr>
      <w:r w:rsidRPr="00623B55">
        <w:rPr>
          <w:rFonts w:eastAsiaTheme="minorEastAsia" w:cs="Times New Roman"/>
          <w:b/>
          <w:bCs/>
          <w:kern w:val="24"/>
          <w:lang w:eastAsia="lv-LV"/>
        </w:rPr>
        <w:t>30. amatu saimē "Personālvadība" klasificēto amata vietu skaits resoros un vidējais valsts pārvaldē šajā saimē klasificēto amata vietu skaits uz 100 amata vietām</w:t>
      </w:r>
    </w:p>
    <w:p w14:paraId="38CD31F0" w14:textId="5BD8FD4B" w:rsidR="00623B55" w:rsidRPr="00623B55" w:rsidRDefault="00623B55" w:rsidP="00623B55">
      <w:pPr>
        <w:spacing w:before="120" w:after="120" w:line="254" w:lineRule="auto"/>
        <w:rPr>
          <w:rFonts w:asciiTheme="minorHAnsi" w:hAnsiTheme="minorHAnsi"/>
        </w:rPr>
      </w:pPr>
      <w:r w:rsidRPr="00623B55">
        <w:rPr>
          <w:rFonts w:asciiTheme="minorHAnsi" w:hAnsiTheme="minorHAnsi"/>
          <w:noProof/>
          <w:lang w:eastAsia="lv-LV"/>
        </w:rPr>
        <w:drawing>
          <wp:inline distT="0" distB="0" distL="0" distR="0" wp14:anchorId="4F102045" wp14:editId="6051F6BA">
            <wp:extent cx="5734050" cy="2822713"/>
            <wp:effectExtent l="0" t="0" r="0" b="15875"/>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6096BE86" w14:textId="5F489616" w:rsidR="00B71726" w:rsidRPr="001B56F3" w:rsidRDefault="00623B55" w:rsidP="001B56F3">
      <w:pPr>
        <w:spacing w:before="120" w:after="120" w:line="254" w:lineRule="auto"/>
        <w:ind w:firstLine="720"/>
        <w:jc w:val="both"/>
        <w:rPr>
          <w:rFonts w:eastAsiaTheme="minorEastAsia"/>
          <w:bCs/>
          <w:kern w:val="24"/>
          <w:lang w:eastAsia="lv-LV"/>
        </w:rPr>
      </w:pPr>
      <w:r w:rsidRPr="006E7DCE">
        <w:rPr>
          <w:b/>
          <w:color w:val="000000" w:themeColor="text1"/>
        </w:rPr>
        <w:t>Tādējādi resoros ir turpināma aktīva procesu efektivitātes izvērtēšana un pārskatīšana, kā arī veicami pilnveidojumi atbalsta funkciju centralizēšanai.</w:t>
      </w:r>
      <w:r>
        <w:rPr>
          <w:color w:val="000000" w:themeColor="text1"/>
        </w:rPr>
        <w:t xml:space="preserve"> </w:t>
      </w:r>
      <w:r w:rsidRPr="00855479">
        <w:rPr>
          <w:color w:val="000000" w:themeColor="text1"/>
        </w:rPr>
        <w:t xml:space="preserve">Minēto darbību rezultātā radušos finanšu līdzekļu ekonomiju </w:t>
      </w:r>
      <w:r>
        <w:rPr>
          <w:color w:val="000000" w:themeColor="text1"/>
        </w:rPr>
        <w:t xml:space="preserve">vajadzētu </w:t>
      </w:r>
      <w:r w:rsidRPr="00855479">
        <w:rPr>
          <w:color w:val="000000" w:themeColor="text1"/>
        </w:rPr>
        <w:t>novirz</w:t>
      </w:r>
      <w:r>
        <w:rPr>
          <w:color w:val="000000" w:themeColor="text1"/>
        </w:rPr>
        <w:t>īt</w:t>
      </w:r>
      <w:r w:rsidRPr="00855479">
        <w:rPr>
          <w:color w:val="000000" w:themeColor="text1"/>
        </w:rPr>
        <w:t xml:space="preserve"> citu pamatfunkciju īstenošanai, kā arī iestādes amatpersonu un darbinieku motivēšanai.</w:t>
      </w:r>
      <w:r>
        <w:rPr>
          <w:color w:val="000000" w:themeColor="text1"/>
        </w:rPr>
        <w:t xml:space="preserve"> N</w:t>
      </w:r>
      <w:r>
        <w:rPr>
          <w:rFonts w:eastAsiaTheme="minorEastAsia"/>
          <w:bCs/>
          <w:kern w:val="24"/>
          <w:lang w:eastAsia="lv-LV"/>
        </w:rPr>
        <w:t xml:space="preserve">eskatoties uz jau paveikto, arī turpmāk </w:t>
      </w:r>
      <w:r w:rsidRPr="00855479">
        <w:rPr>
          <w:rFonts w:eastAsiaTheme="minorEastAsia"/>
          <w:bCs/>
          <w:kern w:val="24"/>
          <w:lang w:eastAsia="lv-LV"/>
        </w:rPr>
        <w:t xml:space="preserve">resoriem ir jāturpina darbs pie atbalsta funkciju centralizācijas, </w:t>
      </w:r>
      <w:r>
        <w:rPr>
          <w:rFonts w:eastAsiaTheme="minorEastAsia"/>
          <w:bCs/>
          <w:kern w:val="24"/>
          <w:lang w:eastAsia="lv-LV"/>
        </w:rPr>
        <w:t xml:space="preserve">kā arī </w:t>
      </w:r>
      <w:r w:rsidRPr="00855479">
        <w:rPr>
          <w:rFonts w:eastAsiaTheme="minorEastAsia"/>
          <w:bCs/>
          <w:kern w:val="24"/>
          <w:lang w:eastAsia="lv-LV"/>
        </w:rPr>
        <w:t xml:space="preserve">cita veida resursu optimizācijas, lai nodrošinātu izvirzītā mērķa – “maza un profesionāla valsts pārvalde” kvalitatīvu sasniegšanu. </w:t>
      </w:r>
    </w:p>
    <w:p w14:paraId="1217FE90" w14:textId="77777777" w:rsidR="00EA5FF4" w:rsidRDefault="00EA5FF4" w:rsidP="006A15ED">
      <w:pPr>
        <w:pStyle w:val="Heading2"/>
        <w:numPr>
          <w:ilvl w:val="1"/>
          <w:numId w:val="2"/>
        </w:numPr>
      </w:pPr>
      <w:bookmarkStart w:id="222" w:name="_Toc48200658"/>
      <w:r w:rsidRPr="00EA5FF4">
        <w:t>Valsts budžeta izpildes analīzes pilnveid</w:t>
      </w:r>
      <w:r>
        <w:t>e</w:t>
      </w:r>
      <w:bookmarkEnd w:id="222"/>
    </w:p>
    <w:p w14:paraId="3D8D92A9" w14:textId="77777777" w:rsidR="00EB5FF6" w:rsidRDefault="00EB5FF6" w:rsidP="006B1D04">
      <w:pPr>
        <w:spacing w:after="120" w:line="254" w:lineRule="auto"/>
        <w:ind w:firstLine="709"/>
        <w:jc w:val="both"/>
        <w:rPr>
          <w:rFonts w:cs="Times New Roman"/>
        </w:rPr>
      </w:pPr>
      <w:r>
        <w:rPr>
          <w:rFonts w:cs="Times New Roman"/>
        </w:rPr>
        <w:t>Valsts budžeta izpildes analīzes mērķis ir sekot līdzi virzībai</w:t>
      </w:r>
      <w:r w:rsidRPr="000C2734">
        <w:rPr>
          <w:rFonts w:cs="Times New Roman"/>
        </w:rPr>
        <w:t xml:space="preserve"> uz plānot</w:t>
      </w:r>
      <w:r>
        <w:rPr>
          <w:rFonts w:cs="Times New Roman"/>
        </w:rPr>
        <w:t>ājiem rezultātiem</w:t>
      </w:r>
      <w:r w:rsidRPr="000C2734">
        <w:rPr>
          <w:rFonts w:cs="Times New Roman"/>
        </w:rPr>
        <w:t>, apzināt novirzes</w:t>
      </w:r>
      <w:r>
        <w:rPr>
          <w:rFonts w:cs="Times New Roman"/>
        </w:rPr>
        <w:t xml:space="preserve"> no sākotnējiem plāniem un to iemeslus</w:t>
      </w:r>
      <w:r w:rsidRPr="000C2734">
        <w:rPr>
          <w:rFonts w:cs="Times New Roman"/>
        </w:rPr>
        <w:t>, izdarīt secinājumus par nepieciešamajām izmai</w:t>
      </w:r>
      <w:r>
        <w:rPr>
          <w:rFonts w:cs="Times New Roman"/>
        </w:rPr>
        <w:t>ņ</w:t>
      </w:r>
      <w:r w:rsidRPr="000C2734">
        <w:rPr>
          <w:rFonts w:cs="Times New Roman"/>
        </w:rPr>
        <w:t xml:space="preserve">ām </w:t>
      </w:r>
      <w:r>
        <w:rPr>
          <w:rFonts w:cs="Times New Roman"/>
        </w:rPr>
        <w:t>un veikt atbilstošas darbības</w:t>
      </w:r>
      <w:r w:rsidRPr="000C2734">
        <w:rPr>
          <w:rFonts w:cs="Times New Roman"/>
        </w:rPr>
        <w:t xml:space="preserve">, </w:t>
      </w:r>
      <w:r>
        <w:rPr>
          <w:rFonts w:cs="Times New Roman"/>
        </w:rPr>
        <w:t xml:space="preserve">tajā pašā laikā </w:t>
      </w:r>
      <w:r w:rsidRPr="000C2734">
        <w:rPr>
          <w:rFonts w:cs="Times New Roman"/>
        </w:rPr>
        <w:t>nodrošin</w:t>
      </w:r>
      <w:r>
        <w:rPr>
          <w:rFonts w:cs="Times New Roman"/>
        </w:rPr>
        <w:t>o</w:t>
      </w:r>
      <w:r w:rsidRPr="000C2734">
        <w:rPr>
          <w:rFonts w:cs="Times New Roman"/>
        </w:rPr>
        <w:t>t atklātību</w:t>
      </w:r>
      <w:r>
        <w:rPr>
          <w:rFonts w:cs="Times New Roman"/>
        </w:rPr>
        <w:t xml:space="preserve"> par finanšu līdzekļu izlietojumu</w:t>
      </w:r>
      <w:r w:rsidRPr="000C2734">
        <w:rPr>
          <w:rFonts w:cs="Times New Roman"/>
        </w:rPr>
        <w:t>.</w:t>
      </w:r>
      <w:r>
        <w:rPr>
          <w:rFonts w:cs="Times New Roman"/>
        </w:rPr>
        <w:t xml:space="preserve"> Ņemot vērā to, ka ir apritējuši divi gadi kopš MK 2018. gada 10. aprīļa instrukcijas Nr. 2 “Instrukcija par valsts budžeta izpildes analīzi” (turpmāk – Instrukcija Nr. 2) spēkā stāšanās, kā rezultātā resori ir iesnieguši kopskaitā sešus valsts budžeta </w:t>
      </w:r>
      <w:r>
        <w:rPr>
          <w:rFonts w:cs="Times New Roman"/>
        </w:rPr>
        <w:lastRenderedPageBreak/>
        <w:t>izpildes analīzes (turpmāk – Izpildes analīze) ziņojumus, 2020. gada</w:t>
      </w:r>
      <w:r w:rsidRPr="00F91B11">
        <w:t xml:space="preserve"> </w:t>
      </w:r>
      <w:r w:rsidRPr="00F91B11">
        <w:rPr>
          <w:rFonts w:cs="Times New Roman"/>
        </w:rPr>
        <w:t>valsts budžeta</w:t>
      </w:r>
      <w:r>
        <w:rPr>
          <w:rFonts w:cs="Times New Roman"/>
        </w:rPr>
        <w:t xml:space="preserve"> izdevumu pārskatīšanas ietvaros tika apkopoti priekšlikumi iespējamiem uzlabojumiem Izpildes analīzes saturā un iesniegšanas kārtībā.</w:t>
      </w:r>
    </w:p>
    <w:p w14:paraId="7B4027A5" w14:textId="77777777" w:rsidR="00EB5FF6" w:rsidRDefault="00EB5FF6" w:rsidP="006B1D04">
      <w:pPr>
        <w:spacing w:after="120" w:line="254" w:lineRule="auto"/>
        <w:ind w:firstLine="709"/>
        <w:jc w:val="both"/>
        <w:rPr>
          <w:rFonts w:cs="Times New Roman"/>
        </w:rPr>
      </w:pPr>
      <w:r>
        <w:rPr>
          <w:rFonts w:cs="Times New Roman"/>
        </w:rPr>
        <w:t>Lai noskaidrotu informācijas iesniedzēju viedokli, visiem resoriem tika nosūtīta vēstule ar lūgumu</w:t>
      </w:r>
      <w:r w:rsidRPr="002B343F">
        <w:t xml:space="preserve"> </w:t>
      </w:r>
      <w:r>
        <w:t>izteikt viedokli par informācijas izmantošanu ikdienas darba pienākumu veikšanā, kā arī sniegt priekšlikumus par iespējamo saturisko un tehnisko pilnveidi.</w:t>
      </w:r>
    </w:p>
    <w:p w14:paraId="673DE55E" w14:textId="3CEFA784" w:rsidR="00EB5FF6" w:rsidRDefault="00EB5FF6" w:rsidP="006B1D04">
      <w:pPr>
        <w:spacing w:after="120" w:line="254" w:lineRule="auto"/>
        <w:ind w:firstLine="709"/>
        <w:jc w:val="both"/>
      </w:pPr>
      <w:r>
        <w:t>No 28 resoriem atbildes iesniedza 2</w:t>
      </w:r>
      <w:r w:rsidR="00397C2C">
        <w:t>3</w:t>
      </w:r>
      <w:r>
        <w:t xml:space="preserve"> resori. SM nebija komentāru nevienā no jautājumiem, bet SIF, Prokuratūra, CZK un NEPLP atbildes neiesniedza.</w:t>
      </w:r>
    </w:p>
    <w:p w14:paraId="4C952DE0" w14:textId="77777777" w:rsidR="00EB5FF6" w:rsidRDefault="00EB5FF6" w:rsidP="006B1D04">
      <w:pPr>
        <w:spacing w:after="120" w:line="254" w:lineRule="auto"/>
        <w:ind w:firstLine="709"/>
        <w:jc w:val="both"/>
      </w:pPr>
      <w:r>
        <w:t>Sniegtajās atbildēs apjomīgākās piedāvātās saturiskās izmaiņas saistāmas ar iesniedzamo Izpildes analīzi par 6 un 9 mēnešiem. Ierosinājumi paredz gan radikālu risinājumu, proti, neiesniegt šīs divas Izpildes analīzes, atstājot tikai Izpildes analīzi par 12 mēnešiem, gan arī vairākas izmaiņas 6 un 9 mēnešu analīzēs, izslēdzot atsevišķus punktus, kur iesniedzamā informācija nav uzskatāma par nepieciešamu.</w:t>
      </w:r>
    </w:p>
    <w:p w14:paraId="120DC557" w14:textId="77777777" w:rsidR="00EB5FF6" w:rsidRDefault="00EB5FF6" w:rsidP="006B1D04">
      <w:pPr>
        <w:spacing w:after="120" w:line="254" w:lineRule="auto"/>
        <w:ind w:firstLine="709"/>
        <w:jc w:val="both"/>
      </w:pPr>
      <w:r>
        <w:t xml:space="preserve"> Atsevišķi resori (ĀM,</w:t>
      </w:r>
      <w:r w:rsidRPr="00C41337">
        <w:t xml:space="preserve"> </w:t>
      </w:r>
      <w:r>
        <w:t>FM un VARAM) norāda, ka 6 un 9 mēnešu Izpildes analīzē ir mazinājusies finanšu analīzes datu salīdzināšanas lietderība, jo sākot ar 2019. gadu finansiālie dati tiek salīdzināti ar sākotnējo finansēšanas plānu (prognozi</w:t>
      </w:r>
      <w:r w:rsidRPr="00C41337">
        <w:t xml:space="preserve"> pa ceturkšņiem</w:t>
      </w:r>
      <w:r>
        <w:t xml:space="preserve">), kas tiek apstiprināts uz iepriekšējā gada 31. decembri, kamēr pats resors savus izdevumus izvērtē salīdzinājumā ar aktualizētajiem finanšu plāniem. Tā kā atsevišķu projektu realizācijai jau gada pirmajā pusē var rasties nepieciešamība pārplānot finansējumu, tad visa gada ietvaros jāuztur divi finansējuma plānojumi – sākotnējais, uz kuru jāatsaucas un jāveic aprēķini Izpildes analīzes kontekstā, un aktuālais, lai nodrošinātu iestādes operatīvo darbību. Ceturkšņa prognoze kā jaunais atskaites punkts budžeta izpildes gaitas novērtēšanai saimnieciskā gada laikā tika ieviests brīdī, kad, atvieglojot administratīvo slogu, tika atcelta finansēšanas plānu sagatavošana pa mēnešiem (tātad arī ceturkšņiem). Izpildes analīzē svarīgi ir ne tikai veikt situācijas analīzi pēc saimnieciskā gada beigām, bet arī tā laikā, </w:t>
      </w:r>
      <w:r w:rsidRPr="009E0C2E">
        <w:t xml:space="preserve">tādējādi jau </w:t>
      </w:r>
      <w:r>
        <w:t xml:space="preserve">tobrīd noskaidrojot iemeslus </w:t>
      </w:r>
      <w:r w:rsidRPr="009E0C2E">
        <w:t>faktiskā</w:t>
      </w:r>
      <w:r>
        <w:t>s</w:t>
      </w:r>
      <w:r w:rsidRPr="009E0C2E">
        <w:t xml:space="preserve"> izpilde</w:t>
      </w:r>
      <w:r>
        <w:t>s atšķirībai no sākotnēji prognozētā</w:t>
      </w:r>
      <w:r w:rsidRPr="009E0C2E">
        <w:t xml:space="preserve"> un sniedzot skaidrojumu par plānotām darbībām finansējuma apguvei gada ietvaros</w:t>
      </w:r>
      <w:r>
        <w:t xml:space="preserve">. </w:t>
      </w:r>
      <w:r w:rsidRPr="00063DF4">
        <w:t>Tas sniedz iespēju regulāri nodrošināt ieinteresēto pušu informēšanu par aktuālo budžetā izpildes gaitu.</w:t>
      </w:r>
    </w:p>
    <w:p w14:paraId="355861B7" w14:textId="77777777" w:rsidR="00EB5FF6" w:rsidRDefault="00EB5FF6" w:rsidP="006B1D04">
      <w:pPr>
        <w:spacing w:after="120" w:line="254" w:lineRule="auto"/>
        <w:ind w:firstLine="709"/>
        <w:jc w:val="both"/>
      </w:pPr>
      <w:r>
        <w:t>IeM aicina izvērtēt Instrukcijas Nr. 2 1. pielikuma sadaļās “Paveiktais” un “Izmaiņas” esošo jautājumu par</w:t>
      </w:r>
      <w:r w:rsidRPr="00D23ACD">
        <w:t xml:space="preserve"> darbības rezultatīvo rādītāju</w:t>
      </w:r>
      <w:r>
        <w:t xml:space="preserve"> izpildes gaitu nepieciešamību (veicot Izpildes analīzi par 6 un 9 mēnešiem), jo ne visi rezultatīvie rādītāji esot tieši saistīti ar finansējuma izlietojumu. Arī VARAM ierosina </w:t>
      </w:r>
      <w:r w:rsidRPr="00AE7253">
        <w:t xml:space="preserve">nesniegt skaidrojumu par </w:t>
      </w:r>
      <w:r>
        <w:t>6</w:t>
      </w:r>
      <w:r w:rsidRPr="00AE7253">
        <w:t xml:space="preserve"> un </w:t>
      </w:r>
      <w:r>
        <w:t>9 mēnešiem par to,</w:t>
      </w:r>
      <w:r w:rsidRPr="00AE7253">
        <w:t xml:space="preserve"> kā pasākumi un (vai) aktivitātes ietekmē gadskārtējā valsts budžeta paskaidrojumos plānoto darbības rezultatī</w:t>
      </w:r>
      <w:r>
        <w:t>vo rādītāju vērtību sasniegšanu,</w:t>
      </w:r>
      <w:r w:rsidRPr="00AE7253">
        <w:t xml:space="preserve"> </w:t>
      </w:r>
      <w:r>
        <w:t>norādot, ka</w:t>
      </w:r>
      <w:r w:rsidRPr="00AE7253">
        <w:t xml:space="preserve"> informācija</w:t>
      </w:r>
      <w:r>
        <w:t xml:space="preserve"> šādā</w:t>
      </w:r>
      <w:r w:rsidRPr="00AE7253">
        <w:t xml:space="preserve"> griezumā nekad nav </w:t>
      </w:r>
      <w:r>
        <w:t xml:space="preserve">izmantojama. Analizējot resoru atbildes, konstatēts, ka rezultatīvie rādītāji ne vienmēr raksturo finansējuma izlietojumu, taču būtu jānotiek nepārtrauktai virzībai uz pilnveidošanos, lai rezultatīvie rādītāji iespējami pilnīgāk atainotu finansējuma izlietošanas rezultātā sasniegtos mērķus. </w:t>
      </w:r>
      <w:r w:rsidRPr="00063DF4">
        <w:t>Uz rezultātu vērstā budžeta veidošana tiek uzsvērta kā svarīgs priekšnosacījums publisko finanšu kvalitātei arī starptautiskajā kontekstā</w:t>
      </w:r>
      <w:r w:rsidRPr="00063DF4">
        <w:rPr>
          <w:rStyle w:val="FootnoteReference"/>
        </w:rPr>
        <w:footnoteReference w:id="59"/>
      </w:r>
      <w:r w:rsidRPr="00063DF4">
        <w:t>.</w:t>
      </w:r>
      <w:r>
        <w:t xml:space="preserve"> </w:t>
      </w:r>
      <w:r w:rsidRPr="000F53A9">
        <w:t>Starptautiskā prakse liecina, ka rezultatīvo rādītāju kvalitāte kļūs aizvien vitālāka gan finansējuma piešķiršanai konkrētai programmai, gan izdevumu pārskatīšanai, kā arī rezultatīvie rādītāji būtu jāpārskata ik pēc 3 gadiem un jāpilnveido, lai tie skaidri raksturotu izlietoto finansējumu.</w:t>
      </w:r>
    </w:p>
    <w:p w14:paraId="1AA96B6C" w14:textId="77777777" w:rsidR="00EB5FF6" w:rsidRDefault="00EB5FF6" w:rsidP="006B1D04">
      <w:pPr>
        <w:spacing w:after="120" w:line="254" w:lineRule="auto"/>
        <w:ind w:firstLine="709"/>
        <w:jc w:val="both"/>
      </w:pPr>
      <w:r>
        <w:lastRenderedPageBreak/>
        <w:t xml:space="preserve">VM </w:t>
      </w:r>
      <w:r w:rsidRPr="00624EBC">
        <w:t xml:space="preserve">un IeM vērš uzmanību, ka </w:t>
      </w:r>
      <w:r>
        <w:t>6 un 9 mēnešu Izpildes analīzē nav lietderīgi aizpildīt sadaļu</w:t>
      </w:r>
      <w:r w:rsidRPr="00624EBC">
        <w:t xml:space="preserve"> “Izmaiņas”, kur jānorāda pārskata perioda izpildes izmaiņas pret iepriekšējā gada atbi</w:t>
      </w:r>
      <w:r>
        <w:t>lstošā pārskata perioda izpildi</w:t>
      </w:r>
      <w:r w:rsidRPr="00624EBC">
        <w:t>. Ir atsevišķas programmas, kur</w:t>
      </w:r>
      <w:r>
        <w:t>ās</w:t>
      </w:r>
      <w:r w:rsidRPr="00624EBC">
        <w:t xml:space="preserve"> gada laikā tiek veiktas daudz</w:t>
      </w:r>
      <w:r>
        <w:t>as izmaiņas (</w:t>
      </w:r>
      <w:r w:rsidRPr="00624EBC">
        <w:t>apropriācijas pārdales un papildus finanšu līdzekļu piešķīrumi</w:t>
      </w:r>
      <w:r>
        <w:t>)</w:t>
      </w:r>
      <w:r w:rsidRPr="00624EBC">
        <w:t>, līdz ar to 6 un 9 mēnešu salīdzināšana pret iepriekšēj</w:t>
      </w:r>
      <w:r>
        <w:t>ā</w:t>
      </w:r>
      <w:r w:rsidRPr="00624EBC">
        <w:t xml:space="preserve"> gada atbilstošo periodu neparāda pilnīgu informāciju. </w:t>
      </w:r>
      <w:r>
        <w:t>Administratīvā sloga mazināšanai</w:t>
      </w:r>
      <w:r w:rsidRPr="00624EBC">
        <w:t xml:space="preserve"> </w:t>
      </w:r>
      <w:r>
        <w:t>salīdzinājums pret iepriekšējā gada izpildi resoru ieskatā būtu veicams tikai reizi gadā, proti, pārskata perioda beigās</w:t>
      </w:r>
      <w:r w:rsidRPr="00624EBC">
        <w:t>.</w:t>
      </w:r>
    </w:p>
    <w:p w14:paraId="708ABBB7" w14:textId="77777777" w:rsidR="00EB5FF6" w:rsidRDefault="00EB5FF6" w:rsidP="006B1D04">
      <w:pPr>
        <w:spacing w:after="120" w:line="254" w:lineRule="auto"/>
        <w:ind w:firstLine="709"/>
        <w:jc w:val="both"/>
      </w:pPr>
      <w:r>
        <w:t xml:space="preserve">IZM ieskatā no sadaļas “Neizpilde” izslēdzams 3. un 4. punkts par slēgtajiem asignējumiem, jo resors reti brīvprātīgi pieņem lēmumu atstāt līdzekļus slēgtajos asignējumos laika periodā līdz Izpildes analīzes par 9 mēnešiem iesniegšanas termiņa beigām. Tāpat VARAM iesaka turpmāk </w:t>
      </w:r>
      <w:r w:rsidRPr="00AE7253">
        <w:t xml:space="preserve">nesniegt skaidrojumu par </w:t>
      </w:r>
      <w:r>
        <w:t>6</w:t>
      </w:r>
      <w:r w:rsidRPr="00AE7253">
        <w:t xml:space="preserve"> un </w:t>
      </w:r>
      <w:r>
        <w:t>9</w:t>
      </w:r>
      <w:r w:rsidRPr="00AE7253">
        <w:t xml:space="preserve"> mēnešiem</w:t>
      </w:r>
      <w:r>
        <w:t xml:space="preserve"> par to</w:t>
      </w:r>
      <w:r w:rsidRPr="00AE7253">
        <w:t>, kāds ir vērtējums par potenciāli slēdzama</w:t>
      </w:r>
      <w:r>
        <w:t>jiem asignējumiem gada beigās, j</w:t>
      </w:r>
      <w:r w:rsidRPr="00AE7253">
        <w:t xml:space="preserve">o </w:t>
      </w:r>
      <w:r>
        <w:t>lielākoties</w:t>
      </w:r>
      <w:r w:rsidRPr="00AE7253">
        <w:t xml:space="preserve"> informācija par potenciāli slēdzamajiem asignējumiem ir pieejama tikai gada beigās</w:t>
      </w:r>
      <w:r>
        <w:t>.</w:t>
      </w:r>
      <w:r w:rsidRPr="00AE7253">
        <w:t xml:space="preserve"> </w:t>
      </w:r>
      <w:r>
        <w:t>KM ieskatā attiecīgā prasība būtu izslēdzama tikai no 6 mēnešu Izpildes analīzes.</w:t>
      </w:r>
    </w:p>
    <w:p w14:paraId="15503F23" w14:textId="77777777" w:rsidR="00EB5FF6" w:rsidRDefault="00EB5FF6" w:rsidP="006B1D04">
      <w:pPr>
        <w:spacing w:after="120" w:line="254" w:lineRule="auto"/>
        <w:ind w:firstLine="709"/>
        <w:jc w:val="both"/>
      </w:pPr>
      <w:r>
        <w:t>Vairāki resori (EM, IeM, IZM un LM) vērš uzmanību uz Instrukcijas Nr. 2 18.11. apakšpunktu, kas paredz Instrukcijas Nr. 2 4. pielikuma veidlapā norādīt rezultatīvo rādītāju izpildi dalījumā pēc dzimuma, ja rezultatīvā rādītāja mērvienība ir personu skaits un ja ministriju iekšējā uzskaitē šāda informācija ir pieejama. EM norāda, ka šādas informācijas pieprasīšanas lietderība ir apšaubāma un tā statistiku par, piemēram, amata vietām nedala pēc dzimuma, jo šādam sadalījumam nav nozīmes. IeM šī punkta dzēšanu pamato ar to, ka tādējādi Instrukcijas Nr. 2 4. pielikums kļūs mazāks, līdz ar to vieglāk pārskatāms. IZM atzīmē, ka šo uzskaitījumu ministrija veic reti un pati informācija šādā sadalījumā reti ir pieejama. Savukārt LM plāno izvērtēt ministriju sniegto informāciju un iesniegt ieteikumus FM.</w:t>
      </w:r>
      <w:r w:rsidRPr="007E0278">
        <w:t xml:space="preserve"> </w:t>
      </w:r>
      <w:r>
        <w:t>I</w:t>
      </w:r>
      <w:r w:rsidRPr="00803378">
        <w:t>erosinājums ieviest dzimumu griezuma atspoguļojumu izriet</w:t>
      </w:r>
      <w:r>
        <w:t xml:space="preserve"> no OECD 2015. gada Rekomendācijas</w:t>
      </w:r>
      <w:r>
        <w:rPr>
          <w:rStyle w:val="FootnoteReference"/>
        </w:rPr>
        <w:footnoteReference w:id="60"/>
      </w:r>
      <w:r w:rsidRPr="00803378">
        <w:t>, kas paredz OECD dalībvalstīm ieviest uz dzimumu perspektīvu vērstu politikas un budžeta plānošanu un plānu izpildes analīzi</w:t>
      </w:r>
      <w:r>
        <w:t>, tādēļ ir jāpievērš uzmanība</w:t>
      </w:r>
      <w:r w:rsidRPr="00803378">
        <w:t xml:space="preserve"> dzimuma aspekta integrēšanai rezultatīvo rādītāju sistēmā</w:t>
      </w:r>
      <w:r>
        <w:t>.</w:t>
      </w:r>
    </w:p>
    <w:p w14:paraId="4292EBAB" w14:textId="77777777" w:rsidR="00EB5FF6" w:rsidRDefault="00EB5FF6" w:rsidP="006B1D04">
      <w:pPr>
        <w:spacing w:after="120" w:line="254" w:lineRule="auto"/>
        <w:ind w:firstLine="709"/>
        <w:jc w:val="both"/>
      </w:pPr>
      <w:r>
        <w:t>Iepriekšminētais Instrukcijas Nr. 2 4. pielikums tiek minēts arī kopsakarā ar citiem ierosinājumiem. FM aicina izvērtēt rezultatīvo rādītāju un darbības rezultātu izpildes pārskata iekļaušanas nepieciešamību 12 mēnešu Izpildes analīzē, jo šī informācija pilnā apmērā esot iegūstama publiskajos gada pārskatos. Jāpiebilst, ka ne visi resori visus rezultatīvos rādītājus iekļauj publiskajos gada pārskatos, kā arī jāņem vērā fakts, ka publiskie gada pārskati parasti tiek publicēti tikai jūlijā, kamēr 12 mēnešu Izpildes analīze ar Instrukcijas Nr. 2 4. pielikumu tiek iesniegta līdz 25. februārim. Tā kā šī informācija tiek izmantota dažādos budžeta procesos, tostarp veidojot izdevumu pārskatīšanas informatīvo ziņojumu, informāciju par resoru rezultatīvo rādītāju izpildi nepieciešams saņemt pēc iespējas laicīgāk. IZM gan norāda, ka līdz kārtējā gada 25. februārim iegūt informāciju par rezultatīvo rādītāju izpildi ir apgrūtinoši un, ņemot vērā lielo budžeta programmu/apakšprogrammu rezultatīvo rādītāju skaitu, kā arī nepieciešamību datu iegūšanai veikt ārējus pētījumus vai detalizētus izvērtējumus, būtu lietderīgi pārskatīt 12 mēnešu Izpildes analīzes iesniegšanas termiņu.</w:t>
      </w:r>
    </w:p>
    <w:p w14:paraId="1967E3AD" w14:textId="7C027AD9" w:rsidR="00EB5FF6" w:rsidRDefault="00EB5FF6" w:rsidP="006B1D04">
      <w:pPr>
        <w:spacing w:after="120" w:line="254" w:lineRule="auto"/>
        <w:ind w:firstLine="709"/>
        <w:jc w:val="both"/>
      </w:pPr>
      <w:r>
        <w:t xml:space="preserve">LM ierosina pārskatīt Instrukcijas Nr. 2 15.2.3. apakšpunktā ietverto normu, kas paredz sadaļas “Neizpilde” aizpildīšanu arī gadījumos, ja pārskata periodā plāna neizpilde pārsniedz šajā apakšpunktā minētās vērtības ne tikai pašā programmā vai apakšprogrammā, bet arī kādā </w:t>
      </w:r>
      <w:r>
        <w:lastRenderedPageBreak/>
        <w:t>no izdevumu</w:t>
      </w:r>
      <w:r w:rsidR="00510677">
        <w:t xml:space="preserve"> </w:t>
      </w:r>
      <w:r w:rsidR="00122B02">
        <w:t>EKK</w:t>
      </w:r>
      <w:r>
        <w:t>. LM ieskatā neizpildes iemesli ir vērtējami programmām vai apakšprogrammām kopumā, piemēram, identificējot riskus atsevišķos pasākumos, nevis skaidrojot atsevišķu izdevumu kodu neizpildes vai pārpildes.</w:t>
      </w:r>
    </w:p>
    <w:p w14:paraId="4196348C" w14:textId="38507354" w:rsidR="00EB5FF6" w:rsidRDefault="00EB5FF6" w:rsidP="006B1D04">
      <w:pPr>
        <w:spacing w:after="120" w:line="254" w:lineRule="auto"/>
        <w:ind w:firstLine="709"/>
        <w:jc w:val="both"/>
      </w:pPr>
      <w:r>
        <w:t xml:space="preserve">TM un FM rosina izvērtēt informācijas sniegšanas biežumu Izpildes analīzes sadaļā “Eiropas Savienības politiku instrumentu un pārējās ārvalstu finanšu palīdzības līdzfinansēto un finansēto projektu un pasākumu īstenošana”. TM ieskatā šī sadaļa būtu iesniedzama tikai 12 mēnešu Izpildes analīzē, jo visu projektu īstenošana notiek saskaņā ar projektu līgumiem, līdz ar to ir </w:t>
      </w:r>
      <w:r w:rsidR="00F47A69">
        <w:t xml:space="preserve">nelietderīgi </w:t>
      </w:r>
      <w:r>
        <w:t>iesniegt informāciju šajā sadaļā 6 un 9 mēnešu Izpildes analīzes ietvaros. Līdzīgs nosacījums TM ieskatā attiecināms arī uz tām valsts pamatfunkciju sadaļā ietvertajām budžeta programmām un apakšprogrammām, kurās finansējums tiek plānots pēc projektu principa, piemēram, “Twinning” projektiem.</w:t>
      </w:r>
    </w:p>
    <w:p w14:paraId="3A6AAA63" w14:textId="77777777" w:rsidR="00EB5FF6" w:rsidRDefault="00EB5FF6" w:rsidP="006B1D04">
      <w:pPr>
        <w:spacing w:after="120" w:line="254" w:lineRule="auto"/>
        <w:ind w:firstLine="709"/>
        <w:jc w:val="both"/>
      </w:pPr>
      <w:r>
        <w:t xml:space="preserve">Atsevišķi priekšlikumi paredz arī iesniegtās informācijas apjoma palielināšanu. Piemēram, ĀM ierosina veikt grozījumus Instrukcijas Nr. 2 15.1.1. apakšpunktā, ļaujot Instrukcijas Nr. 2 1. pielikumā norādīt nevis trīs līdz piecus galvenos pasākumus, kuriem novirzīti ministrijas izdevumi, bet palielināt šo skaitu līdz desmit pasākumiem. Akcentējams gan tas, ka jau šobrīd šo Instrukcijas Nr. 2 apakšpunktu resori ievēro nelabprāt un atsevišķos gadījumos vai nu pārsniedz norādāmo galveno pasākumu skaitu vai arī norāda vairākus galvenos pasākumus, kuram katram tiek pievienoti vairāki apakšpunkti, kas plašāk apraksta jau pavisam citas resora aktivitātes. </w:t>
      </w:r>
    </w:p>
    <w:p w14:paraId="25D2E23B" w14:textId="77777777" w:rsidR="00141A91" w:rsidRDefault="00EB5FF6" w:rsidP="006B1D04">
      <w:pPr>
        <w:spacing w:after="120" w:line="254" w:lineRule="auto"/>
        <w:ind w:firstLine="709"/>
        <w:jc w:val="both"/>
      </w:pPr>
      <w:r>
        <w:t xml:space="preserve">IeM ierosina Izpildes analīzes ziņojumus </w:t>
      </w:r>
      <w:r w:rsidRPr="00677AE3">
        <w:t>papildināt ar sadaļu, kas paredz informācijas sniegšanu par prioritāro pasākumu ieviešanas gaitu un piešķirtā finansējuma apguvi.</w:t>
      </w:r>
      <w:r>
        <w:t xml:space="preserve"> Tāpat FM izsaka priekšlikumu papildināt Izpildes analīzes sadaļu “Paveiktais” ar </w:t>
      </w:r>
      <w:r>
        <w:rPr>
          <w:rFonts w:cs="Times New Roman"/>
        </w:rPr>
        <w:t xml:space="preserve">paveikto prioritāro pasākumu ietvaros, piemēram, prioritāro pasākumu izpilde/neizpilde, tajā skaitā par prioritārajiem pasākumiem, kuriem finansējums tika piešķirts iepriekšējos gados (trīs gadu periodā). Arī </w:t>
      </w:r>
      <w:r>
        <w:t>VKo atzīmē, ka valsts budžeta izpildes analīzes process varētu būt tas, kura ietvaros FM varētu saņemt informāciju no resoriem par prioritāro pasākumu izpildes gaitu vai neizpildi jau kārtējā gada laikā.</w:t>
      </w:r>
    </w:p>
    <w:p w14:paraId="03FFB74E" w14:textId="6D95C5D1" w:rsidR="00EB5FF6" w:rsidRDefault="00EB5FF6" w:rsidP="006B1D04">
      <w:pPr>
        <w:spacing w:after="120" w:line="254" w:lineRule="auto"/>
        <w:ind w:firstLine="709"/>
        <w:jc w:val="both"/>
      </w:pPr>
      <w:r>
        <w:t>Tāpat VKo uzskata, ka ir svarīgi, lai budžeta izpilde tiktu aktīvi plānota, pārvaldīta un uzraudzīta. VKo akcentē iegūtās informācijas izmantošanas turpmāku lēmumu pieņemšanā būtiskumu, kā arī aicina Izpildes analīzi padarīt publiski pieejamu sabiedrībai.</w:t>
      </w:r>
    </w:p>
    <w:p w14:paraId="0427D85F" w14:textId="77777777" w:rsidR="00EB5FF6" w:rsidRDefault="00EB5FF6" w:rsidP="006B1D04">
      <w:pPr>
        <w:spacing w:after="120" w:line="254" w:lineRule="auto"/>
        <w:ind w:firstLine="709"/>
        <w:jc w:val="both"/>
      </w:pPr>
      <w:r>
        <w:t>Visi resori, kas sniedza priekšlikumus Izpildes analīzes tehniskai uzlabošanai, norādīja uz nepieciešamību lielākā vai mazākā apjomā automatizēt aprēķinu veikšanas procesu.</w:t>
      </w:r>
    </w:p>
    <w:p w14:paraId="07A46E5C" w14:textId="77777777" w:rsidR="00EB5FF6" w:rsidRDefault="00EB5FF6" w:rsidP="006B1D04">
      <w:pPr>
        <w:spacing w:after="120" w:line="254" w:lineRule="auto"/>
        <w:ind w:firstLine="709"/>
        <w:jc w:val="both"/>
      </w:pPr>
      <w:r>
        <w:t>Ņemot vērā to, ka vairāku Instrukcijā Nr. 2 pieprasītos aprēķinu veikšanai, piemēram, 15% aprēķināšanai sadaļās “Izmaiņas” vai “Neizpilde”, īstenojamas apjomīgas manuālas darbības, vairāki resori ierosina automatizēt datu ievadi “Excel” failā. Tas paredzētu automātisku datu ievadi no Valsts kases datubāzēm un automātisku nepieciešamo aprēķinu veikšanu, kā rezultātā resoram atliktu aizpildīt tikai nepieciešamās, kritērijiem atbilstošās ailes. IeM norāda, ka nepieciešams Instrukcijas Nr. 2 1. pielikuma veidni pārveidot “Excel” formātā, kas būtiski atvieglotu Izpildes analīzes iesniegšanas procesu.</w:t>
      </w:r>
    </w:p>
    <w:p w14:paraId="4A2A7B97" w14:textId="77777777" w:rsidR="00EB5FF6" w:rsidRPr="007170A2" w:rsidRDefault="00EB5FF6" w:rsidP="006B1D04">
      <w:pPr>
        <w:spacing w:after="120" w:line="254" w:lineRule="auto"/>
        <w:ind w:firstLine="709"/>
        <w:jc w:val="both"/>
      </w:pPr>
      <w:r>
        <w:t>Vairāku resoru ierosinājums paredz Izpildes analīzes tehnisku aizpildīšanu un iesniegšanu Valsts kases ePārskatu sistēmā. Šādā gadījumā no citām Valsts kases sistēmām automātiski tiktu atlasīti Izpildes analīzei nepieciešamie finanšu dati un resoram šīs pašas sistēmas ietvaros atliktu sniegt komentārus par tiem aprēķinātajiem datiem, kuru skaidrojums iesniedzams saskaņā ar Instrukciju Nr. 2.</w:t>
      </w:r>
    </w:p>
    <w:p w14:paraId="5AD42439" w14:textId="77777777" w:rsidR="00EB5FF6" w:rsidRDefault="00EB5FF6" w:rsidP="006B1D04">
      <w:pPr>
        <w:spacing w:after="120" w:line="254" w:lineRule="auto"/>
        <w:ind w:firstLine="709"/>
        <w:jc w:val="both"/>
      </w:pPr>
      <w:r>
        <w:lastRenderedPageBreak/>
        <w:t>Izpildes analīzes izmantošanas pieredze ikdienas darba pienākumu veikšanai resoros ir atšķirīga. Kamēr viena resoru daļa uzsver, ka sagatavotās Izpildes analīzes palīdz tiem finanšu plānošanā vai citu pārskatu sagatavošanā, citi resori norāda, ka Izpildes analīze ir formāla un aprakstoša vai arī resoram ir citi mehānismi, kā analizēt izdevumus savu budžeta programmu un apakšprogrammu ietvaros.</w:t>
      </w:r>
    </w:p>
    <w:p w14:paraId="177E8CC8" w14:textId="77777777" w:rsidR="00EB5FF6" w:rsidRDefault="00EB5FF6" w:rsidP="006B1D04">
      <w:pPr>
        <w:spacing w:after="120" w:line="254" w:lineRule="auto"/>
        <w:ind w:firstLine="709"/>
        <w:jc w:val="both"/>
      </w:pPr>
      <w:r>
        <w:t>KNAB norāda, ka Izpildes analīze tiek izmantota nākamā gada budžeta pieprasījuma sagatavošanā. Arī ĀM Izpildes analīze ir noderīga nākamā gada budžeta paskaidrojumu un dažādu attīstības plānošanas dokumentu izstrādē. Savukārt EM Izpildes analīzi izmanto ne tikai iestāžu stratēģiju izstrādes procesā, bet arī padotības iestāžu paveikto darbu izvērtēšanā. Viena no IeM padotības iestādēm Izpildes analīzi izmanto, lai analizētu konkrēta pasākuma vai projekta plāna neizpildes iemeslus. IeM, tāpat kā LM, IZM un VKo norāda arī uz aizpildītu Instrukcijas Nr. 2 4. pielikuma veidlapu kā rīku, kas palīdz analizēt procesus un izvērtēt rezultatīvo rādītāju dinamiku vairāku gadu periodā. Rezultatīvo rādītāju dati vienlaikus ar citu Izpildes analīzē ietverto informāciju vairākiem resoriem palīdz sagatavot publisko gada pārskatu.</w:t>
      </w:r>
    </w:p>
    <w:p w14:paraId="35B82E55" w14:textId="0962EA2B" w:rsidR="00141A91" w:rsidRPr="006B1D04" w:rsidRDefault="00EB5FF6" w:rsidP="006B1D04">
      <w:pPr>
        <w:spacing w:after="120" w:line="254" w:lineRule="auto"/>
        <w:ind w:firstLine="709"/>
        <w:jc w:val="both"/>
        <w:rPr>
          <w:rFonts w:cs="Times New Roman"/>
        </w:rPr>
      </w:pPr>
      <w:r>
        <w:t xml:space="preserve">Pretējā pozīcijā ir, piemēram, </w:t>
      </w:r>
      <w:r w:rsidR="00C73A5F">
        <w:t>TB</w:t>
      </w:r>
      <w:r>
        <w:t>, norādot, ka Izpildes analīze faktiski netiek izmantota, jo tajā ietvertā informācija tiek apkopota jau janvārī, kā arī atsevišķi dati tiek vērtēti pavisam citā griezumā. Arī liela daļa TM padotības iestāžu Izpildes analīzi neizmanto, bet tās, kam tā tomēr ir noderīga darba pienākumu izpildei, izmanto vien datus par iestādes rezultatīvajiem rādītājiem. VARAM atkārtoti uzsver to, ka Izpildes analīzes finanšu dati tiek salīdzināti pret sākotnējo plānu, līdz ar to vismaz 6 un 9 mēnešu Izpildes analīzes nav aktuālas, jo neļauj izdarīt secinājumus par resora aktivitātēm.</w:t>
      </w:r>
    </w:p>
    <w:p w14:paraId="21D83D47" w14:textId="55808BE0" w:rsidR="00EB5FF6" w:rsidRDefault="00EB5FF6" w:rsidP="006B1D04">
      <w:pPr>
        <w:spacing w:after="120" w:line="254" w:lineRule="auto"/>
        <w:jc w:val="both"/>
        <w:rPr>
          <w:rFonts w:cs="Times New Roman"/>
        </w:rPr>
      </w:pPr>
      <w:r>
        <w:rPr>
          <w:rFonts w:cs="Times New Roman"/>
          <w:b/>
          <w:i/>
        </w:rPr>
        <w:t>Secinājumi un ieteikumi</w:t>
      </w:r>
      <w:r w:rsidR="00141A91">
        <w:rPr>
          <w:rFonts w:cs="Times New Roman"/>
          <w:b/>
          <w:i/>
        </w:rPr>
        <w:t>:</w:t>
      </w:r>
    </w:p>
    <w:p w14:paraId="7FB38D27" w14:textId="77777777" w:rsidR="00EB5FF6" w:rsidRDefault="00EB5FF6" w:rsidP="006B1D04">
      <w:pPr>
        <w:pStyle w:val="ListParagraph"/>
        <w:numPr>
          <w:ilvl w:val="0"/>
          <w:numId w:val="31"/>
        </w:numPr>
        <w:spacing w:after="120" w:line="254" w:lineRule="auto"/>
        <w:contextualSpacing w:val="0"/>
        <w:jc w:val="both"/>
      </w:pPr>
      <w:r>
        <w:t>Lielākie saturiskie ierosinājumi no resoru puses saistāmi ar 6 un 9 mēnešu Izpildes analīzi. Dažu resoru ieskatā šo periodu Izpildes analīze vai vismaz atsevišķi tās punkti neesot nepieciešami, jo nesniedzot analizējamu informāciju. Kā galvenais faktors šim apgalvojumam tiek minēts tas, ka paskaidrojumi par finansējuma izlietojumu ir jāsniedz, balstoties uz sākotnējo finanšu plānu, lai arī gada sākumā jau ir notikušas finansējuma pārdales starp programmām, apakšprogrammām vai projektiem. Līdz ar to būtu nepieciešams izvērtēt 6 un 9 mēnešu Izpildes analīzes alternatīvas, apjomu (kopsakarā ar citiem resoru minētajiem saturiskajiem ieteikumiem) un pieprasītos datus.</w:t>
      </w:r>
    </w:p>
    <w:p w14:paraId="263B127F" w14:textId="77777777" w:rsidR="00EB5FF6" w:rsidRDefault="00EB5FF6" w:rsidP="006B1D04">
      <w:pPr>
        <w:pStyle w:val="ListParagraph"/>
        <w:numPr>
          <w:ilvl w:val="0"/>
          <w:numId w:val="31"/>
        </w:numPr>
        <w:spacing w:after="120" w:line="254" w:lineRule="auto"/>
        <w:contextualSpacing w:val="0"/>
        <w:jc w:val="both"/>
      </w:pPr>
      <w:r>
        <w:t>Resoru priekšlikums paredz Izpildes analīzes ietvaros pieprasīt informāciju par prioritārajiem pasākumiem piešķirtā finansējuma izlietojumu. Tādējādi izvērtējams, vai ar Izpildes analīzes palīdzību ir iespējams pieprasīt šādu informāciju un vai šī informācija būtu noderīga citu analītisku darbu veikšanai.</w:t>
      </w:r>
    </w:p>
    <w:p w14:paraId="43415965" w14:textId="77777777" w:rsidR="00EB5FF6" w:rsidRDefault="00EB5FF6" w:rsidP="006B1D04">
      <w:pPr>
        <w:pStyle w:val="ListParagraph"/>
        <w:numPr>
          <w:ilvl w:val="0"/>
          <w:numId w:val="31"/>
        </w:numPr>
        <w:spacing w:after="120" w:line="254" w:lineRule="auto"/>
        <w:contextualSpacing w:val="0"/>
        <w:jc w:val="both"/>
      </w:pPr>
      <w:r>
        <w:t>Jāizvērtē resoru ierosinājums par Instrukcijas Nr. 2 1. pielikuma sadaļas “Eiropas Savienības politiku instrumentu un pārējās ārvalstu finanšu palīdzības līdzfinansēto un finansēto projektu un pasākumu īstenošana” sniegšanas biežumu, jo šīs budžeta programmas un apakšprogrammas tiek finansētas pēc projektu principa un nav vērtējamas pēc tādiem pašiem principiem kā valsts pamatbudžetā ietilpstošās programmas un apakšprogrammas. Tāpat resori ierosina izvērtēt, vai ir izdarāmas izmaiņas saistībā uz informācijas iesniegšanu par tām programmām un apakšprogrammām, kas tiek finansētas pēc citādākiem principiem.</w:t>
      </w:r>
    </w:p>
    <w:p w14:paraId="38ABFEBF" w14:textId="3909E87A" w:rsidR="006B1D04" w:rsidRDefault="00EB5FF6" w:rsidP="00EB5FF6">
      <w:pPr>
        <w:pStyle w:val="ListParagraph"/>
        <w:numPr>
          <w:ilvl w:val="0"/>
          <w:numId w:val="31"/>
        </w:numPr>
        <w:spacing w:after="120" w:line="254" w:lineRule="auto"/>
        <w:contextualSpacing w:val="0"/>
        <w:jc w:val="both"/>
      </w:pPr>
      <w:r>
        <w:lastRenderedPageBreak/>
        <w:t>Ierosinātais tehniskais uzlabojums visu resoru ieskatā ir viens – automatizēt finanšu datu ievadi, izmantojot Valsts kases datus (vai pat visu Izpildes analīzes procesu (gan aizpildīšanu, gan iesniegšanu) pārcelt uz Valsts kases ePārskatu sistēmu), tādējādi atsakoties no manuālas datu atlases katrai programmai vai apakšprogrammai, lai noskaidrotu tās programmas vai apakšprogrammas, par kurām saskaņā ar Instrukciju Nr. 2 ir jāsniedz skaidrojums.</w:t>
      </w:r>
      <w:r w:rsidRPr="0007198C">
        <w:t xml:space="preserve"> </w:t>
      </w:r>
      <w:r>
        <w:t>Veicot Izpildes analīzes procesu automatizāciju, radīsies iespēja padarīt Izpildes analīzi labāk pārvaldāmu, analizējamu, publiski pieejamu sabiedrībai un integrējamu kopējā budžeta procesa pilnveidošanas kontekstā.</w:t>
      </w:r>
    </w:p>
    <w:p w14:paraId="614A75F5" w14:textId="77777777" w:rsidR="00141A91" w:rsidRPr="00EB5FF6" w:rsidRDefault="00141A91" w:rsidP="00EB5FF6"/>
    <w:p w14:paraId="280DBF56" w14:textId="36E2BDAB" w:rsidR="00141A91" w:rsidRDefault="00141A91" w:rsidP="00141A91">
      <w:pPr>
        <w:pStyle w:val="Heading2"/>
        <w:numPr>
          <w:ilvl w:val="1"/>
          <w:numId w:val="2"/>
        </w:numPr>
      </w:pPr>
      <w:bookmarkStart w:id="223" w:name="_Toc48200659"/>
      <w:r w:rsidRPr="00141A91">
        <w:t xml:space="preserve">Budžeta plānošanas </w:t>
      </w:r>
      <w:r w:rsidR="00CE7E42">
        <w:t xml:space="preserve">un </w:t>
      </w:r>
      <w:r w:rsidRPr="00141A91">
        <w:t>izpildes procesu vadības sistēmas tālāka pilnveidošana</w:t>
      </w:r>
      <w:bookmarkEnd w:id="223"/>
    </w:p>
    <w:p w14:paraId="74B819DA" w14:textId="77777777" w:rsidR="00CC72FB" w:rsidRPr="00CC72FB" w:rsidRDefault="00CC72FB" w:rsidP="00CC72FB">
      <w:pPr>
        <w:spacing w:after="120" w:line="254" w:lineRule="auto"/>
        <w:ind w:firstLine="720"/>
        <w:jc w:val="both"/>
        <w:rPr>
          <w:rFonts w:cs="Times New Roman"/>
        </w:rPr>
      </w:pPr>
      <w:r w:rsidRPr="00CC72FB">
        <w:rPr>
          <w:rFonts w:cs="Times New Roman"/>
        </w:rPr>
        <w:t>FM turpina plānveidā strādāt pie budžeta plānošanas un izpildes procesu analīzes un pilnveides atbilstoši FM stratēģijai. Budžeta procesā nepieciešams stiprināt un sabalansēt budžeta elastību un resora atbildību par rezultātu sasniegšanu, tādējādi mijiedarbojieties un stiprinot šos abus principus. Budžeta elastības palielināšana samazinātu tehnisko darbu nozares ministrijām un FM (arī MK un Saeimai) veikt nozares iekšējās līdzekļu pārdales, kas saistītas ar noteikto funkciju veikšanu. Budžeta izstrādes pilnveidojumu virzieni:</w:t>
      </w:r>
    </w:p>
    <w:p w14:paraId="55C4C771" w14:textId="77777777" w:rsidR="00CC72FB" w:rsidRPr="00CC72FB" w:rsidRDefault="00CC72FB" w:rsidP="00CC72FB">
      <w:pPr>
        <w:numPr>
          <w:ilvl w:val="0"/>
          <w:numId w:val="34"/>
        </w:numPr>
        <w:spacing w:after="120" w:line="254" w:lineRule="auto"/>
        <w:jc w:val="both"/>
        <w:rPr>
          <w:rFonts w:cs="Times New Roman"/>
        </w:rPr>
      </w:pPr>
      <w:r w:rsidRPr="00CC72FB">
        <w:rPr>
          <w:rFonts w:cs="Times New Roman"/>
        </w:rPr>
        <w:t>nozaru ministru (budžeta resoru vadītāju) fokusa maiņa no finansējuma izlietojuma uz veicamo funkciju rezultātu;</w:t>
      </w:r>
    </w:p>
    <w:p w14:paraId="79240EA4" w14:textId="77777777" w:rsidR="00CC72FB" w:rsidRPr="00CC72FB" w:rsidRDefault="00CC72FB" w:rsidP="00CC72FB">
      <w:pPr>
        <w:numPr>
          <w:ilvl w:val="0"/>
          <w:numId w:val="34"/>
        </w:numPr>
        <w:spacing w:after="120" w:line="254" w:lineRule="auto"/>
        <w:jc w:val="both"/>
        <w:rPr>
          <w:rFonts w:cs="Times New Roman"/>
        </w:rPr>
      </w:pPr>
      <w:r w:rsidRPr="00CC72FB">
        <w:rPr>
          <w:rFonts w:cs="Times New Roman"/>
        </w:rPr>
        <w:t>iestāžu vadītāju atbildība par iestādes attīstības stratēģijā izvirzīto snieguma rādītāju (</w:t>
      </w:r>
      <w:r w:rsidRPr="00CC72FB">
        <w:rPr>
          <w:rFonts w:cs="Times New Roman"/>
          <w:i/>
        </w:rPr>
        <w:t>KPI</w:t>
      </w:r>
      <w:r w:rsidRPr="00CC72FB">
        <w:rPr>
          <w:rFonts w:cs="Times New Roman"/>
        </w:rPr>
        <w:t>) sasniegšanu, pieejamo resursu ietvaros</w:t>
      </w:r>
      <w:r w:rsidRPr="00CC72FB">
        <w:rPr>
          <w:rFonts w:cs="Times New Roman"/>
          <w:vertAlign w:val="superscript"/>
        </w:rPr>
        <w:footnoteReference w:id="61"/>
      </w:r>
      <w:r w:rsidRPr="00CC72FB">
        <w:rPr>
          <w:rFonts w:cs="Times New Roman"/>
        </w:rPr>
        <w:t>;</w:t>
      </w:r>
    </w:p>
    <w:p w14:paraId="7752AC8D" w14:textId="77777777" w:rsidR="00CC72FB" w:rsidRPr="00CC72FB" w:rsidRDefault="00CC72FB" w:rsidP="00CC72FB">
      <w:pPr>
        <w:numPr>
          <w:ilvl w:val="0"/>
          <w:numId w:val="34"/>
        </w:numPr>
        <w:spacing w:after="120" w:line="254" w:lineRule="auto"/>
        <w:jc w:val="both"/>
        <w:rPr>
          <w:rFonts w:cs="Times New Roman"/>
        </w:rPr>
      </w:pPr>
      <w:r w:rsidRPr="00CC72FB">
        <w:rPr>
          <w:rFonts w:cs="Times New Roman"/>
        </w:rPr>
        <w:t>budžeta līdzekļu piešķīruma sasaiste ar sasniedzamo rezultātu;</w:t>
      </w:r>
    </w:p>
    <w:p w14:paraId="1179D0F0" w14:textId="795CAA36" w:rsidR="00CC72FB" w:rsidRPr="00455E1F" w:rsidRDefault="00CC72FB" w:rsidP="00455E1F">
      <w:pPr>
        <w:numPr>
          <w:ilvl w:val="0"/>
          <w:numId w:val="34"/>
        </w:numPr>
        <w:spacing w:after="120" w:line="254" w:lineRule="auto"/>
        <w:jc w:val="both"/>
        <w:rPr>
          <w:rFonts w:cs="Times New Roman"/>
        </w:rPr>
      </w:pPr>
      <w:r w:rsidRPr="00CC72FB">
        <w:rPr>
          <w:rFonts w:cs="Times New Roman"/>
        </w:rPr>
        <w:t>stiprināta ilgtermiņa budžeta plānošana budžeta resoru un iestāžu līmenī, apzinoties patieso uzņemto saistību apjomu.</w:t>
      </w:r>
    </w:p>
    <w:p w14:paraId="095143E2" w14:textId="77777777" w:rsidR="00CC72FB" w:rsidRPr="00CC72FB" w:rsidRDefault="00CC72FB" w:rsidP="00CC72FB">
      <w:pPr>
        <w:spacing w:after="120" w:line="254" w:lineRule="auto"/>
        <w:ind w:firstLine="709"/>
        <w:jc w:val="both"/>
        <w:rPr>
          <w:rFonts w:cs="Times New Roman"/>
        </w:rPr>
      </w:pPr>
      <w:r w:rsidRPr="00CC72FB">
        <w:rPr>
          <w:rFonts w:cs="Times New Roman"/>
        </w:rPr>
        <w:t>Virzoties uz lielāku patstāvību, nozarei ir jārēķinās ar tās rīcībā esošo budžetu, attiecīgi līdzekļi jaunām prioritātēm primāri ir jārod, pārskatot esošos budžeta izdevumus un politikas, nevis pieprasot papildu finansējumu. Šādas pieejas īstenošana nozares ministram piešķirtu lielāku brīvību un tiesības piemērot finanšu elastības rīkus un mazāku administratīvo slogu, lai sasniegtu optimālu un līdzsvarotu resursu sadali nozares ietvaros un nodrošinātu nozares attīstībai nepieciešamo mērķu sasniegšanu</w:t>
      </w:r>
      <w:r w:rsidRPr="00CC72FB">
        <w:rPr>
          <w:rFonts w:cs="Times New Roman"/>
          <w:vertAlign w:val="superscript"/>
        </w:rPr>
        <w:footnoteReference w:id="62"/>
      </w:r>
      <w:r w:rsidRPr="00CC72FB">
        <w:rPr>
          <w:rFonts w:cs="Times New Roman"/>
        </w:rPr>
        <w:t xml:space="preserve">. Tomēr jāapzinās, ka budžeta plānošana un maksājumu veikšanas autorizācija (pārejot zemākā – iestādes, budžeta resora – līmenī) netiek atcelta, apstiprinot budžeta likumu izdevumu pozīciju grupu, kas raksturo izdevumu veidu pēc ekonomiskās būtības griezumā nozīmē, ka detalizēto pozīciju saplānošana, plānu mainīšana un maksājumu veikšana pret precizētajiem plāniem ir nozaru ministriju un iestāžu atbildība. Tādējādi budžeta likuma detalizācijas pakāpe būtu finansējumu nosakot pēc politiku jomām (iespējams par pamatu izmantojot pašreizējās Politikas un resursu vadības kartes) un attiecīgi pieņemot lēmumus par finanšu līdzekļu piešķiršanu saskaņā ar vispārējiem politikas mērķiem, </w:t>
      </w:r>
      <w:r w:rsidRPr="00CC72FB">
        <w:rPr>
          <w:rFonts w:cs="Times New Roman"/>
        </w:rPr>
        <w:lastRenderedPageBreak/>
        <w:t>tos apspoguļojot budžeta paskaidrojumos un atbilstoši konkrētās ministrijas lomai un iesaistei konkrētās politikas jomas īstenošanai. Koncentrēšanās uz rezultātu un resoru savstarpējo sadarbību programmu īstenošanā nozīmē budžeta izpildītāju atbildību par saviem pieņemtajiem lēmumiem, darbībām un to sekām. Pāreja no budžeta tradicionālās struktūras uz “</w:t>
      </w:r>
      <w:r w:rsidRPr="00CC72FB">
        <w:rPr>
          <w:rFonts w:cs="Times New Roman"/>
          <w:i/>
        </w:rPr>
        <w:t>performance-based</w:t>
      </w:r>
      <w:r w:rsidRPr="00CC72FB">
        <w:rPr>
          <w:rFonts w:cs="Times New Roman"/>
        </w:rPr>
        <w:t>” budžetu, kas nozīmē pāriet no resoru (jeb administratīvās) budžeta struktūras uz programmu (jeb analītisko) budžetu, kur finanšu līdzekļi tiek piešķirti saskaņā ar vispārējiem politikas mērķiem. Budžeta programmas pēc transformācijas var būt kopīgas vairākiem resoriem (analītiskās programmas – resoriskās programmas). Tas ļaus programmas ietvaros precīzāk veikt resursu pārvirzīšanu no zemāk efektīvām aktivitātēm uz rezultatīvākām aktivitātēm. Definējot budžeta programmu, primāri ir svarīgi skaidri formulēt tās mērķi, ko paredzēts sasniegt ar šīs programmas īstenošanu, un formulēt atbilstošos rezultatīvos radītājus. Jāapzinās, ka budžeta programmu tipi atšķiras, un tie ir jāspēj atbilstoši klasificēt, proti, vai programma ir tieši vērsta uz sabiedrības mērķu sasniegšanu un pakalpojumu sniegšanu vai arī tā ir atbalsta programma, kas nešķiet tieši saistīta ar sabiedriskā labuma nodrošināšanu, bet bez kuras īstenošanas nebūtu iespējama citu programmu realizācija vai valsts iekārtas pilnvērtīga funkcionēšana. Koncentrēšanās uz rezultātu un resoru savstarpējo sadarbību programmu īstenošanā nozīmē budžeta izpildītāju atbildību par saviem pieņemtajiem lēmumiem, darbībām un to sekām. Ilgtermiņā būtu jāvirzās uz to, lai rezultatīvie rādītāji raksturotu vienošanos starp valsti un nozares ministru par sasniedzamo atbilstošajā nozarē par apropriētiem resursiem. “</w:t>
      </w:r>
      <w:r w:rsidRPr="00CC72FB">
        <w:rPr>
          <w:rFonts w:cs="Times New Roman"/>
          <w:i/>
        </w:rPr>
        <w:t>Performance budgeting”</w:t>
      </w:r>
      <w:r w:rsidRPr="00CC72FB">
        <w:rPr>
          <w:rFonts w:cs="Times New Roman"/>
        </w:rPr>
        <w:t xml:space="preserve"> princips paredz, ka ministriju budžetiem jāatbild uz trim galvenajiem jautājumiem: ko ir nepieciešams sasniegt, kā tas tiks sasniegts un cik tam ir nepieciešams finansējums. Un secīgi budžeta izpildes datiem jāsatur vienkārši uztverama informācija: vai ir sasniegti uzstādītie mērķi, vai tika veiktas tam nepieciešamās, ieplānotās aktivitātes un vai tam tika izlietots parlamenta piešķirtais finansējums.</w:t>
      </w:r>
      <w:r w:rsidRPr="00CC72FB">
        <w:rPr>
          <w:rFonts w:cs="Times New Roman"/>
          <w:vertAlign w:val="superscript"/>
        </w:rPr>
        <w:footnoteReference w:id="63"/>
      </w:r>
      <w:r w:rsidRPr="00CC72FB">
        <w:rPr>
          <w:rFonts w:cs="Times New Roman"/>
        </w:rPr>
        <w:t xml:space="preserve"> Pakāpeniski pārvirzoties no administratīvo programmu budžeta uz analītisko programmu budžetu, tiktu stiprināta valsts resursu pārdales sistēmas sasaiste ar valdības politikas prioritāšu īstenošanu, stratēģisko mērķu sasniegšanu un budžeta līdzekļu izlietošanu sabiedriski nozīmīgākajiem rezultātiem. Programmu struktūras balstīšana primāri uz resorisko sadalījumu palīdz budžeta izpildītājiem apzināties to rīcībā esošos resursus, tomēr tas var radīt nošķirtību starp līdzīga satura aktivitātēm, ja tās īsteno dažādi resori. Savukārt veidojot budžeta programmas pēc analītisko programmu principa, primāra loma ir īstenojamām valsts programmām, pat, ja tās sniedzas pāri resoriskajām robežām – tā tiešākā veidā būs sasaistīta ar politikas virzieniem, kā arī ļaus programmas ietvaros precīzāk veikt resursu pārvirzīšanu no zemāk efektīvām aktivitātēm un rezultatīvākām aktivitātēm. Bieži vien analītiskās programmas var sakrist ar administratīvajām programmām. Vidējā termiņā ar informācijas sistēmām tiktu attīstīts zemākais budžeta veidošanas līmenis – aktivitāšu tāmes – kuras konkretizētu rezultātu sasniegšanas izmaksas un tiek sasaistītas ar rezultatīvajiem rādītājiem. Iestādes uzņemas saistības konkrēto aktivitāšu ietvaros. Šāda pieeja ļauj novērtēt īstenojamo budžeta aktivitāšu un sniedzamo pakalpojumu patieso vērtību (pašizmaksu). Nostādot aktivitātes tāmi kā pamata budžeta plānošanas rīku, kā arī padarot to publiski pieejamu elektroniskajā sistēmā (līdzīgi kā šobrīd e-tāmes), tiks sekmēta vienotas informācijas pieejamība par valsts budžetu un informācijas atklātība sabiedrībai. Kā mērķi uzstādot sasniedzamus un jēgpilnus rezultātus valsts finansētajām aktivitātēm, tiks konkretizētas šo rezultātu sasniegšanas izmaksas. Savukārt rezultatīvie rādītāji tiešā veidā tiks piesaistīti aktivitāšu tāmēm, tādējādi dodot iespēju attīstīt un stiprināt arī iestādes iekšējas kontroles mehānismus. Aktivitāšu tāmes nepieciešams izmantot kā “dzīvu” rīku iestādēm gan plānojot budžetu, gan atspoguļojot aktuālos budžeta izpildes datus. Šāda pieeja ļaus virzīties uz jau </w:t>
      </w:r>
      <w:r w:rsidRPr="00CC72FB">
        <w:rPr>
          <w:rFonts w:cs="Times New Roman"/>
        </w:rPr>
        <w:lastRenderedPageBreak/>
        <w:t>iepriekš minēto budžeta likuma apstiprināšanu Saeimā nozaru politikas jomu līmenī</w:t>
      </w:r>
      <w:r w:rsidRPr="00CC72FB">
        <w:rPr>
          <w:rFonts w:cs="Times New Roman"/>
          <w:vertAlign w:val="superscript"/>
        </w:rPr>
        <w:footnoteReference w:id="64"/>
      </w:r>
      <w:r w:rsidRPr="00CC72FB">
        <w:rPr>
          <w:rFonts w:cs="Times New Roman"/>
        </w:rPr>
        <w:t>, samazinot administratīvo slogu plānošanas un izpildes procesā ņemot vērā pašreizējo likuma detalizācijas pakāpi un nodrošinot optimālu finanšu elastību resoriem. Pilnveidojot informācijas sistēmas, būtu jānodrošina visu veidu valsts uzskaites maksimālā automatizācija, nodrošinot integrēto pieeju iespējami plašākiem pārskatu un atskaišu veidiem, nodrošinot lielāku pārskatāmību visām procesā iesaistītajām pusēm un samazinātu administratīvo slogu. Būtisks virziens turpmākā budžeta plānošanas un budžeta izpildes procesu vadības sistēmas pilnveidošanas koncepcijā Latvijā ir ieņēmumu un izdevumu plānošana un uzskaite pēc uzkrāšanas principa. Ievērojamas valsts budžeta ieņēmumu</w:t>
      </w:r>
      <w:r w:rsidRPr="00CC72FB">
        <w:rPr>
          <w:rStyle w:val="FootnoteReference"/>
          <w:rFonts w:cs="Times New Roman"/>
          <w:sz w:val="24"/>
        </w:rPr>
        <w:footnoteReference w:id="65"/>
      </w:r>
      <w:r w:rsidRPr="00CC72FB">
        <w:rPr>
          <w:rFonts w:cs="Times New Roman"/>
        </w:rPr>
        <w:t xml:space="preserve"> daļas uzskaiti pēc šāda principa no 2021. gada 1. janvāra nodrošinās VID, izveidojot Valsts budžeta maksājumu administrēšanas informācijas sistēmu (MAIS). Šobrīd budžeta izdevumu plāns pamatā sniedz informāciju par plānoto maksājumu plūsmu, un daļēji tiek fiksēta informācija par nākotnes saistībām (valsts budžeta likuma ilgtermiņa saistību pielikums). Pilnveidojot informācijas sistēmas tiek turpināta arī grāmatvedības uzskaites procesu centralizēšana un budžeta procesu IT risinājumu pilnveide lai tiktu mazināts administratīvais slogs iesaistītajiem darbiniekiem informācijas ievadīšanā un apritē un nodrošināta lielāka pārskatāmība visām procesā iesaistītajām pusēm, sniedzot visiem 188</w:t>
      </w:r>
      <w:r w:rsidRPr="00CC72FB">
        <w:rPr>
          <w:rFonts w:cs="Times New Roman"/>
          <w:vertAlign w:val="superscript"/>
        </w:rPr>
        <w:footnoteReference w:id="66"/>
      </w:r>
      <w:r w:rsidRPr="00CC72FB">
        <w:rPr>
          <w:rFonts w:cs="Times New Roman"/>
        </w:rPr>
        <w:t xml:space="preserve"> budžeta izpildītājiem vienoto finanšu vadības instrumentu.</w:t>
      </w:r>
    </w:p>
    <w:p w14:paraId="0DA5ED87" w14:textId="77777777" w:rsidR="00CC72FB" w:rsidRPr="00CC72FB" w:rsidRDefault="00CC72FB" w:rsidP="00CC72FB">
      <w:pPr>
        <w:spacing w:after="120" w:line="254" w:lineRule="auto"/>
        <w:ind w:right="-24" w:firstLine="709"/>
        <w:jc w:val="both"/>
        <w:rPr>
          <w:rFonts w:cs="Times New Roman"/>
          <w:color w:val="000000" w:themeColor="text1"/>
        </w:rPr>
      </w:pPr>
      <w:r w:rsidRPr="00CC72FB">
        <w:rPr>
          <w:rFonts w:cs="Times New Roman"/>
          <w:color w:val="000000" w:themeColor="text1"/>
        </w:rPr>
        <w:t>Viena no valsts budžeta procesa sastāvdaļām ir attīstības izdevumu –PP finansējuma plānošana un piešķiršana. Tie ir papildu valsts budžeta līdzekļi valsts funkciju izpildes nodrošināšanai labākā, augstākā līmenī, jaunu valsts funkciju īstenošanai un valsts attīstības mērķu, prioritāšu un rezultātu sasniegšanai. Lai valsts attīstības vajadzības tiktu sabalansēti nodrošinātas starp nozarēm, finansējums tām ir jāplāno mērķtiecīgi un sistēmiski, uzraugot ieguldījumu efektivitāti un vērtējot nepieciešamās izmaiņas.</w:t>
      </w:r>
    </w:p>
    <w:p w14:paraId="3195FEE7" w14:textId="77777777" w:rsidR="00CC72FB" w:rsidRPr="00CC72FB" w:rsidRDefault="00CC72FB" w:rsidP="00CC72FB">
      <w:pPr>
        <w:spacing w:after="120" w:line="254" w:lineRule="auto"/>
        <w:ind w:right="-23" w:firstLine="709"/>
        <w:jc w:val="both"/>
        <w:rPr>
          <w:rFonts w:cs="Times New Roman"/>
          <w:color w:val="000000" w:themeColor="text1"/>
        </w:rPr>
      </w:pPr>
      <w:r w:rsidRPr="00CC72FB">
        <w:rPr>
          <w:rFonts w:cs="Times New Roman"/>
          <w:color w:val="000000" w:themeColor="text1"/>
        </w:rPr>
        <w:t>Līdz šim ministrijām un citām centrālām valsts iestādēm PP pieteikumu sagatavošanas process, lai arī gadu gaitā pilnveidots un vienkāršots, tomēr prasījis būtiskus administratīvos resursus – balstoties pieejā, ka ministrijas papildu finansējumam piesaka visas savas vajadzības, iesniegto PP pieteikumu apmērs daudzkārt pārsniedz budžeta iespējas, tādējādi tika patērēti resursi liela apjoma informācijas sagatavošanā un apstrādē. Secīgi arī PKC ieguldīja administratīvos resursus, veicot daudzu tādu PP pieteikumu novērtējumu, kuri nemaz netika atbalstīti. Arī VKo</w:t>
      </w:r>
      <w:r w:rsidRPr="00CC72FB">
        <w:rPr>
          <w:rFonts w:cs="Times New Roman"/>
          <w:color w:val="000000" w:themeColor="text1"/>
          <w:vertAlign w:val="superscript"/>
        </w:rPr>
        <w:footnoteReference w:id="67"/>
      </w:r>
      <w:r w:rsidRPr="00CC72FB">
        <w:rPr>
          <w:rFonts w:cs="Times New Roman"/>
          <w:color w:val="000000" w:themeColor="text1"/>
        </w:rPr>
        <w:t xml:space="preserve"> ir vērsusi uzmanību uz šī procesa iespējamu pārskatīšanu.</w:t>
      </w:r>
    </w:p>
    <w:p w14:paraId="20ADE025" w14:textId="2B9FFDB3" w:rsidR="0071213E" w:rsidRPr="00CC72FB" w:rsidRDefault="00CC72FB" w:rsidP="00455E1F">
      <w:pPr>
        <w:pStyle w:val="Caption"/>
        <w:spacing w:before="0" w:line="254" w:lineRule="auto"/>
        <w:ind w:firstLine="709"/>
        <w:jc w:val="both"/>
        <w:rPr>
          <w:rFonts w:cs="Times New Roman"/>
          <w:color w:val="000000" w:themeColor="text1"/>
          <w:szCs w:val="24"/>
        </w:rPr>
      </w:pPr>
      <w:r w:rsidRPr="00CC72FB">
        <w:rPr>
          <w:rFonts w:cs="Times New Roman"/>
          <w:color w:val="000000" w:themeColor="text1"/>
          <w:szCs w:val="24"/>
        </w:rPr>
        <w:t>Ņemot vērā augstāk minēto, FM saskata šajā procesā pilnveidošanas iespējas</w:t>
      </w:r>
      <w:r w:rsidR="007933CD" w:rsidRPr="00CC72FB">
        <w:rPr>
          <w:rFonts w:cs="Times New Roman"/>
          <w:color w:val="000000" w:themeColor="text1"/>
          <w:szCs w:val="24"/>
        </w:rPr>
        <w:t xml:space="preserve"> (</w:t>
      </w:r>
      <w:r w:rsidR="00455E1F">
        <w:rPr>
          <w:rFonts w:cs="Times New Roman"/>
          <w:color w:val="000000" w:themeColor="text1"/>
          <w:szCs w:val="24"/>
        </w:rPr>
        <w:fldChar w:fldCharType="begin"/>
      </w:r>
      <w:r w:rsidR="00455E1F">
        <w:rPr>
          <w:rFonts w:cs="Times New Roman"/>
          <w:color w:val="000000" w:themeColor="text1"/>
          <w:szCs w:val="24"/>
        </w:rPr>
        <w:instrText xml:space="preserve"> REF _Ref48202944 \h </w:instrText>
      </w:r>
      <w:r w:rsidR="00455E1F">
        <w:rPr>
          <w:rFonts w:cs="Times New Roman"/>
          <w:color w:val="000000" w:themeColor="text1"/>
          <w:szCs w:val="24"/>
        </w:rPr>
      </w:r>
      <w:r w:rsidR="00455E1F">
        <w:rPr>
          <w:rFonts w:cs="Times New Roman"/>
          <w:color w:val="000000" w:themeColor="text1"/>
          <w:szCs w:val="24"/>
        </w:rPr>
        <w:fldChar w:fldCharType="separate"/>
      </w:r>
      <w:r w:rsidR="00D96F20">
        <w:t xml:space="preserve">Attēls Nr. </w:t>
      </w:r>
      <w:r w:rsidR="00D96F20">
        <w:rPr>
          <w:noProof/>
        </w:rPr>
        <w:t>84</w:t>
      </w:r>
      <w:r w:rsidR="00455E1F">
        <w:rPr>
          <w:rFonts w:cs="Times New Roman"/>
          <w:color w:val="000000" w:themeColor="text1"/>
          <w:szCs w:val="24"/>
        </w:rPr>
        <w:fldChar w:fldCharType="end"/>
      </w:r>
      <w:r w:rsidR="007933CD" w:rsidRPr="00CC72FB">
        <w:rPr>
          <w:rFonts w:cs="Times New Roman"/>
          <w:color w:val="000000" w:themeColor="text1"/>
          <w:szCs w:val="24"/>
        </w:rPr>
        <w:t>)</w:t>
      </w:r>
      <w:r w:rsidR="00141A91" w:rsidRPr="00CC72FB">
        <w:rPr>
          <w:rFonts w:cs="Times New Roman"/>
          <w:color w:val="000000" w:themeColor="text1"/>
          <w:szCs w:val="24"/>
        </w:rPr>
        <w:t xml:space="preserve">, </w:t>
      </w:r>
      <w:bookmarkStart w:id="224" w:name="_Ref47949389"/>
      <w:r w:rsidRPr="00CC72FB">
        <w:rPr>
          <w:rFonts w:cs="Times New Roman"/>
          <w:color w:val="000000" w:themeColor="text1"/>
          <w:szCs w:val="24"/>
        </w:rPr>
        <w:t xml:space="preserve">konceptuāli mainot pieeju un koncentrējoties uz konkrēto PP pasākumu detalizēto izstrādi pēc tam, kad politiskajā līmenī ir pieņemti stratēģiskie lēmumi par fiskālās telpas sadali nozarēm. </w:t>
      </w:r>
    </w:p>
    <w:p w14:paraId="107B547B" w14:textId="77777777" w:rsidR="00455E1F" w:rsidRDefault="00455E1F" w:rsidP="007933CD">
      <w:pPr>
        <w:pStyle w:val="Caption"/>
      </w:pPr>
      <w:bookmarkStart w:id="225" w:name="_Ref47961524"/>
    </w:p>
    <w:p w14:paraId="2F91AD91" w14:textId="77777777" w:rsidR="00455E1F" w:rsidRDefault="00455E1F" w:rsidP="007933CD">
      <w:pPr>
        <w:pStyle w:val="Caption"/>
      </w:pPr>
    </w:p>
    <w:p w14:paraId="024F8244" w14:textId="3326BBB3" w:rsidR="00455E1F" w:rsidRPr="00455E1F" w:rsidRDefault="00455E1F" w:rsidP="00455E1F"/>
    <w:p w14:paraId="1A5A09EC" w14:textId="1B2F8EF8" w:rsidR="007933CD" w:rsidRDefault="007933CD" w:rsidP="007933CD">
      <w:pPr>
        <w:pStyle w:val="Caption"/>
        <w:rPr>
          <w:rFonts w:cs="Times New Roman"/>
          <w:b/>
          <w:color w:val="000000" w:themeColor="text1"/>
        </w:rPr>
      </w:pPr>
      <w:bookmarkStart w:id="226" w:name="_Ref48202944"/>
      <w:r>
        <w:lastRenderedPageBreak/>
        <w:t xml:space="preserve">Attēls Nr. </w:t>
      </w:r>
      <w:fldSimple w:instr=" SEQ Attēls_Nr. \* ARABIC ">
        <w:r w:rsidR="00D96F20">
          <w:rPr>
            <w:noProof/>
          </w:rPr>
          <w:t>84</w:t>
        </w:r>
      </w:fldSimple>
      <w:bookmarkEnd w:id="224"/>
      <w:bookmarkEnd w:id="225"/>
      <w:bookmarkEnd w:id="226"/>
    </w:p>
    <w:p w14:paraId="40D79718" w14:textId="171EF998" w:rsidR="00141A91" w:rsidRPr="00453EFF" w:rsidRDefault="00141A91" w:rsidP="00141A91">
      <w:pPr>
        <w:spacing w:after="0" w:line="240" w:lineRule="auto"/>
        <w:ind w:firstLine="720"/>
        <w:jc w:val="both"/>
        <w:rPr>
          <w:rFonts w:cs="Times New Roman"/>
          <w:b/>
          <w:color w:val="000000" w:themeColor="text1"/>
        </w:rPr>
      </w:pPr>
      <w:r w:rsidRPr="00453EFF">
        <w:rPr>
          <w:rFonts w:cs="Times New Roman"/>
          <w:b/>
          <w:color w:val="000000" w:themeColor="text1"/>
        </w:rPr>
        <w:t>Prioritāro pasākumu plānotā iesniegšana un apstiprināšana</w:t>
      </w:r>
    </w:p>
    <w:tbl>
      <w:tblPr>
        <w:tblpPr w:leftFromText="180" w:rightFromText="180" w:vertAnchor="text" w:horzAnchor="page" w:tblpX="1364" w:tblpY="228"/>
        <w:tblW w:w="9704" w:type="dxa"/>
        <w:tblLook w:val="04A0" w:firstRow="1" w:lastRow="0" w:firstColumn="1" w:lastColumn="0" w:noHBand="0" w:noVBand="1"/>
      </w:tblPr>
      <w:tblGrid>
        <w:gridCol w:w="998"/>
        <w:gridCol w:w="222"/>
        <w:gridCol w:w="1105"/>
        <w:gridCol w:w="222"/>
        <w:gridCol w:w="1407"/>
        <w:gridCol w:w="308"/>
        <w:gridCol w:w="1175"/>
        <w:gridCol w:w="222"/>
        <w:gridCol w:w="1139"/>
        <w:gridCol w:w="308"/>
        <w:gridCol w:w="1167"/>
        <w:gridCol w:w="308"/>
        <w:gridCol w:w="1123"/>
      </w:tblGrid>
      <w:tr w:rsidR="007933CD" w:rsidRPr="00F5289D" w14:paraId="02F6ED83" w14:textId="77777777" w:rsidTr="007933CD">
        <w:trPr>
          <w:trHeight w:val="1917"/>
        </w:trPr>
        <w:tc>
          <w:tcPr>
            <w:tcW w:w="998" w:type="dxa"/>
            <w:tcBorders>
              <w:top w:val="nil"/>
              <w:left w:val="nil"/>
              <w:bottom w:val="nil"/>
              <w:right w:val="nil"/>
            </w:tcBorders>
            <w:shd w:val="clear" w:color="auto" w:fill="auto"/>
            <w:vAlign w:val="center"/>
            <w:hideMark/>
          </w:tcPr>
          <w:p w14:paraId="29CC531B" w14:textId="77777777" w:rsidR="00141A91" w:rsidRPr="00453EFF" w:rsidRDefault="00141A91" w:rsidP="007933CD">
            <w:pPr>
              <w:spacing w:after="0" w:line="240" w:lineRule="auto"/>
              <w:rPr>
                <w:rFonts w:eastAsia="Times New Roman" w:cs="Times New Roman"/>
                <w:sz w:val="20"/>
                <w:szCs w:val="20"/>
                <w:lang w:eastAsia="lv-LV"/>
              </w:rPr>
            </w:pPr>
          </w:p>
        </w:tc>
        <w:tc>
          <w:tcPr>
            <w:tcW w:w="222" w:type="dxa"/>
            <w:tcBorders>
              <w:top w:val="nil"/>
              <w:left w:val="nil"/>
              <w:bottom w:val="nil"/>
              <w:right w:val="nil"/>
            </w:tcBorders>
            <w:shd w:val="clear" w:color="auto" w:fill="auto"/>
            <w:vAlign w:val="center"/>
            <w:hideMark/>
          </w:tcPr>
          <w:p w14:paraId="1E9CEF0E"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1105" w:type="dxa"/>
            <w:tcBorders>
              <w:top w:val="nil"/>
              <w:left w:val="nil"/>
              <w:bottom w:val="nil"/>
              <w:right w:val="nil"/>
            </w:tcBorders>
            <w:shd w:val="clear" w:color="auto" w:fill="auto"/>
            <w:noWrap/>
            <w:vAlign w:val="bottom"/>
            <w:hideMark/>
          </w:tcPr>
          <w:p w14:paraId="058BA110"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222" w:type="dxa"/>
            <w:tcBorders>
              <w:top w:val="nil"/>
              <w:left w:val="nil"/>
              <w:bottom w:val="nil"/>
              <w:right w:val="nil"/>
            </w:tcBorders>
            <w:shd w:val="clear" w:color="auto" w:fill="auto"/>
            <w:noWrap/>
            <w:vAlign w:val="center"/>
            <w:hideMark/>
          </w:tcPr>
          <w:p w14:paraId="58AEA666" w14:textId="77777777" w:rsidR="00141A91" w:rsidRPr="00453EFF" w:rsidRDefault="00141A91" w:rsidP="007933CD">
            <w:pPr>
              <w:spacing w:after="0" w:line="240" w:lineRule="auto"/>
              <w:rPr>
                <w:rFonts w:eastAsia="Times New Roman" w:cs="Times New Roman"/>
                <w:sz w:val="20"/>
                <w:szCs w:val="20"/>
                <w:lang w:eastAsia="lv-LV"/>
              </w:rPr>
            </w:pPr>
          </w:p>
        </w:tc>
        <w:tc>
          <w:tcPr>
            <w:tcW w:w="1407" w:type="dxa"/>
            <w:tcBorders>
              <w:top w:val="nil"/>
              <w:left w:val="nil"/>
              <w:bottom w:val="nil"/>
              <w:right w:val="nil"/>
            </w:tcBorders>
            <w:shd w:val="clear" w:color="auto" w:fill="auto"/>
            <w:noWrap/>
            <w:vAlign w:val="bottom"/>
            <w:hideMark/>
          </w:tcPr>
          <w:p w14:paraId="3F326AC0"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308" w:type="dxa"/>
            <w:tcBorders>
              <w:top w:val="nil"/>
              <w:left w:val="nil"/>
              <w:bottom w:val="nil"/>
              <w:right w:val="nil"/>
            </w:tcBorders>
            <w:shd w:val="clear" w:color="auto" w:fill="auto"/>
            <w:noWrap/>
            <w:vAlign w:val="center"/>
            <w:hideMark/>
          </w:tcPr>
          <w:p w14:paraId="0C361D79" w14:textId="77777777" w:rsidR="00141A91" w:rsidRPr="00453EFF" w:rsidRDefault="00141A91" w:rsidP="007933CD">
            <w:pPr>
              <w:spacing w:after="0" w:line="240" w:lineRule="auto"/>
              <w:rPr>
                <w:rFonts w:eastAsia="Times New Roman" w:cs="Times New Roman"/>
                <w:sz w:val="20"/>
                <w:szCs w:val="20"/>
                <w:lang w:eastAsia="lv-LV"/>
              </w:rPr>
            </w:pPr>
          </w:p>
        </w:tc>
        <w:tc>
          <w:tcPr>
            <w:tcW w:w="1175" w:type="dxa"/>
            <w:tcBorders>
              <w:top w:val="dashed" w:sz="4" w:space="0" w:color="auto"/>
              <w:left w:val="dashed" w:sz="4" w:space="0" w:color="auto"/>
              <w:bottom w:val="dashed" w:sz="4" w:space="0" w:color="auto"/>
              <w:right w:val="dashed" w:sz="4" w:space="0" w:color="auto"/>
            </w:tcBorders>
            <w:shd w:val="clear" w:color="auto" w:fill="auto"/>
            <w:vAlign w:val="center"/>
            <w:hideMark/>
          </w:tcPr>
          <w:p w14:paraId="131556A5"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color w:val="000000"/>
                <w:sz w:val="16"/>
                <w:szCs w:val="16"/>
                <w:lang w:eastAsia="lv-LV"/>
              </w:rPr>
              <w:t>PKC novērtējums par iepriekšējos gados piešķirto finansējumu PP un nozarēm sadalījumā pa NAP prioritātēm, virzieniem</w:t>
            </w:r>
          </w:p>
        </w:tc>
        <w:tc>
          <w:tcPr>
            <w:tcW w:w="222" w:type="dxa"/>
            <w:tcBorders>
              <w:top w:val="nil"/>
              <w:left w:val="nil"/>
              <w:bottom w:val="nil"/>
              <w:right w:val="nil"/>
            </w:tcBorders>
            <w:shd w:val="clear" w:color="auto" w:fill="auto"/>
            <w:vAlign w:val="center"/>
            <w:hideMark/>
          </w:tcPr>
          <w:p w14:paraId="34A9A772" w14:textId="77777777" w:rsidR="00141A91" w:rsidRPr="00453EFF" w:rsidRDefault="00141A91" w:rsidP="007933CD">
            <w:pPr>
              <w:spacing w:after="0" w:line="240" w:lineRule="auto"/>
              <w:jc w:val="center"/>
              <w:rPr>
                <w:rFonts w:eastAsia="Times New Roman" w:cs="Times New Roman"/>
                <w:color w:val="000000"/>
                <w:sz w:val="16"/>
                <w:szCs w:val="16"/>
                <w:lang w:eastAsia="lv-LV"/>
              </w:rPr>
            </w:pPr>
          </w:p>
        </w:tc>
        <w:tc>
          <w:tcPr>
            <w:tcW w:w="1139" w:type="dxa"/>
            <w:tcBorders>
              <w:top w:val="dashed" w:sz="4" w:space="0" w:color="auto"/>
              <w:left w:val="dashed" w:sz="4" w:space="0" w:color="auto"/>
              <w:bottom w:val="dashed" w:sz="4" w:space="0" w:color="auto"/>
              <w:right w:val="dashed" w:sz="4" w:space="0" w:color="auto"/>
            </w:tcBorders>
            <w:shd w:val="clear" w:color="auto" w:fill="auto"/>
            <w:vAlign w:val="center"/>
            <w:hideMark/>
          </w:tcPr>
          <w:p w14:paraId="6B89A065"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color w:val="000000"/>
                <w:sz w:val="16"/>
                <w:szCs w:val="16"/>
                <w:lang w:eastAsia="lv-LV"/>
              </w:rPr>
              <w:t>Neatkarīgās institūcijas iesniedz PP pieteikumu kartiņas</w:t>
            </w:r>
          </w:p>
        </w:tc>
        <w:tc>
          <w:tcPr>
            <w:tcW w:w="308" w:type="dxa"/>
            <w:tcBorders>
              <w:top w:val="nil"/>
              <w:left w:val="nil"/>
              <w:bottom w:val="nil"/>
              <w:right w:val="nil"/>
            </w:tcBorders>
            <w:shd w:val="clear" w:color="auto" w:fill="auto"/>
            <w:vAlign w:val="center"/>
            <w:hideMark/>
          </w:tcPr>
          <w:p w14:paraId="19DB36AF" w14:textId="77777777" w:rsidR="00141A91" w:rsidRPr="00453EFF" w:rsidRDefault="00141A91" w:rsidP="007933CD">
            <w:pPr>
              <w:spacing w:after="0" w:line="240" w:lineRule="auto"/>
              <w:jc w:val="center"/>
              <w:rPr>
                <w:rFonts w:eastAsia="Times New Roman" w:cs="Times New Roman"/>
                <w:color w:val="000000"/>
                <w:sz w:val="16"/>
                <w:szCs w:val="16"/>
                <w:lang w:eastAsia="lv-LV"/>
              </w:rPr>
            </w:pPr>
          </w:p>
        </w:tc>
        <w:tc>
          <w:tcPr>
            <w:tcW w:w="1167" w:type="dxa"/>
            <w:tcBorders>
              <w:top w:val="dashed" w:sz="4" w:space="0" w:color="auto"/>
              <w:left w:val="dashed" w:sz="4" w:space="0" w:color="auto"/>
              <w:bottom w:val="dashed" w:sz="4" w:space="0" w:color="auto"/>
              <w:right w:val="dashed" w:sz="4" w:space="0" w:color="auto"/>
            </w:tcBorders>
            <w:shd w:val="clear" w:color="auto" w:fill="auto"/>
            <w:vAlign w:val="center"/>
            <w:hideMark/>
          </w:tcPr>
          <w:p w14:paraId="09CD91F2"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color w:val="000000"/>
                <w:sz w:val="16"/>
                <w:szCs w:val="16"/>
                <w:lang w:eastAsia="lv-LV"/>
              </w:rPr>
              <w:t xml:space="preserve">Neatkarīgās institūcijas iesniedz (ja nepieciešams) precizētas apstiprināto PP kartiņas līdz budžeta paskaidrojumu iesniegšanai   </w:t>
            </w:r>
            <w:r w:rsidRPr="00453EFF">
              <w:rPr>
                <w:rFonts w:eastAsia="Times New Roman" w:cs="Times New Roman"/>
                <w:color w:val="000000"/>
                <w:sz w:val="16"/>
                <w:szCs w:val="16"/>
                <w:lang w:eastAsia="lv-LV"/>
              </w:rPr>
              <w:br/>
              <w:t xml:space="preserve"> (septembris)</w:t>
            </w:r>
          </w:p>
        </w:tc>
        <w:tc>
          <w:tcPr>
            <w:tcW w:w="308" w:type="dxa"/>
            <w:tcBorders>
              <w:top w:val="nil"/>
              <w:left w:val="nil"/>
              <w:bottom w:val="nil"/>
              <w:right w:val="nil"/>
            </w:tcBorders>
            <w:shd w:val="clear" w:color="auto" w:fill="auto"/>
            <w:vAlign w:val="center"/>
            <w:hideMark/>
          </w:tcPr>
          <w:p w14:paraId="2E64B77F" w14:textId="77777777" w:rsidR="00141A91" w:rsidRPr="00453EFF" w:rsidRDefault="00141A91" w:rsidP="007933CD">
            <w:pPr>
              <w:spacing w:after="0" w:line="240" w:lineRule="auto"/>
              <w:jc w:val="center"/>
              <w:rPr>
                <w:rFonts w:eastAsia="Times New Roman" w:cs="Times New Roman"/>
                <w:color w:val="000000"/>
                <w:sz w:val="16"/>
                <w:szCs w:val="16"/>
                <w:lang w:eastAsia="lv-LV"/>
              </w:rPr>
            </w:pPr>
          </w:p>
        </w:tc>
        <w:tc>
          <w:tcPr>
            <w:tcW w:w="1123" w:type="dxa"/>
            <w:tcBorders>
              <w:top w:val="nil"/>
              <w:left w:val="nil"/>
              <w:bottom w:val="nil"/>
              <w:right w:val="nil"/>
            </w:tcBorders>
            <w:shd w:val="clear" w:color="auto" w:fill="auto"/>
            <w:noWrap/>
            <w:vAlign w:val="bottom"/>
            <w:hideMark/>
          </w:tcPr>
          <w:p w14:paraId="68E06105" w14:textId="77777777" w:rsidR="00141A91" w:rsidRPr="00453EFF" w:rsidRDefault="00141A91" w:rsidP="007933CD">
            <w:pPr>
              <w:spacing w:after="0" w:line="240" w:lineRule="auto"/>
              <w:jc w:val="center"/>
              <w:rPr>
                <w:rFonts w:eastAsia="Times New Roman" w:cs="Times New Roman"/>
                <w:sz w:val="20"/>
                <w:szCs w:val="20"/>
                <w:lang w:eastAsia="lv-LV"/>
              </w:rPr>
            </w:pPr>
          </w:p>
        </w:tc>
      </w:tr>
      <w:tr w:rsidR="007933CD" w:rsidRPr="00453EFF" w14:paraId="3EEFDA89" w14:textId="77777777" w:rsidTr="007933CD">
        <w:trPr>
          <w:trHeight w:val="192"/>
        </w:trPr>
        <w:tc>
          <w:tcPr>
            <w:tcW w:w="998" w:type="dxa"/>
            <w:tcBorders>
              <w:top w:val="nil"/>
              <w:left w:val="nil"/>
              <w:bottom w:val="nil"/>
              <w:right w:val="nil"/>
            </w:tcBorders>
            <w:shd w:val="clear" w:color="auto" w:fill="auto"/>
            <w:vAlign w:val="center"/>
            <w:hideMark/>
          </w:tcPr>
          <w:p w14:paraId="56027542" w14:textId="77777777" w:rsidR="00141A91" w:rsidRPr="00453EFF" w:rsidRDefault="00141A91" w:rsidP="007933CD">
            <w:pPr>
              <w:spacing w:after="0" w:line="240" w:lineRule="auto"/>
              <w:rPr>
                <w:rFonts w:eastAsia="Times New Roman" w:cs="Times New Roman"/>
                <w:sz w:val="20"/>
                <w:szCs w:val="20"/>
                <w:lang w:eastAsia="lv-LV"/>
              </w:rPr>
            </w:pPr>
          </w:p>
        </w:tc>
        <w:tc>
          <w:tcPr>
            <w:tcW w:w="222" w:type="dxa"/>
            <w:tcBorders>
              <w:top w:val="nil"/>
              <w:left w:val="nil"/>
              <w:bottom w:val="nil"/>
              <w:right w:val="nil"/>
            </w:tcBorders>
            <w:shd w:val="clear" w:color="auto" w:fill="auto"/>
            <w:vAlign w:val="center"/>
            <w:hideMark/>
          </w:tcPr>
          <w:p w14:paraId="3759476F"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1105" w:type="dxa"/>
            <w:tcBorders>
              <w:top w:val="nil"/>
              <w:left w:val="nil"/>
              <w:bottom w:val="nil"/>
              <w:right w:val="nil"/>
            </w:tcBorders>
            <w:shd w:val="clear" w:color="auto" w:fill="auto"/>
            <w:vAlign w:val="center"/>
            <w:hideMark/>
          </w:tcPr>
          <w:p w14:paraId="771651BA"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222" w:type="dxa"/>
            <w:tcBorders>
              <w:top w:val="nil"/>
              <w:left w:val="nil"/>
              <w:bottom w:val="nil"/>
              <w:right w:val="nil"/>
            </w:tcBorders>
            <w:shd w:val="clear" w:color="auto" w:fill="auto"/>
            <w:noWrap/>
            <w:vAlign w:val="center"/>
            <w:hideMark/>
          </w:tcPr>
          <w:p w14:paraId="2E4A35B2"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1407" w:type="dxa"/>
            <w:tcBorders>
              <w:top w:val="nil"/>
              <w:left w:val="nil"/>
              <w:bottom w:val="nil"/>
              <w:right w:val="nil"/>
            </w:tcBorders>
            <w:shd w:val="clear" w:color="auto" w:fill="auto"/>
            <w:noWrap/>
            <w:vAlign w:val="center"/>
            <w:hideMark/>
          </w:tcPr>
          <w:p w14:paraId="6FFAC182"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308" w:type="dxa"/>
            <w:tcBorders>
              <w:top w:val="nil"/>
              <w:left w:val="nil"/>
              <w:bottom w:val="nil"/>
              <w:right w:val="nil"/>
            </w:tcBorders>
            <w:shd w:val="clear" w:color="auto" w:fill="auto"/>
            <w:noWrap/>
            <w:vAlign w:val="center"/>
            <w:hideMark/>
          </w:tcPr>
          <w:p w14:paraId="01DE7BE3"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1175" w:type="dxa"/>
            <w:tcBorders>
              <w:top w:val="nil"/>
              <w:left w:val="nil"/>
              <w:bottom w:val="nil"/>
              <w:right w:val="nil"/>
            </w:tcBorders>
            <w:shd w:val="clear" w:color="auto" w:fill="auto"/>
            <w:noWrap/>
            <w:vAlign w:val="center"/>
            <w:hideMark/>
          </w:tcPr>
          <w:p w14:paraId="4F43570E"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noProof/>
                <w:color w:val="000000"/>
                <w:sz w:val="16"/>
                <w:szCs w:val="16"/>
                <w:lang w:eastAsia="lv-LV"/>
              </w:rPr>
              <mc:AlternateContent>
                <mc:Choice Requires="wps">
                  <w:drawing>
                    <wp:anchor distT="0" distB="0" distL="114300" distR="114300" simplePos="0" relativeHeight="251677696" behindDoc="0" locked="0" layoutInCell="1" allowOverlap="1" wp14:anchorId="5150F9E9" wp14:editId="2A90336A">
                      <wp:simplePos x="0" y="0"/>
                      <wp:positionH relativeFrom="column">
                        <wp:posOffset>367030</wp:posOffset>
                      </wp:positionH>
                      <wp:positionV relativeFrom="paragraph">
                        <wp:posOffset>12065</wp:posOffset>
                      </wp:positionV>
                      <wp:extent cx="138430" cy="118745"/>
                      <wp:effectExtent l="9842" t="9208" r="42863" b="42862"/>
                      <wp:wrapNone/>
                      <wp:docPr id="91" name="Right Arrow 91"/>
                      <wp:cNvGraphicFramePr/>
                      <a:graphic xmlns:a="http://schemas.openxmlformats.org/drawingml/2006/main">
                        <a:graphicData uri="http://schemas.microsoft.com/office/word/2010/wordprocessingShape">
                          <wps:wsp>
                            <wps:cNvSpPr/>
                            <wps:spPr>
                              <a:xfrm rot="5400000">
                                <a:off x="0" y="0"/>
                                <a:ext cx="138430" cy="11874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009CDA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1" o:spid="_x0000_s1026" type="#_x0000_t13" style="position:absolute;margin-left:28.9pt;margin-top:.95pt;width:10.9pt;height:9.3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" adj="12336" fillcolor="#5b9bd5" strokecolor="#41719c" strokeweight="1pt"/>
                  </w:pict>
                </mc:Fallback>
              </mc:AlternateContent>
            </w:r>
          </w:p>
        </w:tc>
        <w:tc>
          <w:tcPr>
            <w:tcW w:w="222" w:type="dxa"/>
            <w:tcBorders>
              <w:top w:val="nil"/>
              <w:left w:val="nil"/>
              <w:bottom w:val="nil"/>
              <w:right w:val="nil"/>
            </w:tcBorders>
            <w:shd w:val="clear" w:color="auto" w:fill="auto"/>
            <w:vAlign w:val="center"/>
            <w:hideMark/>
          </w:tcPr>
          <w:p w14:paraId="656F98A4" w14:textId="77777777" w:rsidR="00141A91" w:rsidRPr="00453EFF" w:rsidRDefault="00141A91" w:rsidP="007933CD">
            <w:pPr>
              <w:spacing w:after="0" w:line="240" w:lineRule="auto"/>
              <w:jc w:val="center"/>
              <w:rPr>
                <w:rFonts w:eastAsia="Times New Roman" w:cs="Times New Roman"/>
                <w:color w:val="000000"/>
                <w:sz w:val="16"/>
                <w:szCs w:val="16"/>
                <w:lang w:eastAsia="lv-LV"/>
              </w:rPr>
            </w:pPr>
          </w:p>
        </w:tc>
        <w:tc>
          <w:tcPr>
            <w:tcW w:w="1139" w:type="dxa"/>
            <w:tcBorders>
              <w:top w:val="nil"/>
              <w:left w:val="nil"/>
              <w:bottom w:val="nil"/>
              <w:right w:val="nil"/>
            </w:tcBorders>
            <w:shd w:val="clear" w:color="auto" w:fill="auto"/>
            <w:vAlign w:val="center"/>
            <w:hideMark/>
          </w:tcPr>
          <w:p w14:paraId="053FB348" w14:textId="77777777" w:rsidR="00141A91" w:rsidRPr="00453EFF" w:rsidRDefault="00141A91" w:rsidP="007933CD">
            <w:pPr>
              <w:spacing w:after="0" w:line="240" w:lineRule="auto"/>
              <w:jc w:val="center"/>
              <w:rPr>
                <w:rFonts w:eastAsia="Times New Roman" w:cs="Times New Roman"/>
                <w:color w:val="FF0000"/>
                <w:sz w:val="16"/>
                <w:szCs w:val="16"/>
                <w:lang w:eastAsia="lv-LV"/>
              </w:rPr>
            </w:pPr>
            <w:r w:rsidRPr="00453EFF">
              <w:rPr>
                <w:rFonts w:eastAsia="Times New Roman" w:cs="Times New Roman"/>
                <w:noProof/>
                <w:color w:val="000000"/>
                <w:sz w:val="16"/>
                <w:szCs w:val="16"/>
                <w:lang w:eastAsia="lv-LV"/>
              </w:rPr>
              <mc:AlternateContent>
                <mc:Choice Requires="wps">
                  <w:drawing>
                    <wp:anchor distT="0" distB="0" distL="114300" distR="114300" simplePos="0" relativeHeight="251679744" behindDoc="0" locked="0" layoutInCell="1" allowOverlap="1" wp14:anchorId="79114631" wp14:editId="26BEBA17">
                      <wp:simplePos x="0" y="0"/>
                      <wp:positionH relativeFrom="column">
                        <wp:posOffset>277495</wp:posOffset>
                      </wp:positionH>
                      <wp:positionV relativeFrom="paragraph">
                        <wp:posOffset>8255</wp:posOffset>
                      </wp:positionV>
                      <wp:extent cx="138430" cy="118745"/>
                      <wp:effectExtent l="9842" t="9208" r="42863" b="42862"/>
                      <wp:wrapNone/>
                      <wp:docPr id="101" name="Right Arrow 101"/>
                      <wp:cNvGraphicFramePr/>
                      <a:graphic xmlns:a="http://schemas.openxmlformats.org/drawingml/2006/main">
                        <a:graphicData uri="http://schemas.microsoft.com/office/word/2010/wordprocessingShape">
                          <wps:wsp>
                            <wps:cNvSpPr/>
                            <wps:spPr>
                              <a:xfrm rot="5400000">
                                <a:off x="0" y="0"/>
                                <a:ext cx="138430" cy="11874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6938AB" id="Right Arrow 101" o:spid="_x0000_s1026" type="#_x0000_t13" style="position:absolute;margin-left:21.85pt;margin-top:.65pt;width:10.9pt;height:9.3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" adj="12336" fillcolor="#5b9bd5" strokecolor="#41719c" strokeweight="1pt"/>
                  </w:pict>
                </mc:Fallback>
              </mc:AlternateContent>
            </w:r>
          </w:p>
        </w:tc>
        <w:tc>
          <w:tcPr>
            <w:tcW w:w="308" w:type="dxa"/>
            <w:tcBorders>
              <w:top w:val="nil"/>
              <w:left w:val="nil"/>
              <w:bottom w:val="nil"/>
              <w:right w:val="nil"/>
            </w:tcBorders>
            <w:shd w:val="clear" w:color="auto" w:fill="auto"/>
            <w:vAlign w:val="center"/>
            <w:hideMark/>
          </w:tcPr>
          <w:p w14:paraId="77CD939D" w14:textId="77777777" w:rsidR="00141A91" w:rsidRPr="00453EFF" w:rsidRDefault="00141A91" w:rsidP="007933CD">
            <w:pPr>
              <w:spacing w:after="0" w:line="240" w:lineRule="auto"/>
              <w:jc w:val="center"/>
              <w:rPr>
                <w:rFonts w:eastAsia="Times New Roman" w:cs="Times New Roman"/>
                <w:color w:val="FF0000"/>
                <w:sz w:val="16"/>
                <w:szCs w:val="16"/>
                <w:lang w:eastAsia="lv-LV"/>
              </w:rPr>
            </w:pPr>
          </w:p>
        </w:tc>
        <w:tc>
          <w:tcPr>
            <w:tcW w:w="1167" w:type="dxa"/>
            <w:tcBorders>
              <w:top w:val="nil"/>
              <w:left w:val="nil"/>
              <w:bottom w:val="nil"/>
              <w:right w:val="nil"/>
            </w:tcBorders>
            <w:shd w:val="clear" w:color="auto" w:fill="auto"/>
            <w:vAlign w:val="center"/>
            <w:hideMark/>
          </w:tcPr>
          <w:p w14:paraId="24A4F2A9" w14:textId="77777777" w:rsidR="00141A91" w:rsidRPr="00453EFF" w:rsidRDefault="00141A91" w:rsidP="007933CD">
            <w:pPr>
              <w:spacing w:after="0" w:line="240" w:lineRule="auto"/>
              <w:jc w:val="center"/>
              <w:rPr>
                <w:rFonts w:eastAsia="Times New Roman" w:cs="Times New Roman"/>
                <w:b/>
                <w:bCs/>
                <w:color w:val="000000"/>
                <w:sz w:val="16"/>
                <w:szCs w:val="16"/>
                <w:lang w:eastAsia="lv-LV"/>
              </w:rPr>
            </w:pPr>
            <w:r w:rsidRPr="00453EFF">
              <w:rPr>
                <w:rFonts w:eastAsia="Times New Roman" w:cs="Times New Roman"/>
                <w:b/>
                <w:bCs/>
                <w:color w:val="000000"/>
                <w:sz w:val="16"/>
                <w:szCs w:val="16"/>
                <w:lang w:eastAsia="lv-LV"/>
              </w:rPr>
              <w:t>˄</w:t>
            </w:r>
          </w:p>
        </w:tc>
        <w:tc>
          <w:tcPr>
            <w:tcW w:w="308" w:type="dxa"/>
            <w:tcBorders>
              <w:top w:val="nil"/>
              <w:left w:val="nil"/>
              <w:bottom w:val="nil"/>
              <w:right w:val="nil"/>
            </w:tcBorders>
            <w:shd w:val="clear" w:color="auto" w:fill="auto"/>
            <w:vAlign w:val="center"/>
            <w:hideMark/>
          </w:tcPr>
          <w:p w14:paraId="66FE0459" w14:textId="77777777" w:rsidR="00141A91" w:rsidRPr="00453EFF" w:rsidRDefault="00141A91" w:rsidP="007933CD">
            <w:pPr>
              <w:spacing w:after="0" w:line="240" w:lineRule="auto"/>
              <w:jc w:val="center"/>
              <w:rPr>
                <w:rFonts w:eastAsia="Times New Roman" w:cs="Times New Roman"/>
                <w:b/>
                <w:bCs/>
                <w:color w:val="000000"/>
                <w:sz w:val="16"/>
                <w:szCs w:val="16"/>
                <w:lang w:eastAsia="lv-LV"/>
              </w:rPr>
            </w:pPr>
          </w:p>
        </w:tc>
        <w:tc>
          <w:tcPr>
            <w:tcW w:w="1123" w:type="dxa"/>
            <w:tcBorders>
              <w:top w:val="nil"/>
              <w:left w:val="nil"/>
              <w:bottom w:val="nil"/>
              <w:right w:val="nil"/>
            </w:tcBorders>
            <w:shd w:val="clear" w:color="auto" w:fill="auto"/>
            <w:noWrap/>
            <w:vAlign w:val="bottom"/>
            <w:hideMark/>
          </w:tcPr>
          <w:p w14:paraId="39F9CB0F" w14:textId="77777777" w:rsidR="00141A91" w:rsidRPr="00453EFF" w:rsidRDefault="00141A91" w:rsidP="007933CD">
            <w:pPr>
              <w:spacing w:after="0" w:line="240" w:lineRule="auto"/>
              <w:jc w:val="center"/>
              <w:rPr>
                <w:rFonts w:eastAsia="Times New Roman" w:cs="Times New Roman"/>
                <w:sz w:val="20"/>
                <w:szCs w:val="20"/>
                <w:lang w:eastAsia="lv-LV"/>
              </w:rPr>
            </w:pPr>
          </w:p>
        </w:tc>
      </w:tr>
      <w:tr w:rsidR="007933CD" w:rsidRPr="00F5289D" w14:paraId="4BB97207" w14:textId="77777777" w:rsidTr="007933CD">
        <w:trPr>
          <w:trHeight w:val="1805"/>
        </w:trPr>
        <w:tc>
          <w:tcPr>
            <w:tcW w:w="998" w:type="dxa"/>
            <w:tcBorders>
              <w:top w:val="dashed" w:sz="4" w:space="0" w:color="auto"/>
              <w:left w:val="dashed" w:sz="4" w:space="0" w:color="auto"/>
              <w:bottom w:val="dashed" w:sz="4" w:space="0" w:color="auto"/>
              <w:right w:val="dashed" w:sz="4" w:space="0" w:color="auto"/>
            </w:tcBorders>
            <w:shd w:val="clear" w:color="auto" w:fill="auto"/>
            <w:vAlign w:val="center"/>
            <w:hideMark/>
          </w:tcPr>
          <w:p w14:paraId="129F9CAE"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color w:val="000000"/>
                <w:sz w:val="16"/>
                <w:szCs w:val="16"/>
                <w:lang w:eastAsia="lv-LV"/>
              </w:rPr>
              <w:t xml:space="preserve">Stabilitātes programma; </w:t>
            </w:r>
            <w:r w:rsidRPr="00453EFF">
              <w:rPr>
                <w:rFonts w:eastAsia="Times New Roman" w:cs="Times New Roman"/>
                <w:color w:val="000000"/>
                <w:sz w:val="16"/>
                <w:szCs w:val="16"/>
                <w:lang w:eastAsia="lv-LV"/>
              </w:rPr>
              <w:br/>
              <w:t xml:space="preserve">Fiskālās telpas prognoze  </w:t>
            </w:r>
            <w:r w:rsidRPr="00453EFF">
              <w:rPr>
                <w:rFonts w:eastAsia="Times New Roman" w:cs="Times New Roman"/>
                <w:color w:val="000000"/>
                <w:sz w:val="16"/>
                <w:szCs w:val="16"/>
                <w:lang w:eastAsia="lv-LV"/>
              </w:rPr>
              <w:br/>
              <w:t xml:space="preserve"> (aprīlis)</w:t>
            </w:r>
          </w:p>
        </w:tc>
        <w:tc>
          <w:tcPr>
            <w:tcW w:w="222" w:type="dxa"/>
            <w:tcBorders>
              <w:top w:val="nil"/>
              <w:left w:val="nil"/>
              <w:bottom w:val="nil"/>
              <w:right w:val="nil"/>
            </w:tcBorders>
            <w:shd w:val="clear" w:color="auto" w:fill="auto"/>
            <w:vAlign w:val="center"/>
            <w:hideMark/>
          </w:tcPr>
          <w:p w14:paraId="104A69B3" w14:textId="77777777" w:rsidR="00141A91" w:rsidRPr="00453EFF" w:rsidRDefault="00141A91" w:rsidP="007933CD">
            <w:pPr>
              <w:spacing w:after="0" w:line="240" w:lineRule="auto"/>
              <w:jc w:val="center"/>
              <w:rPr>
                <w:rFonts w:eastAsia="Times New Roman" w:cs="Times New Roman"/>
                <w:color w:val="000000"/>
                <w:sz w:val="16"/>
                <w:szCs w:val="16"/>
                <w:lang w:eastAsia="lv-LV"/>
              </w:rPr>
            </w:pPr>
          </w:p>
        </w:tc>
        <w:tc>
          <w:tcPr>
            <w:tcW w:w="1105" w:type="dxa"/>
            <w:tcBorders>
              <w:top w:val="dashed" w:sz="4" w:space="0" w:color="auto"/>
              <w:left w:val="dashed" w:sz="4" w:space="0" w:color="auto"/>
              <w:bottom w:val="dashed" w:sz="4" w:space="0" w:color="auto"/>
              <w:right w:val="dashed" w:sz="4" w:space="0" w:color="auto"/>
            </w:tcBorders>
            <w:shd w:val="clear" w:color="auto" w:fill="auto"/>
            <w:vAlign w:val="center"/>
            <w:hideMark/>
          </w:tcPr>
          <w:p w14:paraId="11C5AB22"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color w:val="000000"/>
                <w:sz w:val="16"/>
                <w:szCs w:val="16"/>
                <w:lang w:eastAsia="lv-LV"/>
              </w:rPr>
              <w:t xml:space="preserve">Valsts pamatbudžeta un valsts speciālā budžeta  bāzes izdevumu aprēķins n+1, n+2, n+3  </w:t>
            </w:r>
            <w:r w:rsidRPr="00453EFF">
              <w:rPr>
                <w:rFonts w:eastAsia="Times New Roman" w:cs="Times New Roman"/>
                <w:color w:val="000000"/>
                <w:sz w:val="16"/>
                <w:szCs w:val="16"/>
                <w:lang w:eastAsia="lv-LV"/>
              </w:rPr>
              <w:br/>
              <w:t xml:space="preserve">  (jūnijs)</w:t>
            </w:r>
          </w:p>
        </w:tc>
        <w:tc>
          <w:tcPr>
            <w:tcW w:w="222" w:type="dxa"/>
            <w:tcBorders>
              <w:top w:val="nil"/>
              <w:left w:val="nil"/>
              <w:bottom w:val="nil"/>
              <w:right w:val="nil"/>
            </w:tcBorders>
            <w:shd w:val="clear" w:color="auto" w:fill="auto"/>
            <w:vAlign w:val="center"/>
            <w:hideMark/>
          </w:tcPr>
          <w:p w14:paraId="6742E62E" w14:textId="77777777" w:rsidR="00141A91" w:rsidRPr="00453EFF" w:rsidRDefault="00141A91" w:rsidP="007933CD">
            <w:pPr>
              <w:spacing w:after="0" w:line="240" w:lineRule="auto"/>
              <w:jc w:val="center"/>
              <w:rPr>
                <w:rFonts w:eastAsia="Times New Roman" w:cs="Times New Roman"/>
                <w:color w:val="000000"/>
                <w:sz w:val="16"/>
                <w:szCs w:val="16"/>
                <w:lang w:eastAsia="lv-LV"/>
              </w:rPr>
            </w:pPr>
          </w:p>
        </w:tc>
        <w:tc>
          <w:tcPr>
            <w:tcW w:w="1407" w:type="dxa"/>
            <w:tcBorders>
              <w:top w:val="dashed" w:sz="4" w:space="0" w:color="auto"/>
              <w:left w:val="dashed" w:sz="4" w:space="0" w:color="auto"/>
              <w:bottom w:val="dashed" w:sz="4" w:space="0" w:color="auto"/>
              <w:right w:val="dashed" w:sz="4" w:space="0" w:color="auto"/>
            </w:tcBorders>
            <w:shd w:val="clear" w:color="auto" w:fill="auto"/>
            <w:vAlign w:val="center"/>
            <w:hideMark/>
          </w:tcPr>
          <w:p w14:paraId="0C8560B6"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color w:val="000000"/>
                <w:sz w:val="16"/>
                <w:szCs w:val="16"/>
                <w:lang w:eastAsia="lv-LV"/>
              </w:rPr>
              <w:t xml:space="preserve">Ziņojums "Par makroekonomisko rādītāju, ieņēmumu un vispārējās valdības budžeta bilances prognozēm n+1, n+2, n+3";   </w:t>
            </w:r>
            <w:r w:rsidRPr="00453EFF">
              <w:rPr>
                <w:rFonts w:eastAsia="Times New Roman" w:cs="Times New Roman"/>
                <w:color w:val="000000"/>
                <w:sz w:val="16"/>
                <w:szCs w:val="16"/>
                <w:lang w:eastAsia="lv-LV"/>
              </w:rPr>
              <w:br/>
              <w:t xml:space="preserve"> Fiskālās telpas precizēta prognoze  </w:t>
            </w:r>
            <w:r w:rsidRPr="00453EFF">
              <w:rPr>
                <w:rFonts w:eastAsia="Times New Roman" w:cs="Times New Roman"/>
                <w:color w:val="000000"/>
                <w:sz w:val="16"/>
                <w:szCs w:val="16"/>
                <w:lang w:eastAsia="lv-LV"/>
              </w:rPr>
              <w:br/>
              <w:t xml:space="preserve"> (augusts)</w:t>
            </w:r>
          </w:p>
        </w:tc>
        <w:tc>
          <w:tcPr>
            <w:tcW w:w="308" w:type="dxa"/>
            <w:tcBorders>
              <w:top w:val="nil"/>
              <w:left w:val="nil"/>
              <w:bottom w:val="nil"/>
              <w:right w:val="nil"/>
            </w:tcBorders>
            <w:shd w:val="clear" w:color="auto" w:fill="auto"/>
            <w:vAlign w:val="center"/>
            <w:hideMark/>
          </w:tcPr>
          <w:p w14:paraId="73DBCC1A" w14:textId="77777777" w:rsidR="00141A91" w:rsidRPr="00453EFF" w:rsidRDefault="00141A91" w:rsidP="007933CD">
            <w:pPr>
              <w:spacing w:after="0" w:line="240" w:lineRule="auto"/>
              <w:jc w:val="center"/>
              <w:rPr>
                <w:rFonts w:eastAsia="Times New Roman" w:cs="Times New Roman"/>
                <w:b/>
                <w:bCs/>
                <w:color w:val="000000"/>
                <w:sz w:val="16"/>
                <w:szCs w:val="16"/>
                <w:lang w:eastAsia="lv-LV"/>
              </w:rPr>
            </w:pPr>
            <w:r w:rsidRPr="00453EFF">
              <w:rPr>
                <w:rFonts w:eastAsia="Times New Roman" w:cs="Times New Roman"/>
                <w:b/>
                <w:bCs/>
                <w:color w:val="000000"/>
                <w:sz w:val="16"/>
                <w:szCs w:val="16"/>
                <w:lang w:eastAsia="lv-LV"/>
              </w:rPr>
              <w:t>&gt;</w:t>
            </w:r>
          </w:p>
        </w:tc>
        <w:tc>
          <w:tcPr>
            <w:tcW w:w="2536" w:type="dxa"/>
            <w:gridSpan w:val="3"/>
            <w:tcBorders>
              <w:top w:val="dashed" w:sz="4" w:space="0" w:color="auto"/>
              <w:left w:val="dashed" w:sz="4" w:space="0" w:color="auto"/>
              <w:bottom w:val="dashed" w:sz="4" w:space="0" w:color="auto"/>
              <w:right w:val="dashed" w:sz="4" w:space="0" w:color="000000"/>
            </w:tcBorders>
            <w:shd w:val="clear" w:color="auto" w:fill="auto"/>
            <w:vAlign w:val="center"/>
            <w:hideMark/>
          </w:tcPr>
          <w:p w14:paraId="5232052B"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color w:val="000000"/>
                <w:sz w:val="16"/>
                <w:szCs w:val="16"/>
                <w:lang w:eastAsia="lv-LV"/>
              </w:rPr>
              <w:t>Darba grupas diskusijas par valsts budžetu un PP piešķiramo līdzekļu apjoma stratēģisko sadalījumu pa ministrijām un citām centrālājām valsts iestādēm (c.c.v.i.)</w:t>
            </w:r>
          </w:p>
        </w:tc>
        <w:tc>
          <w:tcPr>
            <w:tcW w:w="308" w:type="dxa"/>
            <w:tcBorders>
              <w:top w:val="nil"/>
              <w:left w:val="nil"/>
              <w:bottom w:val="nil"/>
              <w:right w:val="nil"/>
            </w:tcBorders>
            <w:shd w:val="clear" w:color="auto" w:fill="auto"/>
            <w:vAlign w:val="center"/>
            <w:hideMark/>
          </w:tcPr>
          <w:p w14:paraId="63FD290C" w14:textId="77777777" w:rsidR="00141A91" w:rsidRPr="00453EFF" w:rsidRDefault="00141A91" w:rsidP="007933CD">
            <w:pPr>
              <w:spacing w:after="0" w:line="240" w:lineRule="auto"/>
              <w:jc w:val="center"/>
              <w:rPr>
                <w:rFonts w:eastAsia="Times New Roman" w:cs="Times New Roman"/>
                <w:b/>
                <w:bCs/>
                <w:color w:val="000000"/>
                <w:sz w:val="16"/>
                <w:szCs w:val="16"/>
                <w:lang w:eastAsia="lv-LV"/>
              </w:rPr>
            </w:pPr>
            <w:r w:rsidRPr="00453EFF">
              <w:rPr>
                <w:rFonts w:eastAsia="Times New Roman" w:cs="Times New Roman"/>
                <w:b/>
                <w:bCs/>
                <w:color w:val="000000"/>
                <w:sz w:val="16"/>
                <w:szCs w:val="16"/>
                <w:lang w:eastAsia="lv-LV"/>
              </w:rPr>
              <w:t>&gt;</w:t>
            </w:r>
          </w:p>
        </w:tc>
        <w:tc>
          <w:tcPr>
            <w:tcW w:w="1167" w:type="dxa"/>
            <w:tcBorders>
              <w:top w:val="dashed" w:sz="4" w:space="0" w:color="auto"/>
              <w:left w:val="dashed" w:sz="4" w:space="0" w:color="auto"/>
              <w:bottom w:val="dashed" w:sz="4" w:space="0" w:color="auto"/>
              <w:right w:val="dashed" w:sz="4" w:space="0" w:color="auto"/>
            </w:tcBorders>
            <w:shd w:val="clear" w:color="auto" w:fill="auto"/>
            <w:vAlign w:val="center"/>
            <w:hideMark/>
          </w:tcPr>
          <w:p w14:paraId="021C96D1"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color w:val="000000"/>
                <w:sz w:val="16"/>
                <w:szCs w:val="16"/>
                <w:lang w:eastAsia="lv-LV"/>
              </w:rPr>
              <w:t>MK lēmums par PP piešķiramo līdzekļu apjomu sadalījumā pa ministrijām un c.c.v.i. un informācija par neatkarīgo institūciju PP</w:t>
            </w:r>
          </w:p>
        </w:tc>
        <w:tc>
          <w:tcPr>
            <w:tcW w:w="308" w:type="dxa"/>
            <w:tcBorders>
              <w:top w:val="nil"/>
              <w:left w:val="nil"/>
              <w:bottom w:val="nil"/>
              <w:right w:val="nil"/>
            </w:tcBorders>
            <w:shd w:val="clear" w:color="auto" w:fill="auto"/>
            <w:vAlign w:val="center"/>
            <w:hideMark/>
          </w:tcPr>
          <w:p w14:paraId="1DD28128" w14:textId="77777777" w:rsidR="00141A91" w:rsidRPr="00453EFF" w:rsidRDefault="00141A91" w:rsidP="007933CD">
            <w:pPr>
              <w:spacing w:after="0" w:line="240" w:lineRule="auto"/>
              <w:jc w:val="center"/>
              <w:rPr>
                <w:rFonts w:eastAsia="Times New Roman" w:cs="Times New Roman"/>
                <w:b/>
                <w:bCs/>
                <w:color w:val="000000"/>
                <w:sz w:val="16"/>
                <w:szCs w:val="16"/>
                <w:lang w:eastAsia="lv-LV"/>
              </w:rPr>
            </w:pPr>
            <w:r w:rsidRPr="00453EFF">
              <w:rPr>
                <w:rFonts w:eastAsia="Times New Roman" w:cs="Times New Roman"/>
                <w:b/>
                <w:bCs/>
                <w:color w:val="000000"/>
                <w:sz w:val="16"/>
                <w:szCs w:val="16"/>
                <w:lang w:eastAsia="lv-LV"/>
              </w:rPr>
              <w:t>&gt;</w:t>
            </w:r>
          </w:p>
        </w:tc>
        <w:tc>
          <w:tcPr>
            <w:tcW w:w="1123" w:type="dxa"/>
            <w:tcBorders>
              <w:top w:val="dashed" w:sz="4" w:space="0" w:color="auto"/>
              <w:left w:val="dashed" w:sz="4" w:space="0" w:color="auto"/>
              <w:bottom w:val="dashed" w:sz="4" w:space="0" w:color="auto"/>
              <w:right w:val="dashed" w:sz="4" w:space="0" w:color="auto"/>
            </w:tcBorders>
            <w:shd w:val="clear" w:color="auto" w:fill="auto"/>
            <w:vAlign w:val="center"/>
            <w:hideMark/>
          </w:tcPr>
          <w:p w14:paraId="2FB19BF9"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color w:val="000000"/>
                <w:sz w:val="16"/>
                <w:szCs w:val="16"/>
                <w:lang w:eastAsia="lv-LV"/>
              </w:rPr>
              <w:t xml:space="preserve">Valsts budžeta un Ietvara likumprojektu iesniegšana MK   </w:t>
            </w:r>
            <w:r w:rsidRPr="00453EFF">
              <w:rPr>
                <w:rFonts w:eastAsia="Times New Roman" w:cs="Times New Roman"/>
                <w:color w:val="000000"/>
                <w:sz w:val="16"/>
                <w:szCs w:val="16"/>
                <w:lang w:eastAsia="lv-LV"/>
              </w:rPr>
              <w:br/>
              <w:t xml:space="preserve"> (oktobris)</w:t>
            </w:r>
          </w:p>
        </w:tc>
      </w:tr>
      <w:tr w:rsidR="007933CD" w:rsidRPr="00453EFF" w14:paraId="3308DD96" w14:textId="77777777" w:rsidTr="007933CD">
        <w:trPr>
          <w:trHeight w:val="192"/>
        </w:trPr>
        <w:tc>
          <w:tcPr>
            <w:tcW w:w="998" w:type="dxa"/>
            <w:tcBorders>
              <w:top w:val="nil"/>
              <w:left w:val="nil"/>
              <w:bottom w:val="nil"/>
              <w:right w:val="nil"/>
            </w:tcBorders>
            <w:shd w:val="clear" w:color="auto" w:fill="auto"/>
            <w:noWrap/>
            <w:vAlign w:val="center"/>
            <w:hideMark/>
          </w:tcPr>
          <w:p w14:paraId="245856D4" w14:textId="77777777" w:rsidR="00141A91" w:rsidRPr="00453EFF" w:rsidRDefault="00141A91" w:rsidP="007933CD">
            <w:pPr>
              <w:spacing w:after="0" w:line="240" w:lineRule="auto"/>
              <w:jc w:val="center"/>
              <w:rPr>
                <w:rFonts w:eastAsia="Times New Roman" w:cs="Times New Roman"/>
                <w:color w:val="000000"/>
                <w:sz w:val="16"/>
                <w:szCs w:val="16"/>
                <w:lang w:eastAsia="lv-LV"/>
              </w:rPr>
            </w:pPr>
          </w:p>
        </w:tc>
        <w:tc>
          <w:tcPr>
            <w:tcW w:w="222" w:type="dxa"/>
            <w:tcBorders>
              <w:top w:val="nil"/>
              <w:left w:val="nil"/>
              <w:bottom w:val="nil"/>
              <w:right w:val="nil"/>
            </w:tcBorders>
            <w:shd w:val="clear" w:color="auto" w:fill="auto"/>
            <w:vAlign w:val="center"/>
            <w:hideMark/>
          </w:tcPr>
          <w:p w14:paraId="6C07C626"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1105" w:type="dxa"/>
            <w:tcBorders>
              <w:top w:val="nil"/>
              <w:left w:val="nil"/>
              <w:bottom w:val="nil"/>
              <w:right w:val="nil"/>
            </w:tcBorders>
            <w:shd w:val="clear" w:color="auto" w:fill="auto"/>
            <w:vAlign w:val="center"/>
            <w:hideMark/>
          </w:tcPr>
          <w:p w14:paraId="0149966C"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222" w:type="dxa"/>
            <w:tcBorders>
              <w:top w:val="nil"/>
              <w:left w:val="nil"/>
              <w:bottom w:val="nil"/>
              <w:right w:val="nil"/>
            </w:tcBorders>
            <w:shd w:val="clear" w:color="auto" w:fill="auto"/>
            <w:noWrap/>
            <w:vAlign w:val="center"/>
            <w:hideMark/>
          </w:tcPr>
          <w:p w14:paraId="7F1C4F06"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1407" w:type="dxa"/>
            <w:tcBorders>
              <w:top w:val="nil"/>
              <w:left w:val="nil"/>
              <w:bottom w:val="nil"/>
              <w:right w:val="nil"/>
            </w:tcBorders>
            <w:shd w:val="clear" w:color="auto" w:fill="auto"/>
            <w:noWrap/>
            <w:vAlign w:val="center"/>
            <w:hideMark/>
          </w:tcPr>
          <w:p w14:paraId="7C10964F"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308" w:type="dxa"/>
            <w:tcBorders>
              <w:top w:val="nil"/>
              <w:left w:val="nil"/>
              <w:bottom w:val="nil"/>
              <w:right w:val="nil"/>
            </w:tcBorders>
            <w:shd w:val="clear" w:color="auto" w:fill="auto"/>
            <w:noWrap/>
            <w:vAlign w:val="center"/>
            <w:hideMark/>
          </w:tcPr>
          <w:p w14:paraId="2363471E"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1175" w:type="dxa"/>
            <w:tcBorders>
              <w:top w:val="nil"/>
              <w:left w:val="nil"/>
              <w:bottom w:val="nil"/>
              <w:right w:val="nil"/>
            </w:tcBorders>
            <w:shd w:val="clear" w:color="auto" w:fill="auto"/>
            <w:noWrap/>
            <w:vAlign w:val="center"/>
            <w:hideMark/>
          </w:tcPr>
          <w:p w14:paraId="32AC0B76"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noProof/>
                <w:color w:val="000000"/>
                <w:sz w:val="16"/>
                <w:szCs w:val="16"/>
                <w:lang w:eastAsia="lv-LV"/>
              </w:rPr>
              <mc:AlternateContent>
                <mc:Choice Requires="wps">
                  <w:drawing>
                    <wp:anchor distT="0" distB="0" distL="114300" distR="114300" simplePos="0" relativeHeight="251678720" behindDoc="0" locked="0" layoutInCell="1" allowOverlap="1" wp14:anchorId="7DF5DA98" wp14:editId="5BCFFC0B">
                      <wp:simplePos x="0" y="0"/>
                      <wp:positionH relativeFrom="column">
                        <wp:posOffset>304800</wp:posOffset>
                      </wp:positionH>
                      <wp:positionV relativeFrom="paragraph">
                        <wp:posOffset>6985</wp:posOffset>
                      </wp:positionV>
                      <wp:extent cx="135890" cy="116205"/>
                      <wp:effectExtent l="9842" t="28258" r="45403" b="26352"/>
                      <wp:wrapNone/>
                      <wp:docPr id="102" name="Right Arrow 102"/>
                      <wp:cNvGraphicFramePr/>
                      <a:graphic xmlns:a="http://schemas.openxmlformats.org/drawingml/2006/main">
                        <a:graphicData uri="http://schemas.microsoft.com/office/word/2010/wordprocessingShape">
                          <wps:wsp>
                            <wps:cNvSpPr/>
                            <wps:spPr>
                              <a:xfrm rot="16200000">
                                <a:off x="0" y="0"/>
                                <a:ext cx="135890" cy="11620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34F988" id="Right Arrow 102" o:spid="_x0000_s1026" type="#_x0000_t13" style="position:absolute;margin-left:24pt;margin-top:.55pt;width:10.7pt;height:9.1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" adj="12364" fillcolor="#5b9bd5" strokecolor="#41719c" strokeweight="1pt"/>
                  </w:pict>
                </mc:Fallback>
              </mc:AlternateContent>
            </w:r>
          </w:p>
        </w:tc>
        <w:tc>
          <w:tcPr>
            <w:tcW w:w="222" w:type="dxa"/>
            <w:tcBorders>
              <w:top w:val="nil"/>
              <w:left w:val="nil"/>
              <w:bottom w:val="nil"/>
              <w:right w:val="nil"/>
            </w:tcBorders>
            <w:shd w:val="clear" w:color="auto" w:fill="auto"/>
            <w:vAlign w:val="center"/>
            <w:hideMark/>
          </w:tcPr>
          <w:p w14:paraId="0D40853D" w14:textId="77777777" w:rsidR="00141A91" w:rsidRPr="00453EFF" w:rsidRDefault="00141A91" w:rsidP="007933CD">
            <w:pPr>
              <w:spacing w:after="0" w:line="240" w:lineRule="auto"/>
              <w:jc w:val="center"/>
              <w:rPr>
                <w:rFonts w:eastAsia="Times New Roman" w:cs="Times New Roman"/>
                <w:color w:val="000000"/>
                <w:sz w:val="16"/>
                <w:szCs w:val="16"/>
                <w:lang w:eastAsia="lv-LV"/>
              </w:rPr>
            </w:pPr>
          </w:p>
        </w:tc>
        <w:tc>
          <w:tcPr>
            <w:tcW w:w="1139" w:type="dxa"/>
            <w:tcBorders>
              <w:top w:val="nil"/>
              <w:left w:val="nil"/>
              <w:bottom w:val="nil"/>
              <w:right w:val="nil"/>
            </w:tcBorders>
            <w:shd w:val="clear" w:color="auto" w:fill="auto"/>
            <w:vAlign w:val="center"/>
            <w:hideMark/>
          </w:tcPr>
          <w:p w14:paraId="7F4420B1"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308" w:type="dxa"/>
            <w:tcBorders>
              <w:top w:val="nil"/>
              <w:left w:val="nil"/>
              <w:bottom w:val="nil"/>
              <w:right w:val="nil"/>
            </w:tcBorders>
            <w:shd w:val="clear" w:color="auto" w:fill="auto"/>
            <w:vAlign w:val="center"/>
            <w:hideMark/>
          </w:tcPr>
          <w:p w14:paraId="73A71498"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1167" w:type="dxa"/>
            <w:tcBorders>
              <w:top w:val="nil"/>
              <w:left w:val="nil"/>
              <w:bottom w:val="nil"/>
              <w:right w:val="nil"/>
            </w:tcBorders>
            <w:shd w:val="clear" w:color="auto" w:fill="auto"/>
            <w:vAlign w:val="center"/>
            <w:hideMark/>
          </w:tcPr>
          <w:p w14:paraId="6BCDF371" w14:textId="77777777" w:rsidR="00141A91" w:rsidRPr="00453EFF" w:rsidRDefault="00141A91" w:rsidP="007933CD">
            <w:pPr>
              <w:spacing w:after="0" w:line="240" w:lineRule="auto"/>
              <w:jc w:val="center"/>
              <w:rPr>
                <w:rFonts w:eastAsia="Times New Roman" w:cs="Times New Roman"/>
                <w:b/>
                <w:bCs/>
                <w:sz w:val="16"/>
                <w:szCs w:val="16"/>
                <w:lang w:eastAsia="lv-LV"/>
              </w:rPr>
            </w:pPr>
            <w:r w:rsidRPr="00453EFF">
              <w:rPr>
                <w:rFonts w:eastAsia="Times New Roman" w:cs="Times New Roman"/>
                <w:b/>
                <w:bCs/>
                <w:sz w:val="16"/>
                <w:szCs w:val="16"/>
                <w:lang w:eastAsia="lv-LV"/>
              </w:rPr>
              <w:t>˅</w:t>
            </w:r>
          </w:p>
        </w:tc>
        <w:tc>
          <w:tcPr>
            <w:tcW w:w="308" w:type="dxa"/>
            <w:tcBorders>
              <w:top w:val="nil"/>
              <w:left w:val="nil"/>
              <w:bottom w:val="nil"/>
              <w:right w:val="nil"/>
            </w:tcBorders>
            <w:shd w:val="clear" w:color="auto" w:fill="auto"/>
            <w:vAlign w:val="center"/>
            <w:hideMark/>
          </w:tcPr>
          <w:p w14:paraId="5701295D" w14:textId="77777777" w:rsidR="00141A91" w:rsidRPr="00453EFF" w:rsidRDefault="00141A91" w:rsidP="007933CD">
            <w:pPr>
              <w:spacing w:after="0" w:line="240" w:lineRule="auto"/>
              <w:jc w:val="center"/>
              <w:rPr>
                <w:rFonts w:eastAsia="Times New Roman" w:cs="Times New Roman"/>
                <w:b/>
                <w:bCs/>
                <w:sz w:val="16"/>
                <w:szCs w:val="16"/>
                <w:lang w:eastAsia="lv-LV"/>
              </w:rPr>
            </w:pPr>
          </w:p>
        </w:tc>
        <w:tc>
          <w:tcPr>
            <w:tcW w:w="1123" w:type="dxa"/>
            <w:tcBorders>
              <w:top w:val="nil"/>
              <w:left w:val="nil"/>
              <w:bottom w:val="nil"/>
              <w:right w:val="nil"/>
            </w:tcBorders>
            <w:shd w:val="clear" w:color="auto" w:fill="auto"/>
            <w:vAlign w:val="center"/>
            <w:hideMark/>
          </w:tcPr>
          <w:p w14:paraId="629CC39A" w14:textId="77777777" w:rsidR="00141A91" w:rsidRPr="00453EFF" w:rsidRDefault="00141A91" w:rsidP="007933CD">
            <w:pPr>
              <w:spacing w:after="0" w:line="240" w:lineRule="auto"/>
              <w:jc w:val="center"/>
              <w:rPr>
                <w:rFonts w:eastAsia="Times New Roman" w:cs="Times New Roman"/>
                <w:sz w:val="20"/>
                <w:szCs w:val="20"/>
                <w:lang w:eastAsia="lv-LV"/>
              </w:rPr>
            </w:pPr>
          </w:p>
        </w:tc>
      </w:tr>
      <w:tr w:rsidR="00141A91" w:rsidRPr="00F5289D" w14:paraId="53C2E14F" w14:textId="77777777" w:rsidTr="007933CD">
        <w:trPr>
          <w:trHeight w:val="1917"/>
        </w:trPr>
        <w:tc>
          <w:tcPr>
            <w:tcW w:w="3954" w:type="dxa"/>
            <w:gridSpan w:val="5"/>
            <w:tcBorders>
              <w:top w:val="dashed" w:sz="4" w:space="0" w:color="auto"/>
              <w:left w:val="dashed" w:sz="4" w:space="0" w:color="auto"/>
              <w:bottom w:val="dashed" w:sz="4" w:space="0" w:color="auto"/>
              <w:right w:val="dashed" w:sz="4" w:space="0" w:color="000000"/>
            </w:tcBorders>
            <w:shd w:val="clear" w:color="auto" w:fill="auto"/>
            <w:vAlign w:val="center"/>
            <w:hideMark/>
          </w:tcPr>
          <w:p w14:paraId="762999E2" w14:textId="77777777" w:rsidR="00141A91" w:rsidRPr="00453EFF" w:rsidRDefault="00141A91" w:rsidP="007933CD">
            <w:pPr>
              <w:spacing w:after="0" w:line="240" w:lineRule="auto"/>
              <w:rPr>
                <w:rFonts w:eastAsia="Times New Roman" w:cs="Times New Roman"/>
                <w:color w:val="000000"/>
                <w:sz w:val="16"/>
                <w:szCs w:val="16"/>
                <w:lang w:eastAsia="lv-LV"/>
              </w:rPr>
            </w:pPr>
            <w:r w:rsidRPr="00453EFF">
              <w:rPr>
                <w:rFonts w:eastAsia="Times New Roman" w:cs="Times New Roman"/>
                <w:color w:val="000000"/>
                <w:sz w:val="16"/>
                <w:szCs w:val="16"/>
                <w:lang w:eastAsia="lv-LV"/>
              </w:rPr>
              <w:t xml:space="preserve">                 Valsts budžeta izdevumu pārskatīšanas process: </w:t>
            </w:r>
            <w:r w:rsidRPr="00453EFF">
              <w:rPr>
                <w:rFonts w:eastAsia="Times New Roman" w:cs="Times New Roman"/>
                <w:color w:val="000000"/>
                <w:sz w:val="16"/>
                <w:szCs w:val="16"/>
                <w:lang w:eastAsia="lv-LV"/>
              </w:rPr>
              <w:br/>
              <w:t>1.  noteiktais valsts budžeta izdevumu pārskatīšanas tvērums;</w:t>
            </w:r>
            <w:r w:rsidRPr="00453EFF">
              <w:rPr>
                <w:rFonts w:eastAsia="Times New Roman" w:cs="Times New Roman"/>
                <w:color w:val="000000"/>
                <w:sz w:val="16"/>
                <w:szCs w:val="16"/>
                <w:lang w:eastAsia="lv-LV"/>
              </w:rPr>
              <w:br/>
              <w:t>2. nozaru finansēšanas politiku pārskatīšana un valsts budžeta programmu pārskatīšana;</w:t>
            </w:r>
            <w:r w:rsidRPr="00453EFF">
              <w:rPr>
                <w:rFonts w:eastAsia="Times New Roman" w:cs="Times New Roman"/>
                <w:color w:val="000000"/>
                <w:sz w:val="16"/>
                <w:szCs w:val="16"/>
                <w:lang w:eastAsia="lv-LV"/>
              </w:rPr>
              <w:br/>
              <w:t>3. procesu un sistēmu pilnveidošana.</w:t>
            </w:r>
          </w:p>
        </w:tc>
        <w:tc>
          <w:tcPr>
            <w:tcW w:w="308" w:type="dxa"/>
            <w:tcBorders>
              <w:top w:val="nil"/>
              <w:left w:val="nil"/>
              <w:bottom w:val="nil"/>
              <w:right w:val="nil"/>
            </w:tcBorders>
            <w:shd w:val="clear" w:color="auto" w:fill="auto"/>
            <w:noWrap/>
            <w:vAlign w:val="center"/>
            <w:hideMark/>
          </w:tcPr>
          <w:p w14:paraId="35015D80" w14:textId="77777777" w:rsidR="00141A91" w:rsidRPr="00453EFF" w:rsidRDefault="00141A91" w:rsidP="007933CD">
            <w:pPr>
              <w:spacing w:after="0" w:line="240" w:lineRule="auto"/>
              <w:rPr>
                <w:rFonts w:eastAsia="Times New Roman" w:cs="Times New Roman"/>
                <w:color w:val="000000"/>
                <w:sz w:val="16"/>
                <w:szCs w:val="16"/>
                <w:lang w:eastAsia="lv-LV"/>
              </w:rPr>
            </w:pPr>
          </w:p>
        </w:tc>
        <w:tc>
          <w:tcPr>
            <w:tcW w:w="1175" w:type="dxa"/>
            <w:tcBorders>
              <w:top w:val="dashed" w:sz="4" w:space="0" w:color="auto"/>
              <w:left w:val="dashed" w:sz="4" w:space="0" w:color="auto"/>
              <w:bottom w:val="dashed" w:sz="4" w:space="0" w:color="auto"/>
              <w:right w:val="dashed" w:sz="4" w:space="0" w:color="auto"/>
            </w:tcBorders>
            <w:shd w:val="clear" w:color="auto" w:fill="auto"/>
            <w:vAlign w:val="center"/>
            <w:hideMark/>
          </w:tcPr>
          <w:p w14:paraId="106CCEA5"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color w:val="000000"/>
                <w:sz w:val="16"/>
                <w:szCs w:val="16"/>
                <w:lang w:eastAsia="lv-LV"/>
              </w:rPr>
              <w:t>Valsts budžeta izdevumu pārskatīšanas ziņojumā iekļautais izvērtējums par iepriekšējo gadu PP finansējuma izlietojumu</w:t>
            </w:r>
          </w:p>
        </w:tc>
        <w:tc>
          <w:tcPr>
            <w:tcW w:w="222" w:type="dxa"/>
            <w:tcBorders>
              <w:top w:val="nil"/>
              <w:left w:val="nil"/>
              <w:bottom w:val="nil"/>
              <w:right w:val="nil"/>
            </w:tcBorders>
            <w:shd w:val="clear" w:color="auto" w:fill="auto"/>
            <w:vAlign w:val="center"/>
            <w:hideMark/>
          </w:tcPr>
          <w:p w14:paraId="39404CEF" w14:textId="77777777" w:rsidR="00141A91" w:rsidRPr="00453EFF" w:rsidRDefault="00141A91" w:rsidP="007933CD">
            <w:pPr>
              <w:spacing w:after="0" w:line="240" w:lineRule="auto"/>
              <w:jc w:val="center"/>
              <w:rPr>
                <w:rFonts w:eastAsia="Times New Roman" w:cs="Times New Roman"/>
                <w:color w:val="000000"/>
                <w:sz w:val="16"/>
                <w:szCs w:val="16"/>
                <w:lang w:eastAsia="lv-LV"/>
              </w:rPr>
            </w:pPr>
          </w:p>
        </w:tc>
        <w:tc>
          <w:tcPr>
            <w:tcW w:w="1139" w:type="dxa"/>
            <w:tcBorders>
              <w:top w:val="nil"/>
              <w:left w:val="nil"/>
              <w:bottom w:val="nil"/>
              <w:right w:val="nil"/>
            </w:tcBorders>
            <w:shd w:val="clear" w:color="auto" w:fill="auto"/>
            <w:noWrap/>
            <w:vAlign w:val="bottom"/>
            <w:hideMark/>
          </w:tcPr>
          <w:p w14:paraId="72D4411E" w14:textId="77777777" w:rsidR="00141A91" w:rsidRPr="00453EFF" w:rsidRDefault="00141A91" w:rsidP="007933CD">
            <w:pPr>
              <w:spacing w:after="0" w:line="240" w:lineRule="auto"/>
              <w:jc w:val="center"/>
              <w:rPr>
                <w:rFonts w:eastAsia="Times New Roman" w:cs="Times New Roman"/>
                <w:sz w:val="20"/>
                <w:szCs w:val="20"/>
                <w:lang w:eastAsia="lv-LV"/>
              </w:rPr>
            </w:pPr>
          </w:p>
        </w:tc>
        <w:tc>
          <w:tcPr>
            <w:tcW w:w="308" w:type="dxa"/>
            <w:tcBorders>
              <w:top w:val="nil"/>
              <w:left w:val="nil"/>
              <w:bottom w:val="nil"/>
              <w:right w:val="nil"/>
            </w:tcBorders>
            <w:shd w:val="clear" w:color="auto" w:fill="auto"/>
            <w:vAlign w:val="center"/>
            <w:hideMark/>
          </w:tcPr>
          <w:p w14:paraId="53D30300" w14:textId="77777777" w:rsidR="00141A91" w:rsidRPr="00453EFF" w:rsidRDefault="00141A91" w:rsidP="007933CD">
            <w:pPr>
              <w:spacing w:after="0" w:line="240" w:lineRule="auto"/>
              <w:rPr>
                <w:rFonts w:eastAsia="Times New Roman" w:cs="Times New Roman"/>
                <w:sz w:val="20"/>
                <w:szCs w:val="20"/>
                <w:lang w:eastAsia="lv-LV"/>
              </w:rPr>
            </w:pPr>
          </w:p>
        </w:tc>
        <w:tc>
          <w:tcPr>
            <w:tcW w:w="1167" w:type="dxa"/>
            <w:tcBorders>
              <w:top w:val="dashed" w:sz="4" w:space="0" w:color="auto"/>
              <w:left w:val="dashed" w:sz="4" w:space="0" w:color="auto"/>
              <w:bottom w:val="dashed" w:sz="4" w:space="0" w:color="auto"/>
              <w:right w:val="dashed" w:sz="4" w:space="0" w:color="auto"/>
            </w:tcBorders>
            <w:shd w:val="clear" w:color="auto" w:fill="auto"/>
            <w:vAlign w:val="center"/>
            <w:hideMark/>
          </w:tcPr>
          <w:p w14:paraId="6126EE71" w14:textId="77777777" w:rsidR="00141A91" w:rsidRPr="00453EFF" w:rsidRDefault="00141A91" w:rsidP="007933CD">
            <w:pPr>
              <w:spacing w:after="0" w:line="240" w:lineRule="auto"/>
              <w:jc w:val="center"/>
              <w:rPr>
                <w:rFonts w:eastAsia="Times New Roman" w:cs="Times New Roman"/>
                <w:color w:val="000000"/>
                <w:sz w:val="16"/>
                <w:szCs w:val="16"/>
                <w:lang w:eastAsia="lv-LV"/>
              </w:rPr>
            </w:pPr>
            <w:r w:rsidRPr="00453EFF">
              <w:rPr>
                <w:rFonts w:eastAsia="Times New Roman" w:cs="Times New Roman"/>
                <w:color w:val="000000"/>
                <w:sz w:val="16"/>
                <w:szCs w:val="16"/>
                <w:lang w:eastAsia="lv-LV"/>
              </w:rPr>
              <w:t xml:space="preserve">Ministrijas un c.c.v.i. iesniedz PP kartiņas (piešķirto līdzekļu apjomu sadalītu pasākumos) līdz budžeta paskaidrojumu iesniegšanai  </w:t>
            </w:r>
            <w:r w:rsidRPr="00453EFF">
              <w:rPr>
                <w:rFonts w:eastAsia="Times New Roman" w:cs="Times New Roman"/>
                <w:color w:val="000000"/>
                <w:sz w:val="16"/>
                <w:szCs w:val="16"/>
                <w:lang w:eastAsia="lv-LV"/>
              </w:rPr>
              <w:br/>
              <w:t xml:space="preserve"> (septembris)</w:t>
            </w:r>
          </w:p>
        </w:tc>
        <w:tc>
          <w:tcPr>
            <w:tcW w:w="308" w:type="dxa"/>
            <w:tcBorders>
              <w:top w:val="nil"/>
              <w:left w:val="nil"/>
              <w:bottom w:val="nil"/>
              <w:right w:val="nil"/>
            </w:tcBorders>
            <w:shd w:val="clear" w:color="auto" w:fill="auto"/>
            <w:vAlign w:val="center"/>
            <w:hideMark/>
          </w:tcPr>
          <w:p w14:paraId="2D963DEB" w14:textId="77777777" w:rsidR="00141A91" w:rsidRPr="00453EFF" w:rsidRDefault="00141A91" w:rsidP="007933CD">
            <w:pPr>
              <w:spacing w:after="0" w:line="240" w:lineRule="auto"/>
              <w:jc w:val="center"/>
              <w:rPr>
                <w:rFonts w:eastAsia="Times New Roman" w:cs="Times New Roman"/>
                <w:color w:val="000000"/>
                <w:sz w:val="16"/>
                <w:szCs w:val="16"/>
                <w:lang w:eastAsia="lv-LV"/>
              </w:rPr>
            </w:pPr>
          </w:p>
        </w:tc>
        <w:tc>
          <w:tcPr>
            <w:tcW w:w="1123" w:type="dxa"/>
            <w:tcBorders>
              <w:top w:val="nil"/>
              <w:left w:val="nil"/>
              <w:bottom w:val="nil"/>
              <w:right w:val="nil"/>
            </w:tcBorders>
            <w:shd w:val="clear" w:color="auto" w:fill="auto"/>
            <w:noWrap/>
            <w:vAlign w:val="bottom"/>
            <w:hideMark/>
          </w:tcPr>
          <w:p w14:paraId="77D2242E" w14:textId="77777777" w:rsidR="00141A91" w:rsidRPr="00453EFF" w:rsidRDefault="00141A91" w:rsidP="007933CD">
            <w:pPr>
              <w:spacing w:after="0" w:line="240" w:lineRule="auto"/>
              <w:jc w:val="center"/>
              <w:rPr>
                <w:rFonts w:eastAsia="Times New Roman" w:cs="Times New Roman"/>
                <w:sz w:val="20"/>
                <w:szCs w:val="20"/>
                <w:lang w:eastAsia="lv-LV"/>
              </w:rPr>
            </w:pPr>
          </w:p>
        </w:tc>
      </w:tr>
    </w:tbl>
    <w:p w14:paraId="764A836A" w14:textId="77777777" w:rsidR="00141A91" w:rsidRPr="00453EFF" w:rsidRDefault="00141A91" w:rsidP="00141A91">
      <w:pPr>
        <w:spacing w:after="0" w:line="240" w:lineRule="auto"/>
        <w:jc w:val="both"/>
        <w:rPr>
          <w:rFonts w:cs="Times New Roman"/>
          <w:b/>
          <w:color w:val="000000" w:themeColor="text1"/>
        </w:rPr>
      </w:pPr>
    </w:p>
    <w:p w14:paraId="3252797B" w14:textId="77777777" w:rsidR="00CC72FB" w:rsidRDefault="00CC72FB" w:rsidP="00CC72FB">
      <w:pPr>
        <w:spacing w:after="120"/>
        <w:ind w:firstLine="709"/>
        <w:jc w:val="both"/>
        <w:rPr>
          <w:rFonts w:cs="Times New Roman"/>
          <w:color w:val="000000" w:themeColor="text1"/>
        </w:rPr>
      </w:pPr>
      <w:r w:rsidRPr="00453EFF">
        <w:rPr>
          <w:rFonts w:cs="Times New Roman"/>
          <w:color w:val="000000" w:themeColor="text1"/>
        </w:rPr>
        <w:t>Pēc i</w:t>
      </w:r>
      <w:r>
        <w:rPr>
          <w:rFonts w:cs="Times New Roman"/>
          <w:color w:val="000000" w:themeColor="text1"/>
        </w:rPr>
        <w:t>nformatīvā ziņojuma “</w:t>
      </w:r>
      <w:r w:rsidRPr="00453EFF">
        <w:rPr>
          <w:rFonts w:cs="Times New Roman"/>
          <w:color w:val="000000" w:themeColor="text1"/>
        </w:rPr>
        <w:t>Par makroekonomisko rādītāju, ieņēmumu un vispārējās valdības budžeta b</w:t>
      </w:r>
      <w:r>
        <w:rPr>
          <w:rFonts w:cs="Times New Roman"/>
          <w:color w:val="000000" w:themeColor="text1"/>
        </w:rPr>
        <w:t>ilances prognozēm n+1, n+2, n+3”</w:t>
      </w:r>
      <w:r w:rsidRPr="00453EFF">
        <w:rPr>
          <w:rFonts w:cs="Times New Roman"/>
          <w:color w:val="000000" w:themeColor="text1"/>
        </w:rPr>
        <w:t xml:space="preserve"> izskatīšanas </w:t>
      </w:r>
      <w:r>
        <w:rPr>
          <w:rFonts w:cs="Times New Roman"/>
          <w:color w:val="000000" w:themeColor="text1"/>
        </w:rPr>
        <w:t xml:space="preserve">MK </w:t>
      </w:r>
      <w:r w:rsidRPr="00453EFF">
        <w:rPr>
          <w:rFonts w:cs="Times New Roman"/>
          <w:color w:val="000000" w:themeColor="text1"/>
        </w:rPr>
        <w:t>tiks</w:t>
      </w:r>
      <w:r>
        <w:rPr>
          <w:rFonts w:cs="Times New Roman"/>
          <w:color w:val="000000" w:themeColor="text1"/>
        </w:rPr>
        <w:t xml:space="preserve"> precizēta fiskālā telpa </w:t>
      </w:r>
      <w:r w:rsidRPr="00453EFF">
        <w:rPr>
          <w:rFonts w:cs="Times New Roman"/>
          <w:color w:val="000000" w:themeColor="text1"/>
        </w:rPr>
        <w:t xml:space="preserve">un </w:t>
      </w:r>
      <w:r>
        <w:rPr>
          <w:rFonts w:cs="Times New Roman"/>
          <w:color w:val="000000" w:themeColor="text1"/>
        </w:rPr>
        <w:t>uzsāktas</w:t>
      </w:r>
      <w:r w:rsidRPr="00453EFF">
        <w:rPr>
          <w:rFonts w:cs="Times New Roman"/>
          <w:color w:val="000000" w:themeColor="text1"/>
        </w:rPr>
        <w:t xml:space="preserve"> PP izvērtēšanas darba grupas</w:t>
      </w:r>
      <w:r w:rsidRPr="00453EFF">
        <w:rPr>
          <w:rFonts w:cs="Times New Roman"/>
          <w:color w:val="000000" w:themeColor="text1"/>
          <w:vertAlign w:val="superscript"/>
        </w:rPr>
        <w:footnoteReference w:id="68"/>
      </w:r>
      <w:r w:rsidRPr="00453EFF">
        <w:rPr>
          <w:rFonts w:cs="Times New Roman"/>
          <w:color w:val="000000" w:themeColor="text1"/>
        </w:rPr>
        <w:t xml:space="preserve"> diskusijas. Neatkarīgās institūcijas</w:t>
      </w:r>
      <w:r w:rsidRPr="00453EFF">
        <w:rPr>
          <w:rFonts w:cs="Times New Roman"/>
          <w:color w:val="000000" w:themeColor="text1"/>
          <w:vertAlign w:val="superscript"/>
        </w:rPr>
        <w:footnoteReference w:id="69"/>
      </w:r>
      <w:r w:rsidRPr="00453EFF">
        <w:rPr>
          <w:rFonts w:cs="Times New Roman"/>
          <w:color w:val="000000" w:themeColor="text1"/>
        </w:rPr>
        <w:t xml:space="preserve"> iesniegs PP pieteikumu kartiņas neatkarīgi no fiskālas telpas prognozes, ievērojot šo institūciju budžeta tiesības.</w:t>
      </w:r>
    </w:p>
    <w:p w14:paraId="210B4072" w14:textId="77777777" w:rsidR="00CC72FB" w:rsidRDefault="00CC72FB" w:rsidP="00CC72FB">
      <w:pPr>
        <w:spacing w:before="120" w:after="120"/>
        <w:ind w:firstLine="709"/>
        <w:jc w:val="both"/>
        <w:rPr>
          <w:rFonts w:cs="Times New Roman"/>
          <w:color w:val="000000" w:themeColor="text1"/>
        </w:rPr>
      </w:pPr>
      <w:r w:rsidRPr="00453EFF">
        <w:rPr>
          <w:rFonts w:cs="Times New Roman"/>
          <w:color w:val="000000" w:themeColor="text1"/>
        </w:rPr>
        <w:t>Lai izvērtēšanas procesā darba grupa pieņemtu informētus lēmumus par finansējumu būtiskāko nepieciešamo uzlabojumu nodrošināšanai un valsts attīstības prioritāšu  un mērķu sasniegšanai, tai būs pieejams un diskusijās izmantojams:</w:t>
      </w:r>
    </w:p>
    <w:p w14:paraId="47B42A4F" w14:textId="77777777" w:rsidR="00CC72FB" w:rsidRDefault="00CC72FB" w:rsidP="00CC72FB">
      <w:pPr>
        <w:pStyle w:val="ListParagraph"/>
        <w:numPr>
          <w:ilvl w:val="0"/>
          <w:numId w:val="35"/>
        </w:numPr>
        <w:spacing w:after="120"/>
        <w:contextualSpacing w:val="0"/>
        <w:jc w:val="both"/>
        <w:rPr>
          <w:rFonts w:cs="Times New Roman"/>
          <w:color w:val="000000" w:themeColor="text1"/>
        </w:rPr>
      </w:pPr>
      <w:r w:rsidRPr="00BB372B">
        <w:rPr>
          <w:rFonts w:cs="Times New Roman"/>
          <w:color w:val="000000" w:themeColor="text1"/>
        </w:rPr>
        <w:t>PKC sagatavotais novērtējums par iepriekšējos gados piešķirto finansējumu PP un nozarēm sadalījumā pa NAP prioritātēm, virzieniem;</w:t>
      </w:r>
    </w:p>
    <w:p w14:paraId="65C7EAD2" w14:textId="77777777" w:rsidR="00CC72FB" w:rsidRPr="00C73A5F" w:rsidRDefault="00CC72FB" w:rsidP="00CC72FB">
      <w:pPr>
        <w:pStyle w:val="ListParagraph"/>
        <w:numPr>
          <w:ilvl w:val="0"/>
          <w:numId w:val="35"/>
        </w:numPr>
        <w:spacing w:after="120"/>
        <w:contextualSpacing w:val="0"/>
        <w:jc w:val="both"/>
        <w:rPr>
          <w:rFonts w:cs="Times New Roman"/>
          <w:color w:val="000000" w:themeColor="text1"/>
        </w:rPr>
      </w:pPr>
      <w:r w:rsidRPr="00BB372B">
        <w:rPr>
          <w:rFonts w:cs="Times New Roman"/>
          <w:color w:val="000000" w:themeColor="text1"/>
        </w:rPr>
        <w:lastRenderedPageBreak/>
        <w:t>valsts budžeta izdevumu pārskatīšanas informatīvajā ziņojumā iekļautais izvērtējums par iepriekšējo gadu PP finansējuma izlietojumu.</w:t>
      </w:r>
    </w:p>
    <w:p w14:paraId="41885720" w14:textId="77777777" w:rsidR="00CC72FB" w:rsidRPr="00904F26" w:rsidRDefault="00CC72FB" w:rsidP="00CC72FB">
      <w:pPr>
        <w:spacing w:after="120"/>
        <w:ind w:firstLine="709"/>
        <w:jc w:val="both"/>
        <w:rPr>
          <w:rFonts w:cs="Times New Roman"/>
          <w:color w:val="000000" w:themeColor="text1"/>
        </w:rPr>
      </w:pPr>
      <w:r w:rsidRPr="00904F26">
        <w:rPr>
          <w:rFonts w:cs="Times New Roman"/>
          <w:color w:val="000000" w:themeColor="text1"/>
        </w:rPr>
        <w:t xml:space="preserve">Darba grupas diskusijas rezultātā tiks pieņemts stratēģisks lēmums par papildu piešķiramo līdzekļu apjoma sadalījumu pa nozarēm (ministrijām un citām centrālajām valsts iestādēm), ko </w:t>
      </w:r>
      <w:r>
        <w:rPr>
          <w:rFonts w:cs="Times New Roman"/>
          <w:color w:val="000000" w:themeColor="text1"/>
        </w:rPr>
        <w:t xml:space="preserve">nozaru ministri (budžeta </w:t>
      </w:r>
      <w:r w:rsidRPr="00904F26">
        <w:rPr>
          <w:rFonts w:cs="Times New Roman"/>
          <w:color w:val="000000" w:themeColor="text1"/>
        </w:rPr>
        <w:t>resoru vadītāji</w:t>
      </w:r>
      <w:r>
        <w:rPr>
          <w:rFonts w:cs="Times New Roman"/>
          <w:color w:val="000000" w:themeColor="text1"/>
        </w:rPr>
        <w:t>)</w:t>
      </w:r>
      <w:r w:rsidRPr="00904F26">
        <w:rPr>
          <w:rFonts w:cs="Times New Roman"/>
          <w:color w:val="000000" w:themeColor="text1"/>
        </w:rPr>
        <w:t xml:space="preserve"> sadalīs konkrētos PP, kam ir noteikts mērķis, norādīta atbilstība valsts politikas attīstības virzieniem un uzstādīti sasniedzamie un izmērāmie rezultatīvie rādītāji (šī informācija tāpat kā līdz šim tiks iekļauta budžeta likuma paskaidrojumos). Tādejādi tiks arvien veicināts princips, ka tiek sagatavota tikai tāda informācija un tādā detalizācijas pakāpē, kas atbilstošā līmeņa lēmuma pieņēmējiem ir nepieciešama stratēģisko lēmumu pieņemšanas brīdī. Budžeta iestāžu vadītāji, FM un PKC speciālisti tiks atslogoti no apjomīgas informācijas sagatavošanas un apstrādes, un nozares varēs koncentrēties uz reāli piešķirto resursu atbildīgu, rūpīgu un mērķtiecīgu sadalījumu konkrētiem pasākumiem. Tiks arī nodrošināta virzība uz iepriekš aprakstīto pieeju par to, ka nozarei primāri būtu jārēķinās ar tās rīcībā esošo budžetu, attiecīgi līdzekļi jaunām prioritātēm ir jārod, pārskatot esošos budžeta izdevumus un politikas (tai skaitā pieņemot konceptuālus lēmumus par politikas izmaiņām), nevis sistemātiski pieprasot papildus finansējumu.</w:t>
      </w:r>
    </w:p>
    <w:p w14:paraId="2683427D" w14:textId="77777777" w:rsidR="00CC72FB" w:rsidRPr="00F82779" w:rsidRDefault="00CC72FB" w:rsidP="00CC72FB">
      <w:pPr>
        <w:spacing w:before="120" w:after="120"/>
        <w:ind w:firstLine="709"/>
        <w:jc w:val="both"/>
        <w:rPr>
          <w:rFonts w:cs="Times New Roman"/>
          <w:color w:val="000000" w:themeColor="text1"/>
        </w:rPr>
      </w:pPr>
      <w:r w:rsidRPr="00F7471D">
        <w:rPr>
          <w:rFonts w:cs="Times New Roman"/>
        </w:rPr>
        <w:t>Lai efektivizētu valsts budžeta līdzekļu pārvaldību, stiprinātu atbildību par sasniedzamajiem rezultātiem un veicinātu holistiskās pieejas izmantošanu budžeta vadības procesos, kas ir budžeta procesu organizēšanas pamatā), būtu nepieciešams ilgtermiņā virzīties uz šādu mērķu un rezultātu sasniegšanu un procesu ieviešanu:</w:t>
      </w:r>
    </w:p>
    <w:p w14:paraId="149A836A" w14:textId="77777777" w:rsidR="00CC72FB" w:rsidRPr="00F7471D" w:rsidRDefault="00CC72FB" w:rsidP="00CC72FB">
      <w:pPr>
        <w:numPr>
          <w:ilvl w:val="0"/>
          <w:numId w:val="36"/>
        </w:numPr>
        <w:spacing w:after="120"/>
        <w:jc w:val="both"/>
        <w:rPr>
          <w:rFonts w:cs="Times New Roman"/>
        </w:rPr>
      </w:pPr>
      <w:r w:rsidRPr="00F7471D">
        <w:rPr>
          <w:rFonts w:cs="Times New Roman"/>
        </w:rPr>
        <w:t>Lielākas pilnvaras nozares ministram sadalīt (pārdalīt) līdzekļus resora budžeta ietvaros, palielinot ministra un iestāžu vadītāju atbildību par savu prioritāšu un rezultātu sasniegšanu piešķirto resursu ietvaros, vienlaicīgi precizējot prioritāro pasākumu (PP) iesniegšanas procesus.</w:t>
      </w:r>
    </w:p>
    <w:p w14:paraId="06B0305C" w14:textId="77777777" w:rsidR="00CC72FB" w:rsidRPr="00F7471D" w:rsidRDefault="00CC72FB" w:rsidP="00CC72FB">
      <w:pPr>
        <w:numPr>
          <w:ilvl w:val="0"/>
          <w:numId w:val="36"/>
        </w:numPr>
        <w:spacing w:after="120"/>
        <w:jc w:val="both"/>
        <w:rPr>
          <w:rFonts w:cs="Times New Roman"/>
        </w:rPr>
      </w:pPr>
      <w:r w:rsidRPr="00F7471D">
        <w:rPr>
          <w:rFonts w:cs="Times New Roman"/>
        </w:rPr>
        <w:t>Veiktspējas balstīta budžeta stiprināšana</w:t>
      </w:r>
      <w:r>
        <w:rPr>
          <w:rFonts w:cs="Times New Roman"/>
        </w:rPr>
        <w:t>,</w:t>
      </w:r>
      <w:r w:rsidRPr="00F7471D">
        <w:rPr>
          <w:rFonts w:cs="Times New Roman"/>
        </w:rPr>
        <w:t xml:space="preserve"> nodrošinot budžeta likuma detalizācijas pakāpi un lēmumu pieņemšanu politikas jomu detalizācijas līmenī un ieviešot zemāko budžeta plānošanas elementu – aktivitāšu tāmes.</w:t>
      </w:r>
    </w:p>
    <w:p w14:paraId="303BEB66" w14:textId="77777777" w:rsidR="00CC72FB" w:rsidRPr="00F7471D" w:rsidRDefault="00CC72FB" w:rsidP="00CC72FB">
      <w:pPr>
        <w:numPr>
          <w:ilvl w:val="0"/>
          <w:numId w:val="36"/>
        </w:numPr>
        <w:spacing w:after="120"/>
        <w:jc w:val="both"/>
        <w:rPr>
          <w:rFonts w:cs="Times New Roman"/>
        </w:rPr>
      </w:pPr>
      <w:r w:rsidRPr="00F7471D">
        <w:rPr>
          <w:rFonts w:cs="Times New Roman"/>
        </w:rPr>
        <w:t>Turpināt visu veidu uzskaites maksimālo automatizāciju, nodrošinot integrēto pieeju iespējami plašākiem pārskatu un atskaišu veidiem un visas budžeta informācijas  uzglabāšanu vienotajā informatīvajā sistēmā, kā arī ilgtermiņā nodrošinot budžeta izdevumu plānošanu un uzskaiti gan pēc naudas plūsmas principa, gan uzkrājuma principa.</w:t>
      </w:r>
    </w:p>
    <w:p w14:paraId="05C287D1" w14:textId="77777777" w:rsidR="00CC72FB" w:rsidRPr="00B40CFA" w:rsidRDefault="00CC72FB" w:rsidP="00CC72FB">
      <w:pPr>
        <w:spacing w:after="120"/>
        <w:ind w:firstLine="709"/>
        <w:jc w:val="both"/>
        <w:rPr>
          <w:rFonts w:cs="Times New Roman"/>
          <w:i/>
        </w:rPr>
      </w:pPr>
      <w:r w:rsidRPr="00F7471D">
        <w:rPr>
          <w:rFonts w:cs="Times New Roman"/>
        </w:rPr>
        <w:t>Rezumējot, virzība uz budžeta plānošanas un izpildes procesu pilnveidi atbilstoši aprakstītajai konceptuālajai pieejai nozīmētu būtisku un visaptverošu budžeta politikas un procesa analīzi un reorganizāciju.</w:t>
      </w:r>
    </w:p>
    <w:p w14:paraId="6D500C25" w14:textId="77777777" w:rsidR="00141A91" w:rsidRPr="00141A91" w:rsidRDefault="00141A91" w:rsidP="00141A91"/>
    <w:p w14:paraId="47EFF532" w14:textId="2629AE3A" w:rsidR="00544325" w:rsidRDefault="00544325" w:rsidP="006A15ED">
      <w:pPr>
        <w:pStyle w:val="Heading2"/>
        <w:numPr>
          <w:ilvl w:val="1"/>
          <w:numId w:val="2"/>
        </w:numPr>
      </w:pPr>
      <w:bookmarkStart w:id="227" w:name="_Toc48200660"/>
      <w:r w:rsidRPr="00544325">
        <w:t>IKT joma</w:t>
      </w:r>
      <w:r>
        <w:t>s</w:t>
      </w:r>
      <w:r w:rsidR="00A400E0">
        <w:t xml:space="preserve"> finansēšanas, informācijas sistēmu</w:t>
      </w:r>
      <w:r w:rsidRPr="00544325">
        <w:t xml:space="preserve"> </w:t>
      </w:r>
      <w:r w:rsidR="00A400E0">
        <w:t>un datu centru analīze</w:t>
      </w:r>
      <w:bookmarkEnd w:id="227"/>
    </w:p>
    <w:p w14:paraId="5B9E6849" w14:textId="77777777" w:rsidR="00710715" w:rsidRPr="00710715" w:rsidRDefault="00710715" w:rsidP="00710715">
      <w:pPr>
        <w:spacing w:after="120"/>
        <w:ind w:firstLine="720"/>
        <w:jc w:val="both"/>
        <w:rPr>
          <w:rFonts w:cs="Times New Roman"/>
        </w:rPr>
      </w:pPr>
      <w:r w:rsidRPr="00BF0904">
        <w:rPr>
          <w:rFonts w:cs="Times New Roman"/>
        </w:rPr>
        <w:t xml:space="preserve">Attīstoties jaunākajām tehnoloģijām un digitālajām iespējām informācijas apmaiņai un </w:t>
      </w:r>
      <w:r w:rsidRPr="00710715">
        <w:rPr>
          <w:rFonts w:cs="Times New Roman"/>
        </w:rPr>
        <w:t xml:space="preserve">uzglabāšanai  būtiski pieaug arī IKT jomas nozīme valsts pārvaldē. Digitalizētie un elektroniski pieejamie pakalpojumi veicina klientu apkalpošanas efektivitāti – ekonomējot laiku, izmantotos resursus un mazinot birokrātisko slogu. Tikpat nozīmīga kā elektronizēta klientu apkalpošana </w:t>
      </w:r>
      <w:r w:rsidRPr="00710715">
        <w:rPr>
          <w:rFonts w:cs="Times New Roman"/>
        </w:rPr>
        <w:lastRenderedPageBreak/>
        <w:t>ir arī savstarpējā datu apmaiņa iestādes iekšējos procesos un procesos starp valsts pārvaldes iestādēm, veicinot informācijas pieejamību, apkopošanu un vairākkārtēju izmantošanu.</w:t>
      </w:r>
    </w:p>
    <w:p w14:paraId="6713B2A7" w14:textId="22E3CBFC" w:rsidR="00710715" w:rsidRPr="00710715" w:rsidRDefault="00710715" w:rsidP="00F82779">
      <w:pPr>
        <w:spacing w:after="120"/>
        <w:ind w:firstLine="720"/>
        <w:jc w:val="both"/>
        <w:rPr>
          <w:rFonts w:cs="Times New Roman"/>
        </w:rPr>
      </w:pPr>
      <w:r w:rsidRPr="00710715">
        <w:rPr>
          <w:rFonts w:cs="Times New Roman"/>
        </w:rPr>
        <w:t xml:space="preserve">Valsts IKT organizatoriskā struktūra un tehnoloģiskā arhitektūra vēsturiski izveidojusies sadrumstalota. Savstarpējas koordinācijas un vienotu </w:t>
      </w:r>
      <w:r w:rsidR="005462B3">
        <w:rPr>
          <w:rFonts w:cs="Times New Roman"/>
        </w:rPr>
        <w:t>IKT</w:t>
      </w:r>
      <w:r w:rsidRPr="00710715">
        <w:rPr>
          <w:rFonts w:cs="Times New Roman"/>
        </w:rPr>
        <w:t xml:space="preserve"> pārvaldības principu trūkums valstī līdz šim bijusi galvenā problēma, kas kavējusi vienotas e-pārvaldes attīstību. Kopš 2011. gada VARAM ir noteikta kā vadošā iestāde informācijas sabiedrības, elektroniskā pārvaldes un valsts IKT pārvaldības politikas veidošanā un uzraudzībā. VARAM, sadarbojoties ar ministrijām, veido IKT politiku un pārvaldības principus tā, lai spētu izmantot visu valsts pārvaldes iestādēs uzkrāto kompetenci un pieredzi vienotai pārvaldībai.</w:t>
      </w:r>
    </w:p>
    <w:p w14:paraId="79B98D5A" w14:textId="77777777" w:rsidR="00710715" w:rsidRPr="00710715" w:rsidRDefault="00710715" w:rsidP="00710715">
      <w:pPr>
        <w:spacing w:after="120"/>
        <w:ind w:firstLine="720"/>
        <w:jc w:val="both"/>
        <w:rPr>
          <w:rFonts w:cs="Times New Roman"/>
          <w:b/>
        </w:rPr>
      </w:pPr>
      <w:r w:rsidRPr="00710715">
        <w:rPr>
          <w:rFonts w:cs="Times New Roman"/>
        </w:rPr>
        <w:t>Valsts budžeta iestāžu informācijas sistēmu analīze izdevumu pārskatīšanas ietvaros sākotnēji tika veikta 2017. gadā</w:t>
      </w:r>
      <w:r w:rsidRPr="00710715">
        <w:rPr>
          <w:rStyle w:val="FootnoteReference"/>
          <w:rFonts w:cs="Times New Roman"/>
        </w:rPr>
        <w:footnoteReference w:id="70"/>
      </w:r>
      <w:r w:rsidRPr="00710715">
        <w:rPr>
          <w:rFonts w:cs="Times New Roman"/>
        </w:rPr>
        <w:t>, kad, pieaugot izdevumiem, paralēli tika norādīts uz vairākām problēmām, kurām meklējami efektivizācijas un optimizācijas risinājumi – IKT sistēmu uzturēšanā nav vienotu principu, izmaksas par vienlīdzīgiem pakalpojumiem ir dažādas, trūkst kopējās IKT jautājuma pārvaldības. Kā rezultātā tika uzsākta visaptveroša optimizācijas priekšlikumu izstrāde valsts budžeta iestāžu publisko pakalpojumu piegādes jomā un IKT jomā, prioritāri izvērtējot informācijas sistēmu funkcionalitātes nepamatotas dublēšanās novēršanu un resursu koplietošanas iespējas publisko pakalpojumu piegādes jomā un IKT jomā.</w:t>
      </w:r>
      <w:r w:rsidRPr="00710715">
        <w:rPr>
          <w:rFonts w:cs="Times New Roman"/>
          <w:b/>
        </w:rPr>
        <w:t xml:space="preserve"> </w:t>
      </w:r>
    </w:p>
    <w:p w14:paraId="5E70A9FC" w14:textId="77777777" w:rsidR="00710715" w:rsidRPr="00710715" w:rsidRDefault="00710715" w:rsidP="00710715">
      <w:pPr>
        <w:spacing w:after="120"/>
        <w:ind w:firstLine="720"/>
        <w:jc w:val="both"/>
        <w:rPr>
          <w:rFonts w:eastAsia="Times New Roman" w:cs="Times New Roman"/>
        </w:rPr>
      </w:pPr>
      <w:r w:rsidRPr="00710715">
        <w:rPr>
          <w:rFonts w:cs="Times New Roman"/>
        </w:rPr>
        <w:t>A</w:t>
      </w:r>
      <w:r w:rsidRPr="00710715">
        <w:rPr>
          <w:rFonts w:eastAsia="Times New Roman" w:cs="Times New Roman"/>
        </w:rPr>
        <w:t>ktualizējot IKT  jomas jautājumu izdevumu pārskatīšanas kontekstā, VARAM tika aicināts sniegt informāciju par darbības plāna izpildi valsts budžeta iestāžu publisko pakalpojumu piegādes un IKT jomas optimizācijai, kas tika atbalstīts MK 2017. gada 28. augusta sēdē izdevumu pārskatīšanas ziņojuma</w:t>
      </w:r>
      <w:r w:rsidRPr="00710715">
        <w:rPr>
          <w:rStyle w:val="FootnoteReference"/>
          <w:rFonts w:eastAsia="Times New Roman" w:cs="Times New Roman"/>
        </w:rPr>
        <w:footnoteReference w:id="71"/>
      </w:r>
      <w:r w:rsidRPr="00710715">
        <w:rPr>
          <w:rFonts w:eastAsia="Times New Roman" w:cs="Times New Roman"/>
        </w:rPr>
        <w:t xml:space="preserve"> izskatīšanas ietvaros (prot. Nr. 41 1.§ 6. punkts), 2018. gadā veiktās izdevumu pārskatīšanā turpinātā darba pie plāna izpildes kā rezultātā atbildīgajām ministrijām tika noteikti konkrētāki uzdevumi.</w:t>
      </w:r>
    </w:p>
    <w:p w14:paraId="2335FECB" w14:textId="77777777" w:rsidR="00710715" w:rsidRPr="00710715" w:rsidRDefault="00710715" w:rsidP="00710715">
      <w:pPr>
        <w:spacing w:after="120"/>
        <w:ind w:firstLine="720"/>
        <w:jc w:val="both"/>
        <w:rPr>
          <w:rFonts w:cs="Times New Roman"/>
        </w:rPr>
      </w:pPr>
      <w:r w:rsidRPr="00710715">
        <w:rPr>
          <w:rFonts w:cs="Times New Roman"/>
        </w:rPr>
        <w:t>Novērtējot VARAM ieguldīto darbu, resursus un centienus IKT jomas izdevumu optimizācijai un vienotu IKT principu ieviešanai, VKo savās revīzijās</w:t>
      </w:r>
      <w:r w:rsidRPr="00710715">
        <w:rPr>
          <w:rStyle w:val="FootnoteReference"/>
          <w:rFonts w:cs="Times New Roman"/>
        </w:rPr>
        <w:footnoteReference w:id="72"/>
      </w:r>
      <w:r w:rsidRPr="00710715">
        <w:rPr>
          <w:rFonts w:cs="Times New Roman"/>
        </w:rPr>
        <w:t xml:space="preserve">  2017. un 2019. gadā joprojām norāda uz trūkumiem un ļoti lēnu pilnveides attīstības gaitu.</w:t>
      </w:r>
    </w:p>
    <w:p w14:paraId="697C67D8" w14:textId="77777777" w:rsidR="00710715" w:rsidRPr="00710715" w:rsidRDefault="00710715" w:rsidP="00710715">
      <w:pPr>
        <w:spacing w:after="120"/>
        <w:ind w:firstLine="720"/>
        <w:jc w:val="both"/>
        <w:rPr>
          <w:rFonts w:cs="Times New Roman"/>
        </w:rPr>
      </w:pPr>
      <w:r w:rsidRPr="00710715">
        <w:rPr>
          <w:rFonts w:cs="Times New Roman"/>
        </w:rPr>
        <w:t>Vērtējot valsts budžeta informācijas sistēmas un IKT jomas optimizāciju vidējā termiņā, ir izdalāmi galvenie izvērtējuma bloki:</w:t>
      </w:r>
    </w:p>
    <w:p w14:paraId="64A8A8DA" w14:textId="77777777" w:rsidR="00710715" w:rsidRPr="00710715" w:rsidRDefault="00710715" w:rsidP="00710715">
      <w:pPr>
        <w:pStyle w:val="ListParagraph"/>
        <w:numPr>
          <w:ilvl w:val="0"/>
          <w:numId w:val="32"/>
        </w:numPr>
        <w:spacing w:after="120"/>
        <w:contextualSpacing w:val="0"/>
        <w:jc w:val="both"/>
        <w:rPr>
          <w:rFonts w:cs="Times New Roman"/>
        </w:rPr>
      </w:pPr>
      <w:r w:rsidRPr="00710715">
        <w:rPr>
          <w:rFonts w:cs="Times New Roman"/>
        </w:rPr>
        <w:t>Vispārēja izdevumu IKT jomas finansēšanai analīze</w:t>
      </w:r>
    </w:p>
    <w:p w14:paraId="356295CD" w14:textId="77777777" w:rsidR="00710715" w:rsidRPr="00710715" w:rsidRDefault="00710715" w:rsidP="00710715">
      <w:pPr>
        <w:pStyle w:val="ListParagraph"/>
        <w:numPr>
          <w:ilvl w:val="0"/>
          <w:numId w:val="32"/>
        </w:numPr>
        <w:spacing w:after="120"/>
        <w:contextualSpacing w:val="0"/>
        <w:jc w:val="both"/>
        <w:rPr>
          <w:rFonts w:cs="Times New Roman"/>
        </w:rPr>
      </w:pPr>
      <w:r w:rsidRPr="00710715">
        <w:rPr>
          <w:rFonts w:cs="Times New Roman"/>
        </w:rPr>
        <w:t>Valsts budžeta iestāžu informācijas sistēmas un to savietojamība</w:t>
      </w:r>
    </w:p>
    <w:p w14:paraId="2219B4D0" w14:textId="77777777" w:rsidR="00710715" w:rsidRPr="00710715" w:rsidRDefault="00710715" w:rsidP="00710715">
      <w:pPr>
        <w:pStyle w:val="ListParagraph"/>
        <w:numPr>
          <w:ilvl w:val="0"/>
          <w:numId w:val="32"/>
        </w:numPr>
        <w:spacing w:after="120"/>
        <w:contextualSpacing w:val="0"/>
        <w:jc w:val="both"/>
        <w:rPr>
          <w:rFonts w:cs="Times New Roman"/>
        </w:rPr>
      </w:pPr>
      <w:r w:rsidRPr="00710715">
        <w:rPr>
          <w:rFonts w:cs="Times New Roman"/>
        </w:rPr>
        <w:t>Serveru (datu centru) noslodze un izmantošana</w:t>
      </w:r>
    </w:p>
    <w:p w14:paraId="4F3A5326" w14:textId="77777777" w:rsidR="00710715" w:rsidRPr="00710715" w:rsidRDefault="00710715" w:rsidP="00710715">
      <w:pPr>
        <w:spacing w:after="120"/>
        <w:ind w:firstLine="709"/>
        <w:jc w:val="both"/>
        <w:rPr>
          <w:rFonts w:cs="Times New Roman"/>
        </w:rPr>
      </w:pPr>
      <w:r w:rsidRPr="00710715">
        <w:rPr>
          <w:rFonts w:cs="Times New Roman"/>
        </w:rPr>
        <w:t>Pēdējo divu punktu analīzei tika izveidota anketa, kura tika nosūtīta aizpildīšanai visām ministrijām un citām centrālajām valsts iestādēm, lūdzot sniegt informāciju par informācijas sistēmu skaitu un attīstību, kā arī serveru jeb datu centru infrastruktūru savā resorā.</w:t>
      </w:r>
    </w:p>
    <w:p w14:paraId="0B94AC81" w14:textId="2D3FCF91" w:rsidR="00710715" w:rsidRPr="00710715" w:rsidRDefault="00710715" w:rsidP="00710715">
      <w:pPr>
        <w:spacing w:after="120"/>
        <w:ind w:firstLine="709"/>
        <w:jc w:val="both"/>
        <w:rPr>
          <w:rFonts w:cs="Times New Roman"/>
        </w:rPr>
      </w:pPr>
      <w:r w:rsidRPr="00710715">
        <w:rPr>
          <w:rFonts w:cs="Times New Roman"/>
        </w:rPr>
        <w:lastRenderedPageBreak/>
        <w:t>Informācija tika saņemta no lielākās daļas resoru. Pamatotu iemeslu dēļ anketu neiesniedza AiM, savukārt CZK attiecīgā</w:t>
      </w:r>
      <w:r w:rsidR="00A6713B">
        <w:rPr>
          <w:rFonts w:cs="Times New Roman"/>
        </w:rPr>
        <w:t xml:space="preserve"> infrastruktūra nepastāv. </w:t>
      </w:r>
      <w:r w:rsidRPr="00710715">
        <w:rPr>
          <w:rFonts w:cs="Times New Roman"/>
        </w:rPr>
        <w:t>PKC pieprasīto informāciju neiesniedza, līdz ar to šo resoru dati un viedokļi netiek skatīti turpmākajā ziņojuma sadaļā.</w:t>
      </w:r>
    </w:p>
    <w:p w14:paraId="61AA8037" w14:textId="77777777" w:rsidR="00710715" w:rsidRPr="00710715" w:rsidRDefault="00710715" w:rsidP="00710715">
      <w:pPr>
        <w:spacing w:after="120"/>
        <w:jc w:val="both"/>
        <w:rPr>
          <w:rFonts w:cs="Times New Roman"/>
          <w:b/>
          <w:i/>
        </w:rPr>
      </w:pPr>
      <w:r w:rsidRPr="00710715">
        <w:rPr>
          <w:rFonts w:cs="Times New Roman"/>
          <w:b/>
          <w:i/>
        </w:rPr>
        <w:t>Vispārēja izdevumu IKT jomas finansēšanai analīze</w:t>
      </w:r>
    </w:p>
    <w:p w14:paraId="6505B663" w14:textId="71A032CE" w:rsidR="00710715" w:rsidRPr="00710715" w:rsidRDefault="00710715" w:rsidP="00710715">
      <w:pPr>
        <w:spacing w:after="120"/>
        <w:ind w:firstLine="709"/>
        <w:jc w:val="both"/>
        <w:rPr>
          <w:rFonts w:cs="Times New Roman"/>
        </w:rPr>
      </w:pPr>
      <w:r w:rsidRPr="00710715">
        <w:rPr>
          <w:rFonts w:cs="Times New Roman"/>
          <w:b/>
        </w:rPr>
        <w:tab/>
      </w:r>
      <w:r w:rsidRPr="00710715">
        <w:rPr>
          <w:rFonts w:cs="Times New Roman"/>
        </w:rPr>
        <w:t>Finansēšanas analīze veikta sākotnēji apzinot budžeta uzskaitē esošos ekonomiskās klasifikācijas kodus, kuros tiek grāmatoti IKT jomas izdevumi. Līdz 2018. gadam tie bija 5 </w:t>
      </w:r>
      <w:r w:rsidR="00122B02">
        <w:rPr>
          <w:rFonts w:cs="Times New Roman"/>
        </w:rPr>
        <w:t>EKK</w:t>
      </w:r>
      <w:r w:rsidRPr="00710715">
        <w:rPr>
          <w:rFonts w:cs="Times New Roman"/>
        </w:rPr>
        <w:t>, kuri ar grozījumiem MK noteikumos Nr. 1030</w:t>
      </w:r>
      <w:r w:rsidRPr="00710715">
        <w:rPr>
          <w:rStyle w:val="FootnoteReference"/>
          <w:rFonts w:cs="Times New Roman"/>
        </w:rPr>
        <w:footnoteReference w:id="73"/>
      </w:r>
      <w:r w:rsidRPr="00710715">
        <w:rPr>
          <w:rFonts w:cs="Times New Roman"/>
        </w:rPr>
        <w:t xml:space="preserve"> 2018. gadā un 2019. gadā tika apvienoti, tos neizdalot detalizēti</w:t>
      </w:r>
      <w:r w:rsidR="00F82779">
        <w:rPr>
          <w:rFonts w:cs="Times New Roman"/>
        </w:rPr>
        <w:t>.</w:t>
      </w:r>
    </w:p>
    <w:p w14:paraId="75E5BAEB" w14:textId="6901A743" w:rsidR="00A400E0" w:rsidRPr="00F82779" w:rsidRDefault="00710715" w:rsidP="00F82779">
      <w:pPr>
        <w:spacing w:before="120" w:after="120"/>
        <w:ind w:firstLine="709"/>
        <w:jc w:val="both"/>
        <w:rPr>
          <w:rFonts w:cs="Times New Roman"/>
        </w:rPr>
      </w:pPr>
      <w:r w:rsidRPr="00710715">
        <w:rPr>
          <w:rFonts w:cs="Times New Roman"/>
        </w:rPr>
        <w:t>Pēdējo četru gadu laikā valsts pamatbudžeta izdevumos IKT jomai ir vērojams finansējuma pieaugums par vidēji 10,1 milj.</w:t>
      </w:r>
      <w:r w:rsidR="00F82779">
        <w:rPr>
          <w:rFonts w:cs="Times New Roman"/>
        </w:rPr>
        <w:t xml:space="preserve"> </w:t>
      </w:r>
      <w:r w:rsidR="00F82779">
        <w:rPr>
          <w:rFonts w:cs="Times New Roman"/>
          <w:i/>
        </w:rPr>
        <w:t>euro</w:t>
      </w:r>
      <w:r w:rsidRPr="00710715">
        <w:rPr>
          <w:rFonts w:cs="Times New Roman"/>
        </w:rPr>
        <w:t xml:space="preserve"> gadā, t.sk. pamatfunkcijās vidēji 8,0 milj. </w:t>
      </w:r>
      <w:r w:rsidRPr="00710715">
        <w:rPr>
          <w:rFonts w:cs="Times New Roman"/>
          <w:i/>
        </w:rPr>
        <w:t>euro</w:t>
      </w:r>
      <w:r w:rsidRPr="00710715">
        <w:rPr>
          <w:rFonts w:cs="Times New Roman"/>
        </w:rPr>
        <w:t xml:space="preserve"> gadā. 2020. gada budžeta plānā sasniedzot 103,6 milj. </w:t>
      </w:r>
      <w:r w:rsidRPr="00710715">
        <w:rPr>
          <w:rFonts w:cs="Times New Roman"/>
          <w:i/>
        </w:rPr>
        <w:t>euro</w:t>
      </w:r>
      <w:r w:rsidRPr="00710715">
        <w:rPr>
          <w:rFonts w:cs="Times New Roman"/>
        </w:rPr>
        <w:t>. Lai gan izdevumu pieaugums ir loģisks, ņemot vērā IKT attīstību, tomēr ir vērtējama ieguldīto resursu efektivitāte un sasniegtie rezultāti (</w:t>
      </w:r>
      <w:r>
        <w:rPr>
          <w:rFonts w:cs="Times New Roman"/>
        </w:rPr>
        <w:fldChar w:fldCharType="begin"/>
      </w:r>
      <w:r>
        <w:rPr>
          <w:rFonts w:cs="Times New Roman"/>
        </w:rPr>
        <w:instrText xml:space="preserve"> REF _Ref47447664 \h </w:instrText>
      </w:r>
      <w:r>
        <w:rPr>
          <w:rFonts w:cs="Times New Roman"/>
        </w:rPr>
      </w:r>
      <w:r>
        <w:rPr>
          <w:rFonts w:cs="Times New Roman"/>
        </w:rPr>
        <w:fldChar w:fldCharType="separate"/>
      </w:r>
      <w:r w:rsidR="00D96F20" w:rsidRPr="00710715">
        <w:t xml:space="preserve">Attēls Nr. </w:t>
      </w:r>
      <w:r w:rsidR="00D96F20">
        <w:rPr>
          <w:noProof/>
        </w:rPr>
        <w:t>85</w:t>
      </w:r>
      <w:r>
        <w:rPr>
          <w:rFonts w:cs="Times New Roman"/>
        </w:rPr>
        <w:fldChar w:fldCharType="end"/>
      </w:r>
      <w:r w:rsidR="00F82779">
        <w:rPr>
          <w:rFonts w:cs="Times New Roman"/>
        </w:rPr>
        <w:t>).</w:t>
      </w:r>
    </w:p>
    <w:p w14:paraId="0940C801" w14:textId="33FEDEC6" w:rsidR="00710715" w:rsidRPr="00710715" w:rsidRDefault="00710715" w:rsidP="00710715">
      <w:pPr>
        <w:pStyle w:val="Caption"/>
      </w:pPr>
      <w:bookmarkStart w:id="228" w:name="_Ref47447664"/>
      <w:r w:rsidRPr="00710715">
        <w:t xml:space="preserve">Attēls Nr. </w:t>
      </w:r>
      <w:fldSimple w:instr=" SEQ Attēls_Nr. \* ARABIC ">
        <w:r w:rsidR="00D96F20">
          <w:rPr>
            <w:noProof/>
          </w:rPr>
          <w:t>85</w:t>
        </w:r>
      </w:fldSimple>
      <w:bookmarkEnd w:id="228"/>
    </w:p>
    <w:p w14:paraId="154580F1" w14:textId="77777777" w:rsidR="00710715" w:rsidRPr="00710715" w:rsidRDefault="00710715" w:rsidP="00710715">
      <w:pPr>
        <w:spacing w:after="120" w:line="240" w:lineRule="auto"/>
        <w:ind w:firstLine="720"/>
        <w:jc w:val="center"/>
        <w:rPr>
          <w:rFonts w:cs="Times New Roman"/>
          <w:b/>
        </w:rPr>
      </w:pPr>
      <w:r w:rsidRPr="00710715">
        <w:rPr>
          <w:rFonts w:cs="Times New Roman"/>
          <w:b/>
        </w:rPr>
        <w:t xml:space="preserve">Valsts budžeta izdevumi precēm un pakalpojumiem un kapitālajām iegādēm IKT jomā, milj. </w:t>
      </w:r>
      <w:r w:rsidRPr="00710715">
        <w:rPr>
          <w:rFonts w:cs="Times New Roman"/>
          <w:b/>
          <w:i/>
        </w:rPr>
        <w:t>euro</w:t>
      </w:r>
      <w:r w:rsidRPr="00710715">
        <w:rPr>
          <w:rStyle w:val="FootnoteReference"/>
          <w:rFonts w:cs="Times New Roman"/>
          <w:b/>
          <w:i/>
        </w:rPr>
        <w:footnoteReference w:id="74"/>
      </w:r>
    </w:p>
    <w:p w14:paraId="26706855" w14:textId="77777777" w:rsidR="00710715" w:rsidRPr="00710715" w:rsidRDefault="00710715" w:rsidP="00710715">
      <w:pPr>
        <w:spacing w:after="120"/>
        <w:jc w:val="center"/>
        <w:rPr>
          <w:rFonts w:cs="Times New Roman"/>
          <w:color w:val="212121"/>
        </w:rPr>
      </w:pPr>
      <w:r w:rsidRPr="00710715">
        <w:rPr>
          <w:rFonts w:cs="Times New Roman"/>
          <w:noProof/>
          <w:color w:val="212121"/>
          <w:lang w:eastAsia="lv-LV"/>
        </w:rPr>
        <w:drawing>
          <wp:inline distT="0" distB="0" distL="0" distR="0" wp14:anchorId="3F3603C1" wp14:editId="446DE592">
            <wp:extent cx="5780598" cy="323977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809964" cy="3256228"/>
                    </a:xfrm>
                    <a:prstGeom prst="rect">
                      <a:avLst/>
                    </a:prstGeom>
                    <a:noFill/>
                  </pic:spPr>
                </pic:pic>
              </a:graphicData>
            </a:graphic>
          </wp:inline>
        </w:drawing>
      </w:r>
    </w:p>
    <w:p w14:paraId="415F42FF" w14:textId="77777777" w:rsidR="00710715" w:rsidRPr="00710715" w:rsidRDefault="00710715" w:rsidP="00710715">
      <w:pPr>
        <w:spacing w:after="120"/>
        <w:jc w:val="both"/>
        <w:rPr>
          <w:rFonts w:cs="Times New Roman"/>
        </w:rPr>
      </w:pPr>
      <w:r w:rsidRPr="00710715">
        <w:rPr>
          <w:rFonts w:cs="Times New Roman"/>
          <w:b/>
          <w:i/>
        </w:rPr>
        <w:t>Valsts budžeta iestāžu informācijas sistēmas un to savietojamība</w:t>
      </w:r>
    </w:p>
    <w:p w14:paraId="67803746" w14:textId="75ABEFD9" w:rsidR="00710715" w:rsidRPr="00F82779" w:rsidRDefault="00710715" w:rsidP="00F82779">
      <w:pPr>
        <w:spacing w:after="120"/>
        <w:ind w:firstLine="709"/>
        <w:jc w:val="both"/>
        <w:rPr>
          <w:rFonts w:cs="Times New Roman"/>
        </w:rPr>
      </w:pPr>
      <w:r w:rsidRPr="00710715">
        <w:rPr>
          <w:rFonts w:cs="Times New Roman"/>
        </w:rPr>
        <w:t>VKo 2017. gada revīzijas ziņojumā norāda uz datu savietojamības problēmām un valsts informācijas sistēmu uzskaites trūkumiem valsts pārvaldes ietvaros. VKo norādīja, ka vēl 2017. gadā vienkopus nebija pieejama informācija par visām valsts un pašvaldību informācijas sistēmām, kā arī par datiem, kas šajās sistēmās tiek uzkrāti. Pēdējos gados gan šāds apkopojums ir pieejams, kurā redzams valsts informācijas sistēmu skaita pieaugums (</w:t>
      </w:r>
      <w:r w:rsidR="00FB3B36">
        <w:rPr>
          <w:rFonts w:cs="Times New Roman"/>
        </w:rPr>
        <w:fldChar w:fldCharType="begin"/>
      </w:r>
      <w:r w:rsidR="00FB3B36">
        <w:rPr>
          <w:rFonts w:cs="Times New Roman"/>
        </w:rPr>
        <w:instrText xml:space="preserve"> REF _Ref48130423 \h </w:instrText>
      </w:r>
      <w:r w:rsidR="00FB3B36">
        <w:rPr>
          <w:rFonts w:cs="Times New Roman"/>
        </w:rPr>
      </w:r>
      <w:r w:rsidR="00FB3B36">
        <w:rPr>
          <w:rFonts w:cs="Times New Roman"/>
        </w:rPr>
        <w:fldChar w:fldCharType="separate"/>
      </w:r>
      <w:r w:rsidR="00D96F20" w:rsidRPr="00710715">
        <w:t xml:space="preserve">Attēls Nr. </w:t>
      </w:r>
      <w:r w:rsidR="00D96F20">
        <w:rPr>
          <w:noProof/>
        </w:rPr>
        <w:t>86</w:t>
      </w:r>
      <w:r w:rsidR="00FB3B36">
        <w:rPr>
          <w:rFonts w:cs="Times New Roman"/>
        </w:rPr>
        <w:fldChar w:fldCharType="end"/>
      </w:r>
      <w:r w:rsidRPr="00710715">
        <w:rPr>
          <w:rFonts w:cs="Times New Roman"/>
        </w:rPr>
        <w:t xml:space="preserve">). Statistiski 2017. gadā ministrijām un citām centrālajām valsts iestādēm bija pārziņa statuss 174 valsts informācijas sistēmām, savukārt 2020. gadā šis skaits ir audzis līdz 287. Redzams, </w:t>
      </w:r>
      <w:r w:rsidRPr="00710715">
        <w:rPr>
          <w:rFonts w:cs="Times New Roman"/>
        </w:rPr>
        <w:lastRenderedPageBreak/>
        <w:t>ka visiem resoriem, kuriem 2017. gadā bija vismaz divas valsts informācijas sistēmas, pēdējo trīs gad</w:t>
      </w:r>
      <w:r w:rsidR="00F82779">
        <w:rPr>
          <w:rFonts w:cs="Times New Roman"/>
        </w:rPr>
        <w:t>u laikā to skaits ir pieaudzis.</w:t>
      </w:r>
    </w:p>
    <w:p w14:paraId="3CD56C0B" w14:textId="3725564F" w:rsidR="00710715" w:rsidRPr="00710715" w:rsidRDefault="00710715" w:rsidP="00710715">
      <w:pPr>
        <w:pStyle w:val="Caption"/>
      </w:pPr>
      <w:bookmarkStart w:id="229" w:name="_Ref48130423"/>
      <w:r w:rsidRPr="00710715">
        <w:t xml:space="preserve">Attēls Nr. </w:t>
      </w:r>
      <w:fldSimple w:instr=" SEQ Attēls_Nr. \* ARABIC ">
        <w:r w:rsidR="00D96F20">
          <w:rPr>
            <w:noProof/>
          </w:rPr>
          <w:t>86</w:t>
        </w:r>
      </w:fldSimple>
      <w:bookmarkEnd w:id="229"/>
    </w:p>
    <w:p w14:paraId="629EC640" w14:textId="77777777" w:rsidR="00710715" w:rsidRPr="00710715" w:rsidRDefault="00710715" w:rsidP="00710715">
      <w:pPr>
        <w:spacing w:after="120" w:line="240" w:lineRule="auto"/>
        <w:jc w:val="center"/>
        <w:rPr>
          <w:rFonts w:cs="Times New Roman"/>
        </w:rPr>
      </w:pPr>
      <w:r w:rsidRPr="00710715">
        <w:rPr>
          <w:rFonts w:cs="Times New Roman"/>
          <w:b/>
        </w:rPr>
        <w:t>Valsts informācijas sistēmu skaits pa resoriem 2017. un 2020. gadā</w:t>
      </w:r>
    </w:p>
    <w:p w14:paraId="00286071" w14:textId="77777777" w:rsidR="00710715" w:rsidRPr="00710715" w:rsidRDefault="00710715" w:rsidP="00710715">
      <w:pPr>
        <w:spacing w:after="120"/>
        <w:jc w:val="center"/>
        <w:rPr>
          <w:rFonts w:cs="Times New Roman"/>
        </w:rPr>
      </w:pPr>
      <w:r w:rsidRPr="00710715">
        <w:rPr>
          <w:rFonts w:cs="Times New Roman"/>
          <w:noProof/>
          <w:lang w:eastAsia="lv-LV"/>
        </w:rPr>
        <w:drawing>
          <wp:inline distT="0" distB="0" distL="0" distR="0" wp14:anchorId="6C29E393" wp14:editId="0879C27E">
            <wp:extent cx="5693134" cy="3315335"/>
            <wp:effectExtent l="0" t="0" r="317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23408" cy="3332965"/>
                    </a:xfrm>
                    <a:prstGeom prst="rect">
                      <a:avLst/>
                    </a:prstGeom>
                    <a:noFill/>
                  </pic:spPr>
                </pic:pic>
              </a:graphicData>
            </a:graphic>
          </wp:inline>
        </w:drawing>
      </w:r>
    </w:p>
    <w:p w14:paraId="280884B4" w14:textId="77777777" w:rsidR="00710715" w:rsidRPr="00710715" w:rsidRDefault="00710715" w:rsidP="00710715">
      <w:pPr>
        <w:tabs>
          <w:tab w:val="left" w:pos="0"/>
        </w:tabs>
        <w:spacing w:after="120"/>
        <w:ind w:firstLine="709"/>
        <w:jc w:val="both"/>
        <w:rPr>
          <w:rFonts w:cs="Times New Roman"/>
        </w:rPr>
      </w:pPr>
      <w:r w:rsidRPr="00710715">
        <w:rPr>
          <w:rFonts w:cs="Times New Roman"/>
        </w:rPr>
        <w:t xml:space="preserve">Atzīmējams, ka resoru anketās minētie dati būtiski nesakrīt ar publiski pieejamo apkopojumu. Lielākā daļa resoru anketās ir norādījuši mazāku valsts informācijas sistēmu skaitu un tikai dažos gadījumos skaits sakrīt, bet vienā gadījumā anketā norādītas par 13 valsts informācijas sistēmām vairāk nekā pieejamajā apkopojumā. Šādi rezultāti var liecināt par iestāžu dažādo izpratni par IKT jomā un reģistros lietotajiem terminiem, kā piemēram, “valsts informācijas sistēmas”. </w:t>
      </w:r>
    </w:p>
    <w:p w14:paraId="69D7A2F7" w14:textId="3984568A" w:rsidR="00710715" w:rsidRPr="00710715" w:rsidRDefault="00710715" w:rsidP="00710715">
      <w:pPr>
        <w:tabs>
          <w:tab w:val="left" w:pos="0"/>
        </w:tabs>
        <w:spacing w:after="120"/>
        <w:ind w:firstLine="709"/>
        <w:jc w:val="both"/>
        <w:rPr>
          <w:rFonts w:cs="Times New Roman"/>
        </w:rPr>
      </w:pPr>
      <w:r w:rsidRPr="00710715">
        <w:rPr>
          <w:rFonts w:cs="Times New Roman"/>
        </w:rPr>
        <w:t>Analīzes rezultātos ir atzīmējams arī lielo kopējo informācijas sistēmu skaits resoros. Ja tie resori, kas iesniedza anketas</w:t>
      </w:r>
      <w:r w:rsidR="00A6713B">
        <w:rPr>
          <w:rFonts w:cs="Times New Roman"/>
        </w:rPr>
        <w:t>, norādīja, ka to pārziņā ir 175</w:t>
      </w:r>
      <w:r w:rsidRPr="00710715">
        <w:rPr>
          <w:rFonts w:cs="Times New Roman"/>
        </w:rPr>
        <w:t xml:space="preserve"> valsts informācijas sistēmas, kas attiecīgi ir reģistrētas kopējā datubāzē, tad attiecībā uz kopējo informācijas sistēmu skaitu, kurā ietilpst arī visas tās informācijas sistēmas, kas tiek izmantotas tikai iestādes vai resora iekšienē (piemēram, elektroniskā pasta, videonovērošanas vai caurla</w:t>
      </w:r>
      <w:r w:rsidR="00A6713B">
        <w:rPr>
          <w:rFonts w:cs="Times New Roman"/>
        </w:rPr>
        <w:t>ižu sistēmas), resori uzrāda 961 informācijas sistēma</w:t>
      </w:r>
      <w:r w:rsidRPr="00710715">
        <w:rPr>
          <w:rFonts w:cs="Times New Roman"/>
        </w:rPr>
        <w:t>, kas ir vairāk nekā piecas reizes lielāks skaits nekā valsts informācijas sistēmas.</w:t>
      </w:r>
    </w:p>
    <w:p w14:paraId="1093C117" w14:textId="77777777" w:rsidR="00710715" w:rsidRPr="00710715" w:rsidRDefault="00710715" w:rsidP="00710715">
      <w:pPr>
        <w:tabs>
          <w:tab w:val="left" w:pos="0"/>
        </w:tabs>
        <w:spacing w:after="120"/>
        <w:ind w:firstLine="709"/>
        <w:jc w:val="both"/>
        <w:rPr>
          <w:rFonts w:cs="Times New Roman"/>
        </w:rPr>
      </w:pPr>
      <w:r w:rsidRPr="00710715">
        <w:rPr>
          <w:rFonts w:cs="Times New Roman"/>
        </w:rPr>
        <w:t>2017. gada VKo ziņojumā tiek uzsvērta Valsts informācijas sistēmu savietotāja (turpmāk – VISS) izmantošanas nepieciešamība. VISS ir centralizēts IKT kopums, ar kura palīdzību var nodrošināt informācijas apriti integrētas valsts informācijas sistēmas ietvaros, kā arī starp valsts informācijas sistēmām un citām informācijas sistēmām, kuras veido un uztur valsts vai pašvaldību institūcijas vai privātpersonas. VISS izmantošanu regulē MK noteikumi</w:t>
      </w:r>
      <w:r w:rsidRPr="00710715">
        <w:rPr>
          <w:rFonts w:cs="Times New Roman"/>
          <w:vertAlign w:val="superscript"/>
        </w:rPr>
        <w:footnoteReference w:id="75"/>
      </w:r>
      <w:r w:rsidRPr="00710715">
        <w:rPr>
          <w:rFonts w:cs="Times New Roman"/>
        </w:rPr>
        <w:t xml:space="preserve">. Kā norāda VKo, ka, nodrošinot savstarpēju datu apmaiņu, izmantojot VISS sistēmu, tiek patērēti gan mazāki resursi (proti, cilvēkstundas gan veicot datu pieprasījumu, gan sagatavojot un izsniedzot pieprasītos datus), gan atsevišķos gadījumos arī finanšu resursi, ja informācijas </w:t>
      </w:r>
      <w:r w:rsidRPr="00710715">
        <w:rPr>
          <w:rFonts w:cs="Times New Roman"/>
        </w:rPr>
        <w:lastRenderedPageBreak/>
        <w:t>saņemšanai no kādas valsts iestādes datubāzes tiek pieprasīta samaksa. Tāpat tiktu mazināta arī savstarpējo datu apmaiņas līgumu veidošana. Kā savā ziņojumā raksta VKo – Pilsonības un migrācijas lietu pārvaldei kā lielu reģistru (informācijas sistēmu) turētājai 2017. gadā bijuši noslēgti 686 datu apmaiņas līgumi, taču atsevišķu līgumu izveidošana un juridiska saskaņošana dažkārt norit pusgada garumā.</w:t>
      </w:r>
    </w:p>
    <w:p w14:paraId="0F633D4A" w14:textId="77777777" w:rsidR="00710715" w:rsidRPr="00710715" w:rsidRDefault="00710715" w:rsidP="00710715">
      <w:pPr>
        <w:tabs>
          <w:tab w:val="left" w:pos="0"/>
        </w:tabs>
        <w:spacing w:after="120"/>
        <w:ind w:firstLine="709"/>
        <w:jc w:val="both"/>
        <w:rPr>
          <w:rFonts w:cs="Times New Roman"/>
        </w:rPr>
      </w:pPr>
      <w:r w:rsidRPr="00710715">
        <w:rPr>
          <w:rFonts w:cs="Times New Roman"/>
        </w:rPr>
        <w:t>Atsevišķas iestādes VISS izmanto arvien biežāk un arī statistiskais VISS izmantošanas skaits pieaug ik gadu</w:t>
      </w:r>
      <w:r w:rsidRPr="00710715">
        <w:rPr>
          <w:rFonts w:cs="Times New Roman"/>
          <w:vertAlign w:val="superscript"/>
        </w:rPr>
        <w:footnoteReference w:id="76"/>
      </w:r>
      <w:r w:rsidRPr="00710715">
        <w:rPr>
          <w:rFonts w:cs="Times New Roman"/>
        </w:rPr>
        <w:t>. Ja 2017. gadā VISS tika konstatēti nepilni 75 milj. informācijas pieprasījumu, tad 2020. gadā nepilnos 6 mēnešos pieprasījumu skaits palielinājās līdz 190 milj. Pārliecinoši lielākais datu izsniedzējs ir VID, kas datus no savas iestādes informācijas sistēmām, izmantojot VISS, 2020. gada pirmajos piecos mēnešos sniedzis vairāk nekā 10 milj. reižu. Iepriekšējos gados VID rīcībā esošie dati izsniegti vismaz 20 milj. reižu katru gadu. Bieži datu devēji ir arī VSAA (4,3 milj. reižu 2020. gada pirmajos piecos mēnešos), kā arī Veselības un darbspēju ekspertīzes ārstu valsts komisija un Latvijas Republikas Uzņēmumu reģistrs, kuru datus VISS 2019. gadā pieprasīja vairāk nekā 5 milj. gadījumu. Starp datu ņēmējiem, iestādēm, kas informāciju pieprasa, izmantojot VISS, izceļama NVA, kas 2020. gada pirmajos piecos mēnešos datus pieprasījusi 6 milj. gadījumu.</w:t>
      </w:r>
    </w:p>
    <w:p w14:paraId="6D33009E" w14:textId="784B51E9" w:rsidR="00710715" w:rsidRPr="00710715" w:rsidRDefault="00710715" w:rsidP="00710715">
      <w:pPr>
        <w:tabs>
          <w:tab w:val="left" w:pos="0"/>
        </w:tabs>
        <w:spacing w:after="120"/>
        <w:ind w:firstLine="709"/>
        <w:jc w:val="both"/>
        <w:rPr>
          <w:rFonts w:cs="Times New Roman"/>
        </w:rPr>
      </w:pPr>
      <w:r w:rsidRPr="00710715">
        <w:rPr>
          <w:rFonts w:cs="Times New Roman"/>
        </w:rPr>
        <w:t>FM izstrādātajā anketā tika lūgts norādīt, vai tās iestādes, kuru pārziņā ir kāda valsts informācijas sistēma, izmanto VISS šo datu sniegšanai citām valsts ie</w:t>
      </w:r>
      <w:r w:rsidR="00A6713B">
        <w:rPr>
          <w:rFonts w:cs="Times New Roman"/>
        </w:rPr>
        <w:t>stādēm, pašvaldībām u.tml. No 79 iestādēm 43</w:t>
      </w:r>
      <w:r w:rsidRPr="00710715">
        <w:rPr>
          <w:rFonts w:cs="Times New Roman"/>
        </w:rPr>
        <w:t xml:space="preserve"> norāda, ka VIS</w:t>
      </w:r>
      <w:r w:rsidR="00A6713B">
        <w:rPr>
          <w:rFonts w:cs="Times New Roman"/>
        </w:rPr>
        <w:t>S netiek izmantots, 16</w:t>
      </w:r>
      <w:r w:rsidRPr="00710715">
        <w:rPr>
          <w:rFonts w:cs="Times New Roman"/>
        </w:rPr>
        <w:t xml:space="preserve"> iestādes izmanto VISS, bet ne attiecībā uz visām savā pārziņā esošajām valsts in</w:t>
      </w:r>
      <w:r w:rsidR="00A6713B">
        <w:rPr>
          <w:rFonts w:cs="Times New Roman"/>
        </w:rPr>
        <w:t>formācijas sistēmām, savukārt 20</w:t>
      </w:r>
      <w:r w:rsidRPr="00710715">
        <w:rPr>
          <w:rFonts w:cs="Times New Roman"/>
        </w:rPr>
        <w:t xml:space="preserve"> iestādes VISS izmanto visām valsts informācijas sistēmām.</w:t>
      </w:r>
      <w:r w:rsidR="00A6713B">
        <w:rPr>
          <w:rFonts w:cs="Times New Roman"/>
        </w:rPr>
        <w:t xml:space="preserve"> Kopumā no anketās minētajām 175 valsts informācijas sistēmām 70</w:t>
      </w:r>
      <w:r w:rsidRPr="00710715">
        <w:rPr>
          <w:rFonts w:cs="Times New Roman"/>
        </w:rPr>
        <w:t xml:space="preserve"> tiek izmantots VISS.</w:t>
      </w:r>
    </w:p>
    <w:p w14:paraId="58ABAB34" w14:textId="77777777" w:rsidR="00710715" w:rsidRPr="00710715" w:rsidRDefault="00710715" w:rsidP="00710715">
      <w:pPr>
        <w:tabs>
          <w:tab w:val="left" w:pos="0"/>
        </w:tabs>
        <w:spacing w:after="120"/>
        <w:ind w:firstLine="709"/>
        <w:jc w:val="both"/>
        <w:rPr>
          <w:rFonts w:cs="Times New Roman"/>
        </w:rPr>
      </w:pPr>
      <w:r w:rsidRPr="00710715">
        <w:rPr>
          <w:rFonts w:cs="Times New Roman"/>
        </w:rPr>
        <w:t>Skaidrojot iemeslus, kāpēc 60% valsts informācijas sistēmu gadījumā VISS netiek izmantots, resori norāda dažādus iemeslus. Vairākums iestāžu ir norādījušas, ka VISS izmantošana tām nav vajadzīga, jo attiecīgajās valsts informācijas sistēmās nav tādu datu, pēc kuriem būtu pieprasījums no citām iestādēm. Vairākas iestādes norāda, ka informācijas apmaiņa sava resora ietvaros notiek pašu izstrādātas sistēmas ietvaros. Populārs iemesls ir tāds, ka iestādes pārziņā esošās valsts informācijas sistēmas ir veidotas sen, līdz ar to tās vēsturiski netika projektētas ar mērķi izmantot VISS risinājumu, kas tolaik vēl nebija izveidots. Vairākas iestādes gan norāda, ka valsts informācijas sistēmām, kas šobrīd tiek veidotas, tiek izmantots VISS vai arī šādi attīstības plāni iestādei ir paredzēti turpmākajos gados.</w:t>
      </w:r>
    </w:p>
    <w:p w14:paraId="4CD3C2D4" w14:textId="77777777" w:rsidR="00710715" w:rsidRPr="00710715" w:rsidRDefault="00710715" w:rsidP="00710715">
      <w:pPr>
        <w:tabs>
          <w:tab w:val="left" w:pos="0"/>
        </w:tabs>
        <w:spacing w:after="120"/>
        <w:jc w:val="both"/>
        <w:rPr>
          <w:rFonts w:cs="Times New Roman"/>
        </w:rPr>
      </w:pPr>
      <w:r w:rsidRPr="00710715">
        <w:rPr>
          <w:rFonts w:cs="Times New Roman"/>
          <w:b/>
          <w:i/>
        </w:rPr>
        <w:t>Serveru (datu centru) noslodze un izmantošana</w:t>
      </w:r>
    </w:p>
    <w:p w14:paraId="72E63028" w14:textId="77777777" w:rsidR="00710715" w:rsidRPr="00710715" w:rsidRDefault="00710715" w:rsidP="00710715">
      <w:pPr>
        <w:tabs>
          <w:tab w:val="left" w:pos="0"/>
        </w:tabs>
        <w:spacing w:after="120"/>
        <w:ind w:firstLine="709"/>
        <w:jc w:val="both"/>
        <w:rPr>
          <w:rFonts w:cs="Times New Roman"/>
        </w:rPr>
      </w:pPr>
      <w:r w:rsidRPr="00710715">
        <w:rPr>
          <w:rFonts w:cs="Times New Roman"/>
        </w:rPr>
        <w:t>VKo 2019. gada revīzijas ziņojumā vērš uzmanību uz IKT infrastruktūras izmitināšanas problēmjautājumiem. Konstatēts, ka datu centri jeb serveru telpas nav pietiekami noslogoti, ir samērā nelieli, bieži neatbilstot arī drošības prasībām, kā arī tiek veidoti tikai vienas iestādes vajadzībām, nekoordinējot vienotu datu centru izveidi resoru līmenī.</w:t>
      </w:r>
    </w:p>
    <w:p w14:paraId="03D25304" w14:textId="7EE9EA0E" w:rsidR="00710715" w:rsidRPr="00710715" w:rsidRDefault="00A6713B" w:rsidP="00710715">
      <w:pPr>
        <w:tabs>
          <w:tab w:val="left" w:pos="0"/>
        </w:tabs>
        <w:spacing w:after="120"/>
        <w:ind w:firstLine="709"/>
        <w:jc w:val="both"/>
        <w:rPr>
          <w:rFonts w:cs="Times New Roman"/>
        </w:rPr>
      </w:pPr>
      <w:r>
        <w:rPr>
          <w:rFonts w:cs="Times New Roman"/>
        </w:rPr>
        <w:t>Aptaujas ietvaros 58 no 88</w:t>
      </w:r>
      <w:r w:rsidR="00710715" w:rsidRPr="00710715">
        <w:rPr>
          <w:rFonts w:cs="Times New Roman"/>
        </w:rPr>
        <w:t xml:space="preserve"> iestādēm norādīja, ka tām ir sava serveru telpa, bet pārējās datus uzglabā citas iestādes serveru telpā vai pie ārpakalpojuma sniedzējiem. No resoriem, kuriem vērojama resursu centralizācija izceļama IeM, jo vairumam ministrijas padotībā esošo iestāžu nav savas serveru telpas, bet dati tiek glabāti IeM Informācijas centra datu centrā. Tāpat var izcelt LM, kuras padotības iestādes vairumu datu uzglabā VSAA datu centrā. Izceļams arī VARAM, kas izmanto VAS “Latvijas valsts radio un televīzijas centrs” datu centra </w:t>
      </w:r>
      <w:r w:rsidR="00710715" w:rsidRPr="00710715">
        <w:rPr>
          <w:rFonts w:cs="Times New Roman"/>
        </w:rPr>
        <w:lastRenderedPageBreak/>
        <w:t>pakalpojumus. Ja iestādei nav savas serveru telpas un nav izveidots koplietojams datu centrs resora ietvaros, datu uzglabāšanai tiek izmantoti ārpakalpojuma sniedzēja pakalpojumi. Kā ārpakalpojuma sniedzējs dominē iepriekšminētais VAS “Latvijas valsts radio un televīzijas centrs”, kas ir viens no VARAM norādītajiem vienotajiem datu centriem, kur iestādes un resori varētu centralizēti uzglabāt savus resursus. No citiem ārpakalpojuma sniedzējiem nav iespējams izcelt nevienu kompāniju, jo anketās norādīts ļoti plašs firmu loks. Līgumcenas par pakalpojuma sniegšanu ir ļoti atšķirīgas – ikgadējā pakalpojuma maksa variē no 500 </w:t>
      </w:r>
      <w:r w:rsidR="00710715" w:rsidRPr="00710715">
        <w:rPr>
          <w:rFonts w:cs="Times New Roman"/>
          <w:i/>
        </w:rPr>
        <w:t>euro</w:t>
      </w:r>
      <w:r w:rsidR="00710715" w:rsidRPr="00710715">
        <w:rPr>
          <w:rFonts w:cs="Times New Roman"/>
        </w:rPr>
        <w:t xml:space="preserve"> līdz pat 160 000 </w:t>
      </w:r>
      <w:r w:rsidR="00710715" w:rsidRPr="00710715">
        <w:rPr>
          <w:rFonts w:cs="Times New Roman"/>
          <w:i/>
        </w:rPr>
        <w:t>euro</w:t>
      </w:r>
      <w:r w:rsidR="00710715" w:rsidRPr="00710715">
        <w:rPr>
          <w:rFonts w:cs="Times New Roman"/>
        </w:rPr>
        <w:t xml:space="preserve"> 2019. gadā. Izmaksas gan ir atkarīgas arī no tā, cik serveru statnes ir izvietotas pie ārpakalpojuma sniedzēja, kā arī vēl no citām izmaksu pozīcijām.</w:t>
      </w:r>
    </w:p>
    <w:p w14:paraId="36C763E5" w14:textId="25E5839D" w:rsidR="00710715" w:rsidRPr="00710715" w:rsidRDefault="00710715" w:rsidP="00710715">
      <w:pPr>
        <w:tabs>
          <w:tab w:val="left" w:pos="0"/>
        </w:tabs>
        <w:spacing w:after="120"/>
        <w:ind w:firstLine="709"/>
        <w:jc w:val="both"/>
        <w:rPr>
          <w:rFonts w:cs="Times New Roman"/>
        </w:rPr>
      </w:pPr>
      <w:r w:rsidRPr="00710715">
        <w:rPr>
          <w:rFonts w:cs="Times New Roman"/>
        </w:rPr>
        <w:t>Apskatot datus, kurus sniedza tikai tās iestādes, kurām ir sava serveru telpa (datu centrs), apstiprinās iepriekšminētā statistika par to, ka iestādes savus datus reti centr</w:t>
      </w:r>
      <w:r w:rsidR="00A6713B">
        <w:rPr>
          <w:rFonts w:cs="Times New Roman"/>
        </w:rPr>
        <w:t>alizē vienotā datu centrā. No 5</w:t>
      </w:r>
      <w:r w:rsidR="003340F0">
        <w:rPr>
          <w:rFonts w:cs="Times New Roman"/>
        </w:rPr>
        <w:t>8</w:t>
      </w:r>
      <w:r w:rsidRPr="00710715">
        <w:rPr>
          <w:rFonts w:cs="Times New Roman"/>
        </w:rPr>
        <w:t xml:space="preserve"> iestādē</w:t>
      </w:r>
      <w:r w:rsidR="003340F0">
        <w:rPr>
          <w:rFonts w:cs="Times New Roman"/>
        </w:rPr>
        <w:t>m ar savu serveru telpu tikai 17</w:t>
      </w:r>
      <w:r w:rsidRPr="00710715">
        <w:rPr>
          <w:rFonts w:cs="Times New Roman"/>
        </w:rPr>
        <w:t xml:space="preserve"> norāda, ka šajās serveru telpās tiek glabāti arī citu iestāžu dati. Ar šīm iestādēm lielākoties tiek saprastas attiecīgajā resorā ietilpstošās iestādes. Pie izņēmumiem minama Valsts kase, kuras serveru telpā tiek uzglabāti arī, piemēram, VK un VAS dati, kā arī IeM Informācijas centrs, kur glabājas dati arī no Latvijas Republikas Prokuratūras, VK un LM.</w:t>
      </w:r>
    </w:p>
    <w:p w14:paraId="1A501ED0" w14:textId="5107A4AD" w:rsidR="00710715" w:rsidRPr="00710715" w:rsidRDefault="00710715" w:rsidP="00710715">
      <w:pPr>
        <w:tabs>
          <w:tab w:val="left" w:pos="0"/>
        </w:tabs>
        <w:spacing w:after="120"/>
        <w:ind w:firstLine="709"/>
        <w:jc w:val="both"/>
        <w:rPr>
          <w:rFonts w:cs="Times New Roman"/>
        </w:rPr>
      </w:pPr>
      <w:r w:rsidRPr="00710715">
        <w:rPr>
          <w:rFonts w:cs="Times New Roman"/>
        </w:rPr>
        <w:t>Anketās sniegtās atbildes arī liecina par to, ka iestāžu tuvākajos plānos neietilpst atteikšanās no savu server</w:t>
      </w:r>
      <w:r w:rsidR="003340F0">
        <w:rPr>
          <w:rFonts w:cs="Times New Roman"/>
        </w:rPr>
        <w:t>a telpu uzturēšanas, jo 36 no 58</w:t>
      </w:r>
      <w:r w:rsidRPr="00710715">
        <w:rPr>
          <w:rFonts w:cs="Times New Roman"/>
        </w:rPr>
        <w:t xml:space="preserve"> iestādēm norāda, ka neplāno datu pārnesi uz citas iestādes datu centru vai glabāšanu pie ārpakalpojuma sniedzēja, bet vēl dažas tikai vērtēs šādu iespēju.</w:t>
      </w:r>
    </w:p>
    <w:p w14:paraId="0EBAC424" w14:textId="77777777" w:rsidR="00710715" w:rsidRPr="00710715" w:rsidRDefault="00710715" w:rsidP="00710715">
      <w:pPr>
        <w:tabs>
          <w:tab w:val="left" w:pos="0"/>
        </w:tabs>
        <w:spacing w:after="120"/>
        <w:ind w:firstLine="709"/>
        <w:jc w:val="both"/>
        <w:rPr>
          <w:rFonts w:cs="Times New Roman"/>
        </w:rPr>
      </w:pPr>
      <w:r w:rsidRPr="00710715">
        <w:rPr>
          <w:rFonts w:cs="Times New Roman"/>
        </w:rPr>
        <w:t>Kritiski vērtējams anketas jautājums par to, cik liela noslodze ir iestādē esošajiem serveriem, procentuāli norādot šobrīd izmantoto apjomu no kopējās kapacitātes. Jāņem vērā ne tikai tas, cik lielā mērā servera kapacitāti ietekmē aizpilde ar datiem (piemēram, dokumentu, elektroniskā pasta arhīvu u.tml.), bet arī tas, cik liela serveru kapacitāte nepieciešama programmatūrai, kas nodrošina pašas servertehnikas darbību. Pēc iesniegtajiem datiem secināms, ka visticamāk ne visas iestādes korekti aprēķinājušas serveru aizpildi. Ja paraugās uz iestāžu norādīto serveru aizpildes apmēru no kopējās kapacitātes, ir vērojami ļoti atšķirīgi dati. Vidējā serveru noslodze vērtējama aptuveni 65% robežās, taču tajā pašā laikā ir iestādes, kas norādījušas, ka serveri ir aizpildīti par 99 un pat par 100%, bet divas iestādes norāda, ka tās servertehnika ir noslogota tikai par 1%. VKo ziņojumā norādīts, ka 2014. gadā vidējais procentuālais serveru aizpildījums bijis tikai 62%. Tātad var uzskatīt, ka rādītājs pēdējo sešu gadu laikā nav mainījies.</w:t>
      </w:r>
    </w:p>
    <w:p w14:paraId="2E0363DC" w14:textId="77777777" w:rsidR="00710715" w:rsidRPr="00710715" w:rsidRDefault="00710715" w:rsidP="00710715">
      <w:pPr>
        <w:tabs>
          <w:tab w:val="left" w:pos="0"/>
        </w:tabs>
        <w:spacing w:after="120"/>
        <w:ind w:firstLine="709"/>
        <w:jc w:val="both"/>
        <w:rPr>
          <w:rFonts w:cs="Times New Roman"/>
        </w:rPr>
      </w:pPr>
      <w:r w:rsidRPr="00710715">
        <w:rPr>
          <w:rFonts w:cs="Times New Roman"/>
        </w:rPr>
        <w:t xml:space="preserve">Pievēršoties izdevumiem par serveru telpas jeb datu centra darbības nodrošināšanu, vispirms jāvērtē izdevumi servertehnikas, programmatūras un citu preču vai pakalpojumu iegādei, kas nepieciešami, lai nodrošinātu serveru darbību. Vairākas iestādes norādījušas, ka 2019. gadā tām nav bijušu šāda veida izdevumu, kas nozīmē, ka nav radusies nepieciešamība pēc servertehnikas vai rezerves daļām, kā arī programmatūru vai programmatūras licences iegādāties nebija vajadzības. Izdevumi šajā pozīcijā ir tikpat mainīgi kā izdevumos par datu glabāšanu pie ārpakalpojuma sniedzēja. Piemēram, KM padotībā esošais Rīgas Vēstures un Kuģniecības muzejs norāda, ka 2019. gadā patērēti tikai 150 </w:t>
      </w:r>
      <w:r w:rsidRPr="00710715">
        <w:rPr>
          <w:rFonts w:cs="Times New Roman"/>
          <w:i/>
        </w:rPr>
        <w:t>euro</w:t>
      </w:r>
      <w:r w:rsidRPr="00710715">
        <w:rPr>
          <w:rFonts w:cs="Times New Roman"/>
        </w:rPr>
        <w:t>, kamēr IeM Informācijas centrs, kura datu centrā gan glabājas daudzu iestāžu dati, patērēja 676 983 </w:t>
      </w:r>
      <w:r w:rsidRPr="00710715">
        <w:rPr>
          <w:rFonts w:cs="Times New Roman"/>
          <w:i/>
        </w:rPr>
        <w:t>euro</w:t>
      </w:r>
      <w:r w:rsidRPr="00710715">
        <w:rPr>
          <w:rFonts w:cs="Times New Roman"/>
        </w:rPr>
        <w:t>. 672 970 </w:t>
      </w:r>
      <w:r w:rsidRPr="00710715">
        <w:rPr>
          <w:rFonts w:cs="Times New Roman"/>
          <w:i/>
        </w:rPr>
        <w:t>euro</w:t>
      </w:r>
      <w:r w:rsidRPr="00710715">
        <w:rPr>
          <w:rFonts w:cs="Times New Roman"/>
        </w:rPr>
        <w:t xml:space="preserve"> izdevumu sadaļā norāda VID, bet 661 915 </w:t>
      </w:r>
      <w:r w:rsidRPr="00710715">
        <w:rPr>
          <w:rFonts w:cs="Times New Roman"/>
          <w:i/>
        </w:rPr>
        <w:t>euro</w:t>
      </w:r>
      <w:r w:rsidRPr="00710715">
        <w:rPr>
          <w:rFonts w:cs="Times New Roman"/>
        </w:rPr>
        <w:t xml:space="preserve"> izlietojusi ĀM.</w:t>
      </w:r>
    </w:p>
    <w:p w14:paraId="531AAD09" w14:textId="77777777" w:rsidR="00710715" w:rsidRPr="00710715" w:rsidRDefault="00710715" w:rsidP="00710715">
      <w:pPr>
        <w:tabs>
          <w:tab w:val="left" w:pos="0"/>
        </w:tabs>
        <w:spacing w:after="120"/>
        <w:ind w:firstLine="709"/>
        <w:jc w:val="both"/>
        <w:rPr>
          <w:rFonts w:cs="Times New Roman"/>
        </w:rPr>
      </w:pPr>
      <w:r w:rsidRPr="00710715">
        <w:rPr>
          <w:rFonts w:cs="Times New Roman"/>
        </w:rPr>
        <w:t xml:space="preserve">Ieskatoties Elektronisko iepirkumu sistēmas e-pasūtījumu apakšsistēmas statistikā par to, kāds ir veikto iepirkumu apjoms pēdējo piecu gadu laikā ar servertehniku saistītajos katalogos (Asmeņserveri un datu glabātuves, Asmeņserveru un datu glabātuvju pakalpojumi, </w:t>
      </w:r>
      <w:r w:rsidRPr="00710715">
        <w:rPr>
          <w:rFonts w:cs="Times New Roman"/>
        </w:rPr>
        <w:lastRenderedPageBreak/>
        <w:t>Asmeņu servertehnika, Servertehnika), redzams straujš iegādāto preču pieaugums</w:t>
      </w:r>
      <w:r w:rsidRPr="00710715">
        <w:rPr>
          <w:rFonts w:cs="Times New Roman"/>
          <w:vertAlign w:val="superscript"/>
        </w:rPr>
        <w:footnoteReference w:id="77"/>
      </w:r>
      <w:r w:rsidRPr="00710715">
        <w:rPr>
          <w:rFonts w:cs="Times New Roman"/>
        </w:rPr>
        <w:t>. 2015. gadā valsts un pašvaldību iestādes un kapitālsabiedrības šajos katalogos iegādājās preces 1,1 milj. </w:t>
      </w:r>
      <w:r w:rsidRPr="00710715">
        <w:rPr>
          <w:rFonts w:cs="Times New Roman"/>
          <w:i/>
        </w:rPr>
        <w:t>euro</w:t>
      </w:r>
      <w:r w:rsidRPr="00710715">
        <w:rPr>
          <w:rFonts w:cs="Times New Roman"/>
        </w:rPr>
        <w:t xml:space="preserve"> vērtībā, bet 2019. gadā šī summa pieaugusi līdz 7,8 milj. </w:t>
      </w:r>
      <w:r w:rsidRPr="00710715">
        <w:rPr>
          <w:rFonts w:cs="Times New Roman"/>
          <w:i/>
        </w:rPr>
        <w:t>euro</w:t>
      </w:r>
      <w:r w:rsidRPr="00710715">
        <w:rPr>
          <w:rFonts w:cs="Times New Roman"/>
        </w:rPr>
        <w:t>. Tas ir skaidrojams arī ar pašas Elektronisko iepirkumu sistēmas e-pasūtījumu apakšsistēmas attīstību un biežāku izmantošanu, ko veicināja normatīvo aktu regulējums, bet var apgalvot arī to, ka kopumā servertehnikas iegādei atvēlētie līdzekļi ir palielinājušies, ko apstiprina arī iepriekšminētais grafiks, kas attēlo kopējo izmaksu pieaugumu IKT infrastruktūrai nepieciešamo preču iegādē.</w:t>
      </w:r>
    </w:p>
    <w:p w14:paraId="416D225D" w14:textId="77777777" w:rsidR="00710715" w:rsidRPr="00710715" w:rsidRDefault="00710715" w:rsidP="00710715">
      <w:pPr>
        <w:tabs>
          <w:tab w:val="left" w:pos="0"/>
        </w:tabs>
        <w:spacing w:after="120"/>
        <w:ind w:firstLine="709"/>
        <w:jc w:val="both"/>
        <w:rPr>
          <w:rFonts w:cs="Times New Roman"/>
        </w:rPr>
      </w:pPr>
      <w:r w:rsidRPr="00710715">
        <w:rPr>
          <w:rFonts w:cs="Times New Roman"/>
        </w:rPr>
        <w:t>Attiecībā uz izdevumiem serveru telpas uzturēšanai vairums resoru norāda, ka šādus izdevumus atsevišķi serveru telpai nav iespējams izdalīt vai arī serveru telpas uzturēšanai, piemēram, kondicionieru apkalpei, ārpakalpojuma sniedzēja pakalpojumi netiek izmantoti, visus nepieciešamos darbus paveicot ar savā iestādē pieejamiem cilvēkresursiem. Iestādes, kas varēja norādīt konkrētus izdevumus 2019. gadā lielākoties norāda summu robežās no dažiem desmitiem līdz nepilniem 3 000 </w:t>
      </w:r>
      <w:r w:rsidRPr="00710715">
        <w:rPr>
          <w:rFonts w:cs="Times New Roman"/>
          <w:i/>
        </w:rPr>
        <w:t>euro</w:t>
      </w:r>
      <w:r w:rsidRPr="00710715">
        <w:rPr>
          <w:rFonts w:cs="Times New Roman"/>
        </w:rPr>
        <w:t>. Lielākās izmaksas 21 162 un 25 534 </w:t>
      </w:r>
      <w:r w:rsidRPr="00710715">
        <w:rPr>
          <w:rFonts w:cs="Times New Roman"/>
          <w:i/>
        </w:rPr>
        <w:t>euro</w:t>
      </w:r>
      <w:r w:rsidRPr="00710715">
        <w:rPr>
          <w:rFonts w:cs="Times New Roman"/>
        </w:rPr>
        <w:t xml:space="preserve"> apmērā ir attiecīgi IeM Informācijas centram un ZM Lauksaimniecības datu centram, kas arī ir saprotams, ņemot vērā to, ka šajās iestādēs tiek glabāts lielākais vairums visa resora datu.</w:t>
      </w:r>
    </w:p>
    <w:p w14:paraId="12CC1970" w14:textId="0F26962C" w:rsidR="00710715" w:rsidRPr="00710715" w:rsidRDefault="00710715" w:rsidP="00710715">
      <w:pPr>
        <w:tabs>
          <w:tab w:val="left" w:pos="0"/>
        </w:tabs>
        <w:spacing w:after="120"/>
        <w:ind w:firstLine="709"/>
        <w:jc w:val="both"/>
        <w:rPr>
          <w:rFonts w:cs="Times New Roman"/>
        </w:rPr>
      </w:pPr>
      <w:r w:rsidRPr="00710715">
        <w:rPr>
          <w:rFonts w:cs="Times New Roman"/>
        </w:rPr>
        <w:t>Pašiem resoriem jāizvērtē arī tas, kā tie organizē savu datu kopiju glabāšanu. Gan oriģinālie dati, gan šo datu kopijas ir jāaizsargā gan pret virtuāliem draudiem, gan pret fiziskiem draudiem. Virtuālie datu apdraudējumi, kad kāds cenšas iegūt iestādes datus, piemēram, atrodoties ārzemēs, novēršami ar dažādas programmatūras, ugunsmūru un citu tehnoloģiju palīdzību. Pret fizisku apdraudējumu var nodrošināties tikai ar labi aprīkotu un drošības prasībām atbilstošu serveru telpu. Arī VKo savā 2019. gada ziņojumā norāda, ka atsevišķas, resoram būtiskas, informācijas sistēmas, tostarp arī valsts informācijas sistēmas tiek izmitinātas nepietiekamas drošības telpās. Līdz ar to pastāv bažas par datu zaudējumu fizisku draudu gadījumā. Šie draudi turklāt tikai palielinās tajos gadījumos, ja iestāde savas datu rezerves kopijas glabā tajā pašā vietā, kur atrodami šo datu oriģināli. Saskaņā ar anketā sniegtajiem datiem, šādu ie</w:t>
      </w:r>
      <w:r w:rsidR="003340F0">
        <w:rPr>
          <w:rFonts w:cs="Times New Roman"/>
        </w:rPr>
        <w:t>stāžu ir ne mazums, proti, no 88 iestādēm 40</w:t>
      </w:r>
      <w:r w:rsidRPr="00710715">
        <w:rPr>
          <w:rFonts w:cs="Times New Roman"/>
        </w:rPr>
        <w:t xml:space="preserve"> savu datu rezerves kopijas glabā savā serveru telpā. Jāpiezīmē, ka šajā iestāžu kopskaitā ietilpst arī tās iestādes, kas datu oriģinālus glabā citas iestādes servera telpā vai pi</w:t>
      </w:r>
      <w:r w:rsidR="003340F0">
        <w:rPr>
          <w:rFonts w:cs="Times New Roman"/>
        </w:rPr>
        <w:t>e ārpakalpojuma sniedzēja. No 58</w:t>
      </w:r>
      <w:r w:rsidRPr="00710715">
        <w:rPr>
          <w:rFonts w:cs="Times New Roman"/>
        </w:rPr>
        <w:t xml:space="preserve"> i</w:t>
      </w:r>
      <w:r w:rsidR="003340F0">
        <w:rPr>
          <w:rFonts w:cs="Times New Roman"/>
        </w:rPr>
        <w:t>estādēm ar savu serveru telpu 38</w:t>
      </w:r>
      <w:r w:rsidRPr="00710715">
        <w:rPr>
          <w:rFonts w:cs="Times New Roman"/>
        </w:rPr>
        <w:t xml:space="preserve"> jeb divas trešdaļas savu datu kopijas glabā vienuviet ar šo datu oriģināliem.</w:t>
      </w:r>
    </w:p>
    <w:p w14:paraId="3AF89463" w14:textId="10AB6E0C" w:rsidR="00710715" w:rsidRPr="00710715" w:rsidRDefault="00710715" w:rsidP="00710715">
      <w:pPr>
        <w:tabs>
          <w:tab w:val="left" w:pos="0"/>
        </w:tabs>
        <w:spacing w:after="120"/>
        <w:ind w:firstLine="709"/>
        <w:jc w:val="both"/>
        <w:rPr>
          <w:rFonts w:cs="Times New Roman"/>
        </w:rPr>
      </w:pPr>
      <w:r w:rsidRPr="00710715">
        <w:rPr>
          <w:rFonts w:cs="Times New Roman"/>
        </w:rPr>
        <w:t>VARAM turpina aktīvu darbu saistībā ar IKT infrastruktūras, tostarp serveru telpu jeb datu centru, pilnveides un attīstības jautājumiem. Informatīvais ziņojums “Par valsts pārvaldes informācijas sistēmu arhitektūras reformu” jau ir izskatīts MK, kā rezultātā resoriem doti konkrēti paveicamie uzdevumi</w:t>
      </w:r>
      <w:r w:rsidRPr="00710715">
        <w:rPr>
          <w:rFonts w:cs="Times New Roman"/>
          <w:vertAlign w:val="superscript"/>
        </w:rPr>
        <w:footnoteReference w:id="78"/>
      </w:r>
      <w:r w:rsidRPr="00710715">
        <w:rPr>
          <w:rFonts w:cs="Times New Roman"/>
        </w:rPr>
        <w:t xml:space="preserve">. Tāpat VARAM gatavo informatīvo ziņojumu par valsts </w:t>
      </w:r>
      <w:r w:rsidR="005462B3">
        <w:rPr>
          <w:rFonts w:cs="Times New Roman"/>
        </w:rPr>
        <w:t>IKT</w:t>
      </w:r>
      <w:r w:rsidRPr="00710715">
        <w:rPr>
          <w:rFonts w:cs="Times New Roman"/>
        </w:rPr>
        <w:t xml:space="preserve"> resursu un kompetenču konsolidāciju, kas arī būs kā pamats turpmākai IKT jomas sakārtošanai.</w:t>
      </w:r>
    </w:p>
    <w:p w14:paraId="6D61645E" w14:textId="11A07BD6" w:rsidR="00710715" w:rsidRPr="00710715" w:rsidRDefault="00710715" w:rsidP="00710715">
      <w:pPr>
        <w:tabs>
          <w:tab w:val="left" w:pos="0"/>
        </w:tabs>
        <w:spacing w:after="120"/>
        <w:jc w:val="both"/>
        <w:rPr>
          <w:rFonts w:cs="Times New Roman"/>
        </w:rPr>
      </w:pPr>
      <w:r w:rsidRPr="00710715">
        <w:rPr>
          <w:rFonts w:cs="Times New Roman"/>
          <w:b/>
          <w:i/>
        </w:rPr>
        <w:t>Secinājumi</w:t>
      </w:r>
      <w:r w:rsidR="00316D3C">
        <w:rPr>
          <w:rFonts w:cs="Times New Roman"/>
          <w:b/>
          <w:i/>
        </w:rPr>
        <w:t>:</w:t>
      </w:r>
    </w:p>
    <w:p w14:paraId="4C545226" w14:textId="77777777" w:rsidR="00710715" w:rsidRPr="00710715" w:rsidRDefault="00710715" w:rsidP="00710715">
      <w:pPr>
        <w:numPr>
          <w:ilvl w:val="0"/>
          <w:numId w:val="33"/>
        </w:numPr>
        <w:tabs>
          <w:tab w:val="left" w:pos="0"/>
        </w:tabs>
        <w:spacing w:after="120"/>
        <w:jc w:val="both"/>
        <w:rPr>
          <w:rFonts w:cs="Times New Roman"/>
        </w:rPr>
      </w:pPr>
      <w:r w:rsidRPr="00710715">
        <w:rPr>
          <w:rFonts w:cs="Times New Roman"/>
          <w:szCs w:val="22"/>
        </w:rPr>
        <w:t xml:space="preserve">Valsts budžeta izdevumi precēm un pakalpojumiem un kapitālajām iegādēm IKT jomā ir pieauguši no 61,6 milj. </w:t>
      </w:r>
      <w:r w:rsidRPr="00710715">
        <w:rPr>
          <w:rFonts w:cs="Times New Roman"/>
          <w:i/>
          <w:szCs w:val="22"/>
        </w:rPr>
        <w:t>euro</w:t>
      </w:r>
      <w:r w:rsidRPr="00710715">
        <w:rPr>
          <w:rFonts w:cs="Times New Roman"/>
          <w:szCs w:val="22"/>
        </w:rPr>
        <w:t xml:space="preserve"> 2013. gadā līdz 103,6 milj. </w:t>
      </w:r>
      <w:r w:rsidRPr="00710715">
        <w:rPr>
          <w:rFonts w:cs="Times New Roman"/>
          <w:i/>
          <w:szCs w:val="22"/>
        </w:rPr>
        <w:t xml:space="preserve">euro </w:t>
      </w:r>
      <w:r w:rsidRPr="00710715">
        <w:rPr>
          <w:rFonts w:cs="Times New Roman"/>
          <w:szCs w:val="22"/>
        </w:rPr>
        <w:t xml:space="preserve">2020. gadā. Pieaugums ir arī valsts informācijas sistēmu skaitā – 2017. gadā ministrijām un citām centrālajām valsts iestādēm bija pārziņa statuss 174 valsts informācijas sistēmām, bet 2020. gadā tās jau bija 287 valsts informācijas sistēmas. Anketā sniegtie dati par valsts informācijas sistēmu skaitu ir atšķirīgi, līdz ar to VARAM būtu jāizvērtē, vai visi resori vienādi saprot </w:t>
      </w:r>
      <w:r w:rsidRPr="00710715">
        <w:rPr>
          <w:rFonts w:cs="Times New Roman"/>
          <w:szCs w:val="22"/>
        </w:rPr>
        <w:lastRenderedPageBreak/>
        <w:t>terminu “valsts informācijas sistēmas” un vai to uzskaitījums Valsts informācijas sistēmu reģistrā atbilst patiesajai situācijai.</w:t>
      </w:r>
    </w:p>
    <w:p w14:paraId="59E05A23" w14:textId="19BB1C8A" w:rsidR="00710715" w:rsidRPr="00710715" w:rsidRDefault="00710715" w:rsidP="00710715">
      <w:pPr>
        <w:numPr>
          <w:ilvl w:val="0"/>
          <w:numId w:val="33"/>
        </w:numPr>
        <w:tabs>
          <w:tab w:val="left" w:pos="0"/>
        </w:tabs>
        <w:spacing w:after="120"/>
        <w:jc w:val="both"/>
        <w:rPr>
          <w:rFonts w:cs="Times New Roman"/>
        </w:rPr>
      </w:pPr>
      <w:r w:rsidRPr="00710715">
        <w:rPr>
          <w:rFonts w:cs="Times New Roman"/>
          <w:szCs w:val="22"/>
        </w:rPr>
        <w:t>VISS, kas kalpo kā rīks ērtākai datu apmaiņai starp iestāžu un resoru informācijas sistēmām joprojām</w:t>
      </w:r>
      <w:r w:rsidR="003340F0">
        <w:rPr>
          <w:rFonts w:cs="Times New Roman"/>
          <w:szCs w:val="22"/>
        </w:rPr>
        <w:t xml:space="preserve"> tiek izmantots samērā reti – 43 no anketu iesniegušajām 79</w:t>
      </w:r>
      <w:r w:rsidRPr="00710715">
        <w:rPr>
          <w:rFonts w:cs="Times New Roman"/>
          <w:szCs w:val="22"/>
        </w:rPr>
        <w:t xml:space="preserve"> iestādēm, kuru pārziņā ir valsts informācijas sistēmas, VISS neizmanto. VKo un VARAM norāda uz nepieciešamību aktīvāk izmantot VISS, lai mazinātu manuālu informācijas pieprasījumu skaitu un līgumu slēgšanu par citu iestāžu informācijas sistēmu datu izmantošanu. Vairums iestāžu norāda, ka VISS izmantošana nav nepieciešama un tikai atsevišķos gadījumos tiek norādīts, ka VISS izmantošana paredzēta tapšanas stadijā esošajām valsts informācijas sistēmām.</w:t>
      </w:r>
    </w:p>
    <w:p w14:paraId="0EEEE4DB" w14:textId="77777777" w:rsidR="00710715" w:rsidRPr="00710715" w:rsidRDefault="00710715" w:rsidP="00710715">
      <w:pPr>
        <w:numPr>
          <w:ilvl w:val="0"/>
          <w:numId w:val="33"/>
        </w:numPr>
        <w:tabs>
          <w:tab w:val="left" w:pos="0"/>
        </w:tabs>
        <w:spacing w:after="120"/>
        <w:jc w:val="both"/>
        <w:rPr>
          <w:rFonts w:cs="Times New Roman"/>
        </w:rPr>
      </w:pPr>
      <w:r w:rsidRPr="00710715">
        <w:rPr>
          <w:rFonts w:cs="Times New Roman"/>
          <w:szCs w:val="22"/>
        </w:rPr>
        <w:t>Absolūts vairākums iestāžu uztur savas serveru telpas un tikai atsevišķos resoros novērojama datu uzglabāšanas centralizācija vienota resora datu centra ietvaros. Iestādes arī norāda, ka tuvākajos plānos neietilpst šīs IKT jomas centralizācija. Iestāžu rīcībā esošā serveru aizpilde ir tādā pašā līmenī kā 2014. gadā, proti, aizpildīti aptuveni 65% no serveru kapacitātes. Vidējais aizpildījums varēja būt augstāks, bet nepieciešamība pēc savas serveru telpas uzturēšanas īpaši jāizvērtē tām iestādēm, kurām serveru noslodze ir zemāka par vidējo.</w:t>
      </w:r>
    </w:p>
    <w:p w14:paraId="21064FF3" w14:textId="72F3CDD6" w:rsidR="00316D3C" w:rsidRDefault="00710715" w:rsidP="00B40CFA">
      <w:pPr>
        <w:numPr>
          <w:ilvl w:val="0"/>
          <w:numId w:val="33"/>
        </w:numPr>
        <w:tabs>
          <w:tab w:val="left" w:pos="0"/>
        </w:tabs>
        <w:spacing w:after="120"/>
        <w:jc w:val="both"/>
        <w:rPr>
          <w:rFonts w:cs="Times New Roman"/>
        </w:rPr>
      </w:pPr>
      <w:r w:rsidRPr="00710715">
        <w:rPr>
          <w:rFonts w:cs="Times New Roman"/>
          <w:szCs w:val="22"/>
        </w:rPr>
        <w:t>Divas trešdaļas no iestādēm, kurām ir sava serveru telpa, norāda, ka tajā tiek glabātas arī datu rezerves kopijas, kas ir risks fiziska apdraudējuma gadījumā, jo vienlaikus var rasties gan oriģinālo, gan rezerves datu zaudējumi.</w:t>
      </w:r>
    </w:p>
    <w:p w14:paraId="0E2C89C0" w14:textId="77777777" w:rsidR="00B40CFA" w:rsidRPr="00B40CFA" w:rsidRDefault="00B40CFA" w:rsidP="00B40CFA">
      <w:pPr>
        <w:tabs>
          <w:tab w:val="left" w:pos="0"/>
        </w:tabs>
        <w:spacing w:after="120"/>
        <w:ind w:left="720"/>
        <w:jc w:val="both"/>
        <w:rPr>
          <w:rFonts w:cs="Times New Roman"/>
        </w:rPr>
      </w:pPr>
    </w:p>
    <w:p w14:paraId="4FC2178B" w14:textId="77777777" w:rsidR="008E3934" w:rsidRDefault="008E3934" w:rsidP="006A15ED">
      <w:pPr>
        <w:pStyle w:val="Heading2"/>
        <w:numPr>
          <w:ilvl w:val="1"/>
          <w:numId w:val="2"/>
        </w:numPr>
      </w:pPr>
      <w:bookmarkStart w:id="230" w:name="_Toc48200661"/>
      <w:r>
        <w:t>I</w:t>
      </w:r>
      <w:r w:rsidRPr="008D0275">
        <w:t xml:space="preserve">zdevumu sasaistes </w:t>
      </w:r>
      <w:r>
        <w:t>nodrošināšanai ar resursu avotu</w:t>
      </w:r>
      <w:bookmarkEnd w:id="230"/>
    </w:p>
    <w:p w14:paraId="640E1938" w14:textId="486AF4C6" w:rsidR="00DF0A9B" w:rsidRPr="00A05DDD" w:rsidRDefault="00DF0A9B" w:rsidP="00DF0A9B">
      <w:pPr>
        <w:ind w:firstLine="720"/>
        <w:jc w:val="both"/>
        <w:rPr>
          <w:rFonts w:cs="Times New Roman"/>
        </w:rPr>
      </w:pPr>
      <w:r>
        <w:rPr>
          <w:rFonts w:cs="Times New Roman"/>
        </w:rPr>
        <w:t>2017.gada izdevumu pārskatīšanas ziņojumā</w:t>
      </w:r>
      <w:r>
        <w:rPr>
          <w:rStyle w:val="FootnoteReference"/>
          <w:rFonts w:cs="Times New Roman"/>
        </w:rPr>
        <w:footnoteReference w:id="79"/>
      </w:r>
      <w:r>
        <w:rPr>
          <w:rFonts w:cs="Times New Roman"/>
        </w:rPr>
        <w:t xml:space="preserve"> ietvertajā izvērtējumā tika veikta analīze par ieņēmumu neiekasēšanu. T</w:t>
      </w:r>
      <w:r w:rsidRPr="00EA0143">
        <w:rPr>
          <w:rFonts w:cs="Times New Roman"/>
        </w:rPr>
        <w:t xml:space="preserve">ika analizēti sistemātiska mērķfinansējuma neiekasēšanas izdevumi, piemēram, atsevišķu nodevu plānoto ieņēmumu neiekasēšana. </w:t>
      </w:r>
      <w:r>
        <w:rPr>
          <w:rFonts w:cs="Times New Roman"/>
        </w:rPr>
        <w:t>Tajā tika apskatītas ieņēmumu neizpildes atsevišķām nodevām SM, EM un KM resoros. 2019.gadā, veicot vidēja termiņa izdevumu pārskatīšanu, atkārtoti tika apskatīta iepriekšminēto nodevu izpildes dinamika, kā arī analizēta IeM atbildībā esoš</w:t>
      </w:r>
      <w:r w:rsidR="005E683C">
        <w:rPr>
          <w:rFonts w:cs="Times New Roman"/>
        </w:rPr>
        <w:t>o stacionāro fotoradaru darbība</w:t>
      </w:r>
      <w:r>
        <w:rPr>
          <w:rFonts w:cs="Times New Roman"/>
        </w:rPr>
        <w:t xml:space="preserve"> un ieņēmumu no naudas sodiem par fotoradaru fiksētajiem sodiem izpildes rādītāji.</w:t>
      </w:r>
    </w:p>
    <w:p w14:paraId="0BEA5E80" w14:textId="77777777" w:rsidR="00DF0A9B" w:rsidRPr="0050685D" w:rsidRDefault="00DF0A9B" w:rsidP="00DF0A9B">
      <w:pPr>
        <w:tabs>
          <w:tab w:val="left" w:pos="1010"/>
        </w:tabs>
        <w:spacing w:after="120"/>
        <w:jc w:val="both"/>
        <w:rPr>
          <w:rFonts w:cs="Times New Roman"/>
          <w:b/>
          <w:szCs w:val="28"/>
        </w:rPr>
      </w:pPr>
      <w:r w:rsidRPr="0050685D">
        <w:rPr>
          <w:rFonts w:cs="Times New Roman"/>
          <w:b/>
          <w:szCs w:val="28"/>
        </w:rPr>
        <w:t>Satiksmes ministrija</w:t>
      </w:r>
    </w:p>
    <w:p w14:paraId="39381038" w14:textId="77777777" w:rsidR="00DF0A9B" w:rsidRDefault="00DF0A9B" w:rsidP="00DF0A9B">
      <w:pPr>
        <w:pStyle w:val="NoSpacing"/>
        <w:spacing w:after="160" w:line="259" w:lineRule="auto"/>
        <w:ind w:firstLine="720"/>
        <w:jc w:val="both"/>
        <w:rPr>
          <w:rFonts w:cs="Times New Roman"/>
          <w:szCs w:val="24"/>
        </w:rPr>
      </w:pPr>
      <w:r w:rsidRPr="00E202CE">
        <w:rPr>
          <w:rFonts w:cs="Times New Roman"/>
          <w:szCs w:val="24"/>
        </w:rPr>
        <w:t xml:space="preserve">Atbilstoši Autoceļu lietošanas nodevas (turpmāk </w:t>
      </w:r>
      <w:r w:rsidRPr="00E202CE">
        <w:rPr>
          <w:rFonts w:cs="Times New Roman"/>
          <w:szCs w:val="24"/>
        </w:rPr>
        <w:softHyphen/>
        <w:t>– ALN) likumam, autoceļu lietošanas nodevas mērķis ir valsts galveno autoceļu uzturēšana un attīstība, kā arī videi draudzīgāku transportlīdzekļu izmantošanas veicināšana.</w:t>
      </w:r>
    </w:p>
    <w:p w14:paraId="36D30544" w14:textId="77777777" w:rsidR="00A17A95" w:rsidRPr="00710715" w:rsidRDefault="00DF0A9B" w:rsidP="00710715">
      <w:pPr>
        <w:pStyle w:val="NoSpacing"/>
        <w:spacing w:after="160" w:line="259" w:lineRule="auto"/>
        <w:ind w:firstLine="720"/>
        <w:jc w:val="both"/>
        <w:rPr>
          <w:rFonts w:cs="Times New Roman"/>
          <w:szCs w:val="24"/>
        </w:rPr>
      </w:pPr>
      <w:r w:rsidRPr="00E202CE">
        <w:rPr>
          <w:rFonts w:cs="Times New Roman"/>
          <w:szCs w:val="24"/>
        </w:rPr>
        <w:t>ALN ir viens no SM pamatbudžeta apakšprogrammu 23.06.00 “Valsts autoceļu uzturēšana un atjaunošana” un 23.07.00 “Valsts autoceļu pārvaldīšana” finansēšanas avotiem, kuras apmērā paredzēta dotācija no vispārējiem ieņēmumiem valsts galveno autoceļu uzturēšanai un attīstībai.</w:t>
      </w:r>
      <w:bookmarkStart w:id="231" w:name="_Ref47098379"/>
    </w:p>
    <w:p w14:paraId="315CC538" w14:textId="77777777" w:rsidR="00455E1F" w:rsidRDefault="00455E1F" w:rsidP="00DF0A9B">
      <w:pPr>
        <w:pStyle w:val="Caption"/>
        <w:spacing w:before="0"/>
      </w:pPr>
      <w:bookmarkStart w:id="232" w:name="_Ref47443773"/>
    </w:p>
    <w:p w14:paraId="587DE222" w14:textId="6AA7447F" w:rsidR="00DF0A9B" w:rsidRDefault="00DF0A9B" w:rsidP="00DF0A9B">
      <w:pPr>
        <w:pStyle w:val="Caption"/>
        <w:spacing w:before="0"/>
        <w:rPr>
          <w:rFonts w:cs="Times New Roman"/>
        </w:rPr>
      </w:pPr>
      <w:bookmarkStart w:id="233" w:name="_Ref48205216"/>
      <w:r>
        <w:lastRenderedPageBreak/>
        <w:t xml:space="preserve">Attēls Nr. </w:t>
      </w:r>
      <w:fldSimple w:instr=" SEQ Attēls_Nr. \* ARABIC ">
        <w:r w:rsidR="00D96F20">
          <w:rPr>
            <w:noProof/>
          </w:rPr>
          <w:t>87</w:t>
        </w:r>
      </w:fldSimple>
      <w:bookmarkEnd w:id="231"/>
      <w:bookmarkEnd w:id="232"/>
      <w:bookmarkEnd w:id="233"/>
    </w:p>
    <w:p w14:paraId="2FB340BF" w14:textId="3F9AF554" w:rsidR="00B40CFA" w:rsidRDefault="00DF0A9B" w:rsidP="00B40CFA">
      <w:pPr>
        <w:tabs>
          <w:tab w:val="left" w:pos="1010"/>
        </w:tabs>
        <w:jc w:val="center"/>
        <w:rPr>
          <w:rFonts w:cs="Times New Roman"/>
        </w:rPr>
      </w:pPr>
      <w:r w:rsidRPr="00E202CE">
        <w:rPr>
          <w:rFonts w:cs="Times New Roman"/>
          <w:b/>
        </w:rPr>
        <w:t>Autoceļu lietošanas nodeva</w:t>
      </w:r>
      <w:r>
        <w:rPr>
          <w:rFonts w:cs="Times New Roman"/>
          <w:b/>
        </w:rPr>
        <w:t>s iekasēšanas dinamika</w:t>
      </w:r>
      <w:r w:rsidRPr="00E202CE">
        <w:rPr>
          <w:rFonts w:cs="Times New Roman"/>
          <w:b/>
        </w:rPr>
        <w:t xml:space="preserve">, </w:t>
      </w:r>
      <w:r w:rsidRPr="001E119C">
        <w:rPr>
          <w:rFonts w:cs="Times New Roman"/>
        </w:rPr>
        <w:t xml:space="preserve">milj. </w:t>
      </w:r>
      <w:r w:rsidRPr="001E119C">
        <w:rPr>
          <w:rFonts w:cs="Times New Roman"/>
          <w:i/>
        </w:rPr>
        <w:t>euro</w:t>
      </w:r>
    </w:p>
    <w:p w14:paraId="0471319B" w14:textId="0A37A55B" w:rsidR="00B40CFA" w:rsidRDefault="00106293" w:rsidP="000C1A1F">
      <w:pPr>
        <w:pStyle w:val="Caption"/>
        <w:spacing w:before="0"/>
        <w:ind w:firstLine="720"/>
        <w:jc w:val="both"/>
        <w:rPr>
          <w:rFonts w:cs="Times New Roman"/>
          <w:iCs w:val="0"/>
          <w:szCs w:val="24"/>
        </w:rPr>
      </w:pPr>
      <w:r>
        <w:rPr>
          <w:rFonts w:cs="Times New Roman"/>
          <w:iCs w:val="0"/>
          <w:noProof/>
          <w:szCs w:val="24"/>
          <w:lang w:eastAsia="lv-LV"/>
        </w:rPr>
        <w:drawing>
          <wp:inline distT="0" distB="0" distL="0" distR="0" wp14:anchorId="56AFE757" wp14:editId="346FBB04">
            <wp:extent cx="5102860" cy="3176270"/>
            <wp:effectExtent l="0" t="0" r="254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102860" cy="3176270"/>
                    </a:xfrm>
                    <a:prstGeom prst="rect">
                      <a:avLst/>
                    </a:prstGeom>
                    <a:noFill/>
                  </pic:spPr>
                </pic:pic>
              </a:graphicData>
            </a:graphic>
          </wp:inline>
        </w:drawing>
      </w:r>
    </w:p>
    <w:p w14:paraId="7DF3AF3B" w14:textId="211BD51C" w:rsidR="00DF0A9B" w:rsidRPr="000C1A1F" w:rsidRDefault="00DF0A9B" w:rsidP="00313EF6">
      <w:pPr>
        <w:pStyle w:val="Caption"/>
        <w:spacing w:before="0"/>
        <w:ind w:firstLine="720"/>
        <w:jc w:val="both"/>
        <w:rPr>
          <w:rFonts w:cs="Times New Roman"/>
          <w:szCs w:val="24"/>
        </w:rPr>
      </w:pPr>
      <w:r w:rsidRPr="00E202CE">
        <w:rPr>
          <w:rFonts w:cs="Times New Roman"/>
          <w:iCs w:val="0"/>
          <w:szCs w:val="24"/>
        </w:rPr>
        <w:t>ALN izpildes rādītājos novērojama pozitīva tendence – 2019.</w:t>
      </w:r>
      <w:r w:rsidR="00CD332B">
        <w:rPr>
          <w:rFonts w:cs="Times New Roman"/>
          <w:iCs w:val="0"/>
          <w:szCs w:val="24"/>
        </w:rPr>
        <w:t xml:space="preserve"> </w:t>
      </w:r>
      <w:r w:rsidRPr="00E202CE">
        <w:rPr>
          <w:rFonts w:cs="Times New Roman"/>
          <w:iCs w:val="0"/>
          <w:szCs w:val="24"/>
        </w:rPr>
        <w:t>gadā, salīdzinot ar 2015.</w:t>
      </w:r>
      <w:r w:rsidR="00CD332B">
        <w:rPr>
          <w:rFonts w:cs="Times New Roman"/>
          <w:iCs w:val="0"/>
          <w:szCs w:val="24"/>
        </w:rPr>
        <w:t xml:space="preserve"> </w:t>
      </w:r>
      <w:r w:rsidRPr="00E202CE">
        <w:rPr>
          <w:rFonts w:cs="Times New Roman"/>
          <w:iCs w:val="0"/>
          <w:szCs w:val="24"/>
        </w:rPr>
        <w:t xml:space="preserve">gadu, iekasēti par 10,6 milj. </w:t>
      </w:r>
      <w:r w:rsidRPr="00E202CE">
        <w:rPr>
          <w:rFonts w:cs="Times New Roman"/>
          <w:i/>
          <w:iCs w:val="0"/>
          <w:szCs w:val="24"/>
        </w:rPr>
        <w:t>euro</w:t>
      </w:r>
      <w:r w:rsidRPr="00E202CE">
        <w:rPr>
          <w:rFonts w:cs="Times New Roman"/>
          <w:iCs w:val="0"/>
          <w:szCs w:val="24"/>
        </w:rPr>
        <w:t xml:space="preserve"> vairāk. Neskatoties uz to, ka ik gadu veidojas plāna neizpildes, redzams, ka, sākot ar 2017.gadu tiek iekasēti vismaz 83% no plānotā. </w:t>
      </w:r>
      <w:r w:rsidRPr="00E202CE">
        <w:rPr>
          <w:rFonts w:cs="Times New Roman"/>
          <w:szCs w:val="24"/>
        </w:rPr>
        <w:t>MK 2015.</w:t>
      </w:r>
      <w:r w:rsidR="00CD332B">
        <w:rPr>
          <w:rFonts w:cs="Times New Roman"/>
          <w:szCs w:val="24"/>
        </w:rPr>
        <w:t xml:space="preserve"> </w:t>
      </w:r>
      <w:r w:rsidRPr="00E202CE">
        <w:rPr>
          <w:rFonts w:cs="Times New Roman"/>
          <w:szCs w:val="24"/>
        </w:rPr>
        <w:t>gada 16.</w:t>
      </w:r>
      <w:r w:rsidR="00CD332B">
        <w:rPr>
          <w:rFonts w:cs="Times New Roman"/>
          <w:szCs w:val="24"/>
        </w:rPr>
        <w:t xml:space="preserve"> </w:t>
      </w:r>
      <w:r w:rsidRPr="00E202CE">
        <w:rPr>
          <w:rFonts w:cs="Times New Roman"/>
          <w:szCs w:val="24"/>
        </w:rPr>
        <w:t>novembrī (prot. Nr.59, 23.§ 13.punkts) uzdeva SM veikt papildu pasākumus, lai nodrošinātu plānoto ieņēmumu izpildi 2016., 2017. un 2018.</w:t>
      </w:r>
      <w:r w:rsidR="00CD332B">
        <w:rPr>
          <w:rFonts w:cs="Times New Roman"/>
          <w:szCs w:val="24"/>
        </w:rPr>
        <w:t xml:space="preserve"> </w:t>
      </w:r>
      <w:r w:rsidRPr="00E202CE">
        <w:rPr>
          <w:rFonts w:cs="Times New Roman"/>
          <w:szCs w:val="24"/>
        </w:rPr>
        <w:t xml:space="preserve">gadā </w:t>
      </w:r>
      <w:r w:rsidRPr="00E202CE">
        <w:rPr>
          <w:rFonts w:cs="Times New Roman"/>
          <w:bCs/>
          <w:szCs w:val="24"/>
        </w:rPr>
        <w:t xml:space="preserve">25 milj. </w:t>
      </w:r>
      <w:r w:rsidRPr="00E202CE">
        <w:rPr>
          <w:rFonts w:cs="Times New Roman"/>
          <w:bCs/>
          <w:i/>
          <w:iCs w:val="0"/>
          <w:szCs w:val="24"/>
        </w:rPr>
        <w:t>euro</w:t>
      </w:r>
      <w:r w:rsidRPr="00E202CE">
        <w:rPr>
          <w:rFonts w:cs="Times New Roman"/>
          <w:bCs/>
          <w:szCs w:val="24"/>
        </w:rPr>
        <w:t xml:space="preserve"> </w:t>
      </w:r>
      <w:r w:rsidRPr="00E202CE">
        <w:rPr>
          <w:rFonts w:cs="Times New Roman"/>
          <w:szCs w:val="24"/>
        </w:rPr>
        <w:t xml:space="preserve">apmērā katru gadu. Attēlā </w:t>
      </w:r>
      <w:r>
        <w:rPr>
          <w:rFonts w:cs="Times New Roman"/>
          <w:szCs w:val="24"/>
        </w:rPr>
        <w:t>(</w:t>
      </w:r>
      <w:r w:rsidR="00313EF6">
        <w:rPr>
          <w:rFonts w:cs="Times New Roman"/>
          <w:szCs w:val="24"/>
        </w:rPr>
        <w:fldChar w:fldCharType="begin"/>
      </w:r>
      <w:r w:rsidR="00313EF6">
        <w:rPr>
          <w:rFonts w:cs="Times New Roman"/>
          <w:szCs w:val="24"/>
        </w:rPr>
        <w:instrText xml:space="preserve"> REF _Ref48205216 \h </w:instrText>
      </w:r>
      <w:r w:rsidR="00313EF6">
        <w:rPr>
          <w:rFonts w:cs="Times New Roman"/>
          <w:szCs w:val="24"/>
        </w:rPr>
      </w:r>
      <w:r w:rsidR="00313EF6">
        <w:rPr>
          <w:rFonts w:cs="Times New Roman"/>
          <w:szCs w:val="24"/>
        </w:rPr>
        <w:fldChar w:fldCharType="separate"/>
      </w:r>
      <w:r w:rsidR="00D96F20">
        <w:t xml:space="preserve">Attēls Nr. </w:t>
      </w:r>
      <w:r w:rsidR="00D96F20">
        <w:rPr>
          <w:noProof/>
        </w:rPr>
        <w:t>87</w:t>
      </w:r>
      <w:r w:rsidR="00313EF6">
        <w:rPr>
          <w:rFonts w:cs="Times New Roman"/>
          <w:szCs w:val="24"/>
        </w:rPr>
        <w:fldChar w:fldCharType="end"/>
      </w:r>
      <w:r>
        <w:rPr>
          <w:rFonts w:cs="Times New Roman"/>
          <w:szCs w:val="24"/>
        </w:rPr>
        <w:t>)</w:t>
      </w:r>
      <w:r w:rsidRPr="00E202CE">
        <w:rPr>
          <w:rFonts w:cs="Times New Roman"/>
          <w:szCs w:val="24"/>
        </w:rPr>
        <w:t xml:space="preserve"> redzams, ka uzdevuma izpildei nepieciešamais apjoms tika </w:t>
      </w:r>
      <w:r>
        <w:rPr>
          <w:rFonts w:cs="Times New Roman"/>
          <w:szCs w:val="24"/>
        </w:rPr>
        <w:t>sasniegts 2017.</w:t>
      </w:r>
      <w:r w:rsidR="00CD332B">
        <w:rPr>
          <w:rFonts w:cs="Times New Roman"/>
          <w:szCs w:val="24"/>
        </w:rPr>
        <w:t xml:space="preserve"> </w:t>
      </w:r>
      <w:r>
        <w:rPr>
          <w:rFonts w:cs="Times New Roman"/>
          <w:szCs w:val="24"/>
        </w:rPr>
        <w:t>gadā, savukārt,</w:t>
      </w:r>
      <w:r w:rsidRPr="00E202CE">
        <w:rPr>
          <w:rFonts w:cs="Times New Roman"/>
          <w:szCs w:val="24"/>
        </w:rPr>
        <w:t xml:space="preserve"> 2018.</w:t>
      </w:r>
      <w:r>
        <w:rPr>
          <w:rFonts w:cs="Times New Roman"/>
          <w:szCs w:val="24"/>
        </w:rPr>
        <w:t xml:space="preserve"> un 2019.</w:t>
      </w:r>
      <w:r w:rsidR="00CD332B">
        <w:rPr>
          <w:rFonts w:cs="Times New Roman"/>
          <w:szCs w:val="24"/>
        </w:rPr>
        <w:t xml:space="preserve"> </w:t>
      </w:r>
      <w:r>
        <w:rPr>
          <w:rFonts w:cs="Times New Roman"/>
          <w:szCs w:val="24"/>
        </w:rPr>
        <w:t>gadā</w:t>
      </w:r>
      <w:r w:rsidRPr="00E202CE">
        <w:rPr>
          <w:rFonts w:cs="Times New Roman"/>
          <w:szCs w:val="24"/>
        </w:rPr>
        <w:t xml:space="preserve"> izpilde pārsniedza 25 milj. </w:t>
      </w:r>
      <w:r w:rsidRPr="00E202CE">
        <w:rPr>
          <w:rFonts w:cs="Times New Roman"/>
          <w:i/>
          <w:szCs w:val="24"/>
        </w:rPr>
        <w:t>euro</w:t>
      </w:r>
      <w:r w:rsidRPr="00E202CE">
        <w:rPr>
          <w:rFonts w:cs="Times New Roman"/>
          <w:szCs w:val="24"/>
        </w:rPr>
        <w:t>.</w:t>
      </w:r>
      <w:r>
        <w:rPr>
          <w:rFonts w:cs="Times New Roman"/>
          <w:szCs w:val="24"/>
        </w:rPr>
        <w:t xml:space="preserve"> Jāņem vērā, ka SM ir precizējusi plānotos ieņēmumus, sākot ar 2017.</w:t>
      </w:r>
      <w:r w:rsidR="00CD332B">
        <w:rPr>
          <w:rFonts w:cs="Times New Roman"/>
          <w:szCs w:val="24"/>
        </w:rPr>
        <w:t xml:space="preserve"> </w:t>
      </w:r>
      <w:r>
        <w:rPr>
          <w:rFonts w:cs="Times New Roman"/>
          <w:szCs w:val="24"/>
        </w:rPr>
        <w:t xml:space="preserve">gadu, kur tie pārsniedz nepieciešamos 25 milj. </w:t>
      </w:r>
      <w:r w:rsidRPr="00104F3A">
        <w:rPr>
          <w:rFonts w:cs="Times New Roman"/>
          <w:i/>
          <w:szCs w:val="24"/>
        </w:rPr>
        <w:t>euro</w:t>
      </w:r>
      <w:r>
        <w:rPr>
          <w:rFonts w:cs="Times New Roman"/>
          <w:szCs w:val="24"/>
        </w:rPr>
        <w:t>, lai sasniegtu iepriekšminētā uzdevuma mērķi.</w:t>
      </w:r>
    </w:p>
    <w:p w14:paraId="08966086" w14:textId="0ABAE97C" w:rsidR="00DF0A9B" w:rsidRPr="00E202CE" w:rsidRDefault="00DF0A9B" w:rsidP="00DF0A9B">
      <w:pPr>
        <w:pStyle w:val="NoSpacing"/>
        <w:spacing w:after="160" w:line="259" w:lineRule="auto"/>
        <w:ind w:firstLine="720"/>
        <w:jc w:val="both"/>
        <w:rPr>
          <w:rFonts w:cs="Times New Roman"/>
          <w:szCs w:val="24"/>
        </w:rPr>
      </w:pPr>
      <w:r w:rsidRPr="00E202CE">
        <w:rPr>
          <w:rFonts w:cs="Times New Roman"/>
          <w:szCs w:val="24"/>
        </w:rPr>
        <w:t>Lai uzlabotu ALN samaksas kontroli, no 2015.gada uzstādītie stacionārie fotoradari Latvijā pēc atļautā braukšanas ātruma pārkāpumu fiksēšanas informācijas sistēmās</w:t>
      </w:r>
      <w:r w:rsidRPr="00E202CE">
        <w:rPr>
          <w:rFonts w:cs="Times New Roman"/>
          <w:i/>
          <w:szCs w:val="24"/>
        </w:rPr>
        <w:t xml:space="preserve"> </w:t>
      </w:r>
      <w:r w:rsidRPr="00E202CE">
        <w:rPr>
          <w:rFonts w:cs="Times New Roman"/>
          <w:szCs w:val="24"/>
        </w:rPr>
        <w:t xml:space="preserve">pārbauda arī autoceļu lietošanas nodevas apmaksas faktu. Jāatzīmē, </w:t>
      </w:r>
      <w:r>
        <w:rPr>
          <w:rFonts w:cs="Times New Roman"/>
          <w:szCs w:val="24"/>
        </w:rPr>
        <w:t>ka ALN apmaksas fakts tiek pārbaudīts tikai gadījumos, kad transportlīdzeklim fiksēts atļautā braukšanas ātruma pārkāpums. Laikposmā no 2015. līdz 2018.gadam ar fotoradaru palīdzību kopumā fiksēti 623 ALN apmaksas pārkāpumi</w:t>
      </w:r>
      <w:r w:rsidRPr="00E202CE">
        <w:rPr>
          <w:rFonts w:cs="Times New Roman"/>
          <w:szCs w:val="24"/>
        </w:rPr>
        <w:t xml:space="preserve">. Papildus fotoradaru darbībai, 2019.gada jūnijā sākušas darboties specializētas iekārtas, kas ALN nemaksātājus fiksē automatizēti, </w:t>
      </w:r>
      <w:r>
        <w:rPr>
          <w:rFonts w:cs="Times New Roman"/>
          <w:szCs w:val="24"/>
        </w:rPr>
        <w:t>kur pēc līdzīga principa fotoradaru darbībai</w:t>
      </w:r>
      <w:r w:rsidRPr="00E202CE">
        <w:rPr>
          <w:rFonts w:cs="Times New Roman"/>
          <w:szCs w:val="24"/>
        </w:rPr>
        <w:t xml:space="preserve">, pārkāpumus fiksē ar tehniskajiem līdzekļiem, neapturot transportlīdzekli. </w:t>
      </w:r>
    </w:p>
    <w:p w14:paraId="0C01B259" w14:textId="77777777" w:rsidR="005E682E" w:rsidRPr="0002222F" w:rsidRDefault="00DF0A9B" w:rsidP="0002222F">
      <w:pPr>
        <w:pStyle w:val="NoSpacing"/>
        <w:spacing w:after="160" w:line="259" w:lineRule="auto"/>
        <w:ind w:firstLine="720"/>
        <w:jc w:val="both"/>
        <w:rPr>
          <w:rFonts w:cs="Times New Roman"/>
          <w:iCs/>
          <w:szCs w:val="24"/>
        </w:rPr>
      </w:pPr>
      <w:r w:rsidRPr="00E202CE">
        <w:rPr>
          <w:rFonts w:cs="Times New Roman"/>
          <w:iCs/>
          <w:szCs w:val="24"/>
        </w:rPr>
        <w:t>Ņemot vērā iepriekšminēto, ir pamats secināt, ka ALN iekasēšana ir uzlabojusies, kā arī ir veikti papildus pasākumi nodevas samaksas kontrolē</w:t>
      </w:r>
      <w:r>
        <w:rPr>
          <w:rFonts w:cs="Times New Roman"/>
          <w:iCs/>
          <w:szCs w:val="24"/>
        </w:rPr>
        <w:t>, tomēr būtu uzlabojama ieņēmumu plānošana, atbilstoši iepriekšējo gadu izpildes rādītājiem</w:t>
      </w:r>
      <w:r w:rsidR="0002222F">
        <w:rPr>
          <w:rFonts w:cs="Times New Roman"/>
          <w:iCs/>
          <w:szCs w:val="24"/>
        </w:rPr>
        <w:t>.</w:t>
      </w:r>
    </w:p>
    <w:p w14:paraId="3823C69E" w14:textId="77777777" w:rsidR="00DF0A9B" w:rsidRPr="00640798" w:rsidRDefault="00DF0A9B" w:rsidP="00DF0A9B">
      <w:pPr>
        <w:tabs>
          <w:tab w:val="left" w:pos="1010"/>
        </w:tabs>
        <w:spacing w:after="120"/>
        <w:jc w:val="both"/>
        <w:rPr>
          <w:rFonts w:cs="Times New Roman"/>
          <w:b/>
          <w:szCs w:val="28"/>
        </w:rPr>
      </w:pPr>
      <w:r w:rsidRPr="00640798">
        <w:rPr>
          <w:rFonts w:cs="Times New Roman"/>
          <w:b/>
          <w:szCs w:val="28"/>
        </w:rPr>
        <w:t>Ekonomikas ministrija</w:t>
      </w:r>
    </w:p>
    <w:p w14:paraId="4F875D69" w14:textId="7FDD5FE9" w:rsidR="00DF0A9B" w:rsidRPr="00E202CE" w:rsidRDefault="00DF0A9B" w:rsidP="00DF0A9B">
      <w:pPr>
        <w:ind w:firstLine="720"/>
        <w:jc w:val="both"/>
        <w:rPr>
          <w:rFonts w:cs="Times New Roman"/>
        </w:rPr>
      </w:pPr>
      <w:r w:rsidRPr="00E202CE">
        <w:rPr>
          <w:rFonts w:cs="Times New Roman"/>
        </w:rPr>
        <w:t>2014.</w:t>
      </w:r>
      <w:r w:rsidR="00CD332B">
        <w:rPr>
          <w:rFonts w:cs="Times New Roman"/>
        </w:rPr>
        <w:t xml:space="preserve"> </w:t>
      </w:r>
      <w:r w:rsidRPr="00E202CE">
        <w:rPr>
          <w:rFonts w:cs="Times New Roman"/>
        </w:rPr>
        <w:t>gada 19.</w:t>
      </w:r>
      <w:r w:rsidR="00CD332B">
        <w:rPr>
          <w:rFonts w:cs="Times New Roman"/>
        </w:rPr>
        <w:t xml:space="preserve"> </w:t>
      </w:r>
      <w:r w:rsidRPr="00E202CE">
        <w:rPr>
          <w:rFonts w:cs="Times New Roman"/>
        </w:rPr>
        <w:t>novembrī MK (protokols Nr.63 22.§) atbalstīja EM priekšlikumu palielināt valsts budžeta ieņēmumus 2015. un turpmākajos gados par 2 185 700</w:t>
      </w:r>
      <w:r w:rsidRPr="00E202CE">
        <w:rPr>
          <w:rFonts w:cs="Times New Roman"/>
          <w:i/>
        </w:rPr>
        <w:t xml:space="preserve"> euro</w:t>
      </w:r>
      <w:r w:rsidRPr="00E202CE">
        <w:rPr>
          <w:rFonts w:cs="Times New Roman"/>
        </w:rPr>
        <w:t>, nosakot valsts nodevu par būvniecības pakalpojumiem (darbībām būvkomersantu reģistrā) kā ikgadēju nodevu. Atbilstoši MK lemtajam tika palielināti EM izdevumi budžeta programmā 20.00.00 “Būvniecība” 2015.</w:t>
      </w:r>
      <w:r w:rsidR="00CD332B">
        <w:rPr>
          <w:rFonts w:cs="Times New Roman"/>
        </w:rPr>
        <w:t xml:space="preserve"> </w:t>
      </w:r>
      <w:r w:rsidRPr="00E202CE">
        <w:rPr>
          <w:rFonts w:cs="Times New Roman"/>
        </w:rPr>
        <w:t xml:space="preserve">gadam 1 629 684 </w:t>
      </w:r>
      <w:r w:rsidRPr="00E202CE">
        <w:rPr>
          <w:rFonts w:cs="Times New Roman"/>
          <w:i/>
        </w:rPr>
        <w:t>euro</w:t>
      </w:r>
      <w:r w:rsidRPr="00E202CE">
        <w:rPr>
          <w:rFonts w:cs="Times New Roman"/>
        </w:rPr>
        <w:t xml:space="preserve"> apmērā, 2016. un 2017.</w:t>
      </w:r>
      <w:r w:rsidR="00CD332B">
        <w:rPr>
          <w:rFonts w:cs="Times New Roman"/>
        </w:rPr>
        <w:t xml:space="preserve"> </w:t>
      </w:r>
      <w:r w:rsidRPr="00E202CE">
        <w:rPr>
          <w:rFonts w:cs="Times New Roman"/>
        </w:rPr>
        <w:t xml:space="preserve">gadam katru gadu 1 902 </w:t>
      </w:r>
      <w:r w:rsidRPr="00E202CE">
        <w:rPr>
          <w:rFonts w:cs="Times New Roman"/>
        </w:rPr>
        <w:lastRenderedPageBreak/>
        <w:t xml:space="preserve">123 </w:t>
      </w:r>
      <w:r w:rsidRPr="00E202CE">
        <w:rPr>
          <w:rFonts w:cs="Times New Roman"/>
          <w:i/>
        </w:rPr>
        <w:t>euro</w:t>
      </w:r>
      <w:r w:rsidRPr="00E202CE">
        <w:rPr>
          <w:rFonts w:cs="Times New Roman"/>
        </w:rPr>
        <w:t xml:space="preserve"> apmērā Būvniecības valsts kontroles biroja darbības nodrošināšanai, kā arī sešās citās EM budžeta programmās.</w:t>
      </w:r>
    </w:p>
    <w:p w14:paraId="17175FF6" w14:textId="36251C60" w:rsidR="00DF0A9B" w:rsidRPr="00E202CE" w:rsidRDefault="00DF0A9B" w:rsidP="00DF0A9B">
      <w:pPr>
        <w:ind w:firstLine="720"/>
        <w:jc w:val="both"/>
        <w:rPr>
          <w:rFonts w:cs="Times New Roman"/>
        </w:rPr>
      </w:pPr>
      <w:r w:rsidRPr="00E202CE">
        <w:rPr>
          <w:rFonts w:cs="Times New Roman"/>
        </w:rPr>
        <w:t>Saskaņā ar MK 2014.</w:t>
      </w:r>
      <w:r w:rsidR="00CD332B">
        <w:rPr>
          <w:rFonts w:cs="Times New Roman"/>
        </w:rPr>
        <w:t xml:space="preserve"> </w:t>
      </w:r>
      <w:r w:rsidRPr="00E202CE">
        <w:rPr>
          <w:rFonts w:cs="Times New Roman"/>
        </w:rPr>
        <w:t>gada 25.</w:t>
      </w:r>
      <w:r w:rsidR="00CD332B">
        <w:rPr>
          <w:rFonts w:cs="Times New Roman"/>
        </w:rPr>
        <w:t xml:space="preserve"> </w:t>
      </w:r>
      <w:r w:rsidRPr="00E202CE">
        <w:rPr>
          <w:rFonts w:cs="Times New Roman"/>
        </w:rPr>
        <w:t>februāra noteikumu Nr.116 “Būvkomersan</w:t>
      </w:r>
      <w:r>
        <w:rPr>
          <w:rFonts w:cs="Times New Roman"/>
        </w:rPr>
        <w:t>tu reģistrācijas noteikumi” 12.</w:t>
      </w:r>
      <w:r w:rsidRPr="00E202CE">
        <w:rPr>
          <w:rFonts w:cs="Times New Roman"/>
        </w:rPr>
        <w:t>punktu, bū</w:t>
      </w:r>
      <w:r>
        <w:rPr>
          <w:rFonts w:cs="Times New Roman"/>
        </w:rPr>
        <w:t>vkomersants reizi gadā līdz 31.</w:t>
      </w:r>
      <w:r w:rsidRPr="00E202CE">
        <w:rPr>
          <w:rFonts w:cs="Times New Roman"/>
        </w:rPr>
        <w:t>augustam iesniedz reģistra iestādē ikgadējo informāciju un maksā valsts nodevu, kuras apmērs atkarīgs no būvkomersanta iepriekšējā kalendārā gada neto apgrozījuma.</w:t>
      </w:r>
    </w:p>
    <w:p w14:paraId="18A4E0C7" w14:textId="76715428" w:rsidR="00CD332B" w:rsidRDefault="00DF0A9B" w:rsidP="00CD332B">
      <w:pPr>
        <w:pStyle w:val="Caption"/>
        <w:rPr>
          <w:noProof/>
        </w:rPr>
      </w:pPr>
      <w:r>
        <w:t xml:space="preserve">Attēls Nr. </w:t>
      </w:r>
      <w:fldSimple w:instr=" SEQ Attēls_Nr. \* ARABIC ">
        <w:r w:rsidR="00D96F20">
          <w:rPr>
            <w:noProof/>
          </w:rPr>
          <w:t>88</w:t>
        </w:r>
      </w:fldSimple>
    </w:p>
    <w:p w14:paraId="506B094F" w14:textId="451CC87D" w:rsidR="00DF0A9B" w:rsidRDefault="00DF0A9B" w:rsidP="00CD332B">
      <w:pPr>
        <w:pStyle w:val="Caption"/>
        <w:jc w:val="center"/>
        <w:rPr>
          <w:rFonts w:cs="Times New Roman"/>
        </w:rPr>
      </w:pPr>
      <w:r w:rsidRPr="00E202CE">
        <w:rPr>
          <w:rFonts w:cs="Times New Roman"/>
          <w:noProof/>
          <w:lang w:eastAsia="lv-LV"/>
        </w:rPr>
        <w:drawing>
          <wp:anchor distT="0" distB="0" distL="114300" distR="114300" simplePos="0" relativeHeight="251673600" behindDoc="0" locked="0" layoutInCell="1" allowOverlap="1" wp14:anchorId="471D6421" wp14:editId="1C715588">
            <wp:simplePos x="0" y="0"/>
            <wp:positionH relativeFrom="page">
              <wp:posOffset>953770</wp:posOffset>
            </wp:positionH>
            <wp:positionV relativeFrom="paragraph">
              <wp:posOffset>434975</wp:posOffset>
            </wp:positionV>
            <wp:extent cx="5964555" cy="2909570"/>
            <wp:effectExtent l="0" t="0" r="0" b="508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64555" cy="2909570"/>
                    </a:xfrm>
                    <a:prstGeom prst="rect">
                      <a:avLst/>
                    </a:prstGeom>
                    <a:noFill/>
                  </pic:spPr>
                </pic:pic>
              </a:graphicData>
            </a:graphic>
            <wp14:sizeRelH relativeFrom="margin">
              <wp14:pctWidth>0</wp14:pctWidth>
            </wp14:sizeRelH>
            <wp14:sizeRelV relativeFrom="margin">
              <wp14:pctHeight>0</wp14:pctHeight>
            </wp14:sizeRelV>
          </wp:anchor>
        </w:drawing>
      </w:r>
      <w:r w:rsidRPr="00E202CE">
        <w:rPr>
          <w:rFonts w:cs="Times New Roman"/>
          <w:b/>
        </w:rPr>
        <w:t>Valsts nodevas par reģistrācijas darbībām būvkomersantu reģistrā ieņēmumu dinamika 2015.-2022.</w:t>
      </w:r>
      <w:r w:rsidR="00CD332B">
        <w:rPr>
          <w:rFonts w:cs="Times New Roman"/>
          <w:b/>
        </w:rPr>
        <w:t xml:space="preserve"> </w:t>
      </w:r>
      <w:r w:rsidRPr="00E202CE">
        <w:rPr>
          <w:rFonts w:cs="Times New Roman"/>
          <w:b/>
        </w:rPr>
        <w:t xml:space="preserve">gadā, </w:t>
      </w:r>
      <w:r w:rsidRPr="001E119C">
        <w:rPr>
          <w:rFonts w:cs="Times New Roman"/>
        </w:rPr>
        <w:t>milj.</w:t>
      </w:r>
      <w:r w:rsidRPr="00E202CE">
        <w:rPr>
          <w:rFonts w:cs="Times New Roman"/>
          <w:b/>
        </w:rPr>
        <w:t xml:space="preserve"> </w:t>
      </w:r>
      <w:r w:rsidRPr="001E119C">
        <w:rPr>
          <w:rFonts w:cs="Times New Roman"/>
          <w:i/>
        </w:rPr>
        <w:t>euro</w:t>
      </w:r>
    </w:p>
    <w:p w14:paraId="3550EDF9" w14:textId="11C128DB" w:rsidR="00DF0A9B" w:rsidRPr="00E202CE" w:rsidRDefault="00DF0A9B" w:rsidP="00DF0A9B">
      <w:pPr>
        <w:ind w:firstLine="720"/>
        <w:jc w:val="both"/>
        <w:rPr>
          <w:rFonts w:cs="Times New Roman"/>
        </w:rPr>
      </w:pPr>
      <w:r w:rsidRPr="00E202CE">
        <w:rPr>
          <w:rFonts w:cs="Times New Roman"/>
        </w:rPr>
        <w:t>Neskatoties uz to, ka 2015.</w:t>
      </w:r>
      <w:r w:rsidR="00CD332B">
        <w:rPr>
          <w:rFonts w:cs="Times New Roman"/>
        </w:rPr>
        <w:t xml:space="preserve"> </w:t>
      </w:r>
      <w:r w:rsidRPr="00E202CE">
        <w:rPr>
          <w:rFonts w:cs="Times New Roman"/>
        </w:rPr>
        <w:t xml:space="preserve">gadā valsts nodeva par reģistrācijas darbībām būvkomersantu reģistrā tika iekasēta par 0,7 milj. </w:t>
      </w:r>
      <w:r w:rsidRPr="00E202CE">
        <w:rPr>
          <w:rFonts w:cs="Times New Roman"/>
          <w:i/>
        </w:rPr>
        <w:t>euro</w:t>
      </w:r>
      <w:r w:rsidRPr="00E202CE">
        <w:rPr>
          <w:rFonts w:cs="Times New Roman"/>
        </w:rPr>
        <w:t xml:space="preserve"> mazāk nekā bija plānots, turpmākajos gados nodevas iekasēšana notika atbilstoši plānotajam un jau 2016.gadā iekasētās nodevas izpilde pārsniedza plānoto par 0,2 milj. </w:t>
      </w:r>
      <w:r w:rsidRPr="00EE534B">
        <w:rPr>
          <w:rFonts w:cs="Times New Roman"/>
          <w:i/>
        </w:rPr>
        <w:t>euro</w:t>
      </w:r>
      <w:r w:rsidRPr="00E202CE">
        <w:rPr>
          <w:rFonts w:cs="Times New Roman"/>
        </w:rPr>
        <w:t>.</w:t>
      </w:r>
      <w:r>
        <w:rPr>
          <w:rFonts w:cs="Times New Roman"/>
        </w:rPr>
        <w:t xml:space="preserve"> </w:t>
      </w:r>
      <w:r w:rsidRPr="00E202CE">
        <w:rPr>
          <w:rFonts w:cs="Times New Roman"/>
        </w:rPr>
        <w:t>Arī 2019.</w:t>
      </w:r>
      <w:r w:rsidR="00CD332B">
        <w:rPr>
          <w:rFonts w:cs="Times New Roman"/>
        </w:rPr>
        <w:t xml:space="preserve"> </w:t>
      </w:r>
      <w:r w:rsidRPr="00E202CE">
        <w:rPr>
          <w:rFonts w:cs="Times New Roman"/>
        </w:rPr>
        <w:t xml:space="preserve">gadā nodevas iekasēšanas dinamikā saglabājas pozitīvā tendence – tika iekasēti 3,78 milj. </w:t>
      </w:r>
      <w:r w:rsidRPr="00EE534B">
        <w:rPr>
          <w:rFonts w:cs="Times New Roman"/>
          <w:i/>
        </w:rPr>
        <w:t>euro</w:t>
      </w:r>
      <w:r w:rsidRPr="00E202CE">
        <w:rPr>
          <w:rFonts w:cs="Times New Roman"/>
        </w:rPr>
        <w:t xml:space="preserve"> jeb par 0,23 milj. </w:t>
      </w:r>
      <w:r w:rsidRPr="00EE534B">
        <w:rPr>
          <w:rFonts w:cs="Times New Roman"/>
          <w:i/>
        </w:rPr>
        <w:t>euro</w:t>
      </w:r>
      <w:r w:rsidRPr="00E202CE">
        <w:rPr>
          <w:rFonts w:cs="Times New Roman"/>
        </w:rPr>
        <w:t xml:space="preserve"> vai</w:t>
      </w:r>
      <w:r>
        <w:rPr>
          <w:rFonts w:cs="Times New Roman"/>
        </w:rPr>
        <w:t>rāk nekā plānots. 2020-2022.</w:t>
      </w:r>
      <w:r w:rsidR="00CD332B">
        <w:rPr>
          <w:rFonts w:cs="Times New Roman"/>
        </w:rPr>
        <w:t xml:space="preserve"> </w:t>
      </w:r>
      <w:r>
        <w:rPr>
          <w:rFonts w:cs="Times New Roman"/>
        </w:rPr>
        <w:t>gada</w:t>
      </w:r>
      <w:r w:rsidRPr="00E202CE">
        <w:rPr>
          <w:rFonts w:cs="Times New Roman"/>
        </w:rPr>
        <w:t xml:space="preserve"> plānotais iekasētais valsts nodevas apjoms</w:t>
      </w:r>
      <w:r>
        <w:rPr>
          <w:rFonts w:cs="Times New Roman"/>
        </w:rPr>
        <w:t xml:space="preserve"> noteikts</w:t>
      </w:r>
      <w:r w:rsidRPr="00E202CE">
        <w:rPr>
          <w:rFonts w:cs="Times New Roman"/>
        </w:rPr>
        <w:t xml:space="preserve"> 3,62 milj. </w:t>
      </w:r>
      <w:r w:rsidRPr="00EE534B">
        <w:rPr>
          <w:rFonts w:cs="Times New Roman"/>
          <w:i/>
        </w:rPr>
        <w:t>euro</w:t>
      </w:r>
      <w:r w:rsidRPr="00E202CE">
        <w:rPr>
          <w:rFonts w:cs="Times New Roman"/>
        </w:rPr>
        <w:t xml:space="preserve"> apmērā</w:t>
      </w:r>
      <w:r>
        <w:rPr>
          <w:rFonts w:cs="Times New Roman"/>
        </w:rPr>
        <w:t xml:space="preserve"> ik gadu</w:t>
      </w:r>
      <w:r w:rsidRPr="00E202CE">
        <w:rPr>
          <w:rFonts w:cs="Times New Roman"/>
        </w:rPr>
        <w:t>.</w:t>
      </w:r>
    </w:p>
    <w:p w14:paraId="7CC62DDD" w14:textId="77777777" w:rsidR="00763A63" w:rsidRPr="005E682E" w:rsidRDefault="00DF0A9B" w:rsidP="005E682E">
      <w:pPr>
        <w:ind w:firstLine="720"/>
        <w:jc w:val="both"/>
        <w:rPr>
          <w:rFonts w:cs="Times New Roman"/>
        </w:rPr>
      </w:pPr>
      <w:r w:rsidRPr="00E202CE">
        <w:rPr>
          <w:rFonts w:cs="Times New Roman"/>
        </w:rPr>
        <w:t>Nodevas ieņēmumu augstie izpildes rādītāji balstās uz tās iekasēšanas procedūru, kur būvkomersantam ir pienākums sniegt informāciju būvkomersantu reģistrā, līdz ar šo darbību veikšanu</w:t>
      </w:r>
      <w:r>
        <w:rPr>
          <w:rFonts w:cs="Times New Roman"/>
        </w:rPr>
        <w:t xml:space="preserve"> ir</w:t>
      </w:r>
      <w:r w:rsidRPr="00E202CE">
        <w:rPr>
          <w:rFonts w:cs="Times New Roman"/>
        </w:rPr>
        <w:t xml:space="preserve"> jāveic nodevas apmaksas process. Gadījumā, ja būvkomersants nav iesniedzis ikgadējo informāciju, būvkomersantu izslēdz no reģistra, kas, savukārt, liedz veikt turpmāku komercdarbību būvniecības jomā. </w:t>
      </w:r>
    </w:p>
    <w:p w14:paraId="59DA7144" w14:textId="77777777" w:rsidR="00DF0A9B" w:rsidRPr="00583BC8" w:rsidRDefault="00DF0A9B" w:rsidP="00DF0A9B">
      <w:pPr>
        <w:tabs>
          <w:tab w:val="left" w:pos="1010"/>
        </w:tabs>
        <w:spacing w:after="120"/>
        <w:jc w:val="both"/>
        <w:rPr>
          <w:rFonts w:cs="Times New Roman"/>
          <w:b/>
          <w:sz w:val="28"/>
          <w:szCs w:val="28"/>
        </w:rPr>
      </w:pPr>
      <w:r w:rsidRPr="00D36A95">
        <w:rPr>
          <w:rFonts w:cs="Times New Roman"/>
          <w:b/>
          <w:szCs w:val="28"/>
        </w:rPr>
        <w:t>Kultūras ministrija</w:t>
      </w:r>
    </w:p>
    <w:p w14:paraId="62C227A6" w14:textId="12344A29" w:rsidR="00B40CFA" w:rsidRPr="00080047" w:rsidRDefault="00DF0A9B" w:rsidP="00080047">
      <w:pPr>
        <w:jc w:val="both"/>
        <w:rPr>
          <w:rFonts w:cs="Times New Roman"/>
          <w:b/>
        </w:rPr>
      </w:pPr>
      <w:r>
        <w:rPr>
          <w:rFonts w:cs="Times New Roman"/>
          <w:bCs/>
        </w:rPr>
        <w:tab/>
      </w:r>
      <w:r w:rsidRPr="00E202CE">
        <w:rPr>
          <w:rFonts w:cs="Times New Roman"/>
          <w:bCs/>
        </w:rPr>
        <w:t>Sākot no 2013.</w:t>
      </w:r>
      <w:r w:rsidR="00CD332B">
        <w:rPr>
          <w:rFonts w:cs="Times New Roman"/>
          <w:bCs/>
        </w:rPr>
        <w:t xml:space="preserve"> </w:t>
      </w:r>
      <w:r w:rsidRPr="00E202CE">
        <w:rPr>
          <w:rFonts w:cs="Times New Roman"/>
          <w:bCs/>
        </w:rPr>
        <w:t>gada 1.</w:t>
      </w:r>
      <w:r w:rsidR="00CD332B">
        <w:rPr>
          <w:rFonts w:cs="Times New Roman"/>
          <w:bCs/>
        </w:rPr>
        <w:t xml:space="preserve"> </w:t>
      </w:r>
      <w:r w:rsidRPr="00E202CE">
        <w:rPr>
          <w:rFonts w:cs="Times New Roman"/>
          <w:bCs/>
        </w:rPr>
        <w:t xml:space="preserve">janvāra, </w:t>
      </w:r>
      <w:r>
        <w:rPr>
          <w:rFonts w:cs="Times New Roman"/>
          <w:bCs/>
        </w:rPr>
        <w:t>LNA</w:t>
      </w:r>
      <w:r w:rsidRPr="00E202CE">
        <w:rPr>
          <w:rFonts w:cs="Times New Roman"/>
          <w:bCs/>
        </w:rPr>
        <w:t xml:space="preserve"> maksas pakalpojums par sociāli tiesiskās izziņas sagatavošanu un izsniegšanu tika pārveidots par valsts nodevu, kuru ieskaita valsts budžetā. Minētā maksas pakalpojuma kompensēšanai KM budžeta programmā 21.00.00 “Kultūras mantojums” tika palielināta dotācija no vispārējiem ieņēmumiem 2013.gadā un turpmāk ik gadu 498 005 </w:t>
      </w:r>
      <w:r w:rsidRPr="00E202CE">
        <w:rPr>
          <w:rFonts w:cs="Times New Roman"/>
          <w:bCs/>
          <w:i/>
          <w:iCs/>
        </w:rPr>
        <w:t>euro</w:t>
      </w:r>
      <w:r w:rsidRPr="00E202CE">
        <w:rPr>
          <w:rFonts w:cs="Times New Roman"/>
          <w:bCs/>
        </w:rPr>
        <w:t xml:space="preserve"> apmērā</w:t>
      </w:r>
      <w:r>
        <w:rPr>
          <w:rFonts w:cs="Times New Roman"/>
          <w:bCs/>
        </w:rPr>
        <w:t>.</w:t>
      </w:r>
      <w:bookmarkStart w:id="234" w:name="_Ref47098545"/>
      <w:bookmarkStart w:id="235" w:name="_Ref47366517"/>
    </w:p>
    <w:p w14:paraId="725C150F" w14:textId="77777777" w:rsidR="008636F1" w:rsidRDefault="008636F1" w:rsidP="00DF0A9B">
      <w:pPr>
        <w:pStyle w:val="Caption"/>
      </w:pPr>
      <w:bookmarkStart w:id="236" w:name="_Ref47961916"/>
    </w:p>
    <w:p w14:paraId="03025219" w14:textId="220494D6" w:rsidR="00DF0A9B" w:rsidRDefault="00DF0A9B" w:rsidP="00DF0A9B">
      <w:pPr>
        <w:pStyle w:val="Caption"/>
        <w:rPr>
          <w:rFonts w:cs="Times New Roman"/>
        </w:rPr>
      </w:pPr>
      <w:bookmarkStart w:id="237" w:name="_Ref48205293"/>
      <w:r>
        <w:lastRenderedPageBreak/>
        <w:t xml:space="preserve">Attēls Nr. </w:t>
      </w:r>
      <w:fldSimple w:instr=" SEQ Attēls_Nr. \* ARABIC ">
        <w:r w:rsidR="00D96F20">
          <w:rPr>
            <w:noProof/>
          </w:rPr>
          <w:t>89</w:t>
        </w:r>
      </w:fldSimple>
      <w:bookmarkEnd w:id="234"/>
      <w:bookmarkEnd w:id="235"/>
      <w:bookmarkEnd w:id="236"/>
      <w:bookmarkEnd w:id="237"/>
    </w:p>
    <w:p w14:paraId="0B143837" w14:textId="77777777" w:rsidR="00DF0A9B" w:rsidRPr="00E202CE" w:rsidRDefault="00DF0A9B" w:rsidP="00CD332B">
      <w:pPr>
        <w:tabs>
          <w:tab w:val="left" w:pos="1010"/>
        </w:tabs>
        <w:jc w:val="center"/>
        <w:rPr>
          <w:rFonts w:cs="Times New Roman"/>
          <w:b/>
        </w:rPr>
      </w:pPr>
      <w:r w:rsidRPr="00E202CE">
        <w:rPr>
          <w:rFonts w:cs="Times New Roman"/>
          <w:b/>
        </w:rPr>
        <w:t xml:space="preserve">Valsts nodevas par sociāli tiesiskās izziņas sagatavošanu un izsniegšanu ieņēmumu dinamika 2013-2022.gads, </w:t>
      </w:r>
      <w:r w:rsidRPr="001E119C">
        <w:rPr>
          <w:rFonts w:cs="Times New Roman"/>
          <w:i/>
        </w:rPr>
        <w:t>euro</w:t>
      </w:r>
    </w:p>
    <w:p w14:paraId="21BD5320" w14:textId="77777777" w:rsidR="00DF0A9B" w:rsidRPr="00170FA2" w:rsidRDefault="00111AEA" w:rsidP="00111AEA">
      <w:pPr>
        <w:tabs>
          <w:tab w:val="left" w:pos="851"/>
          <w:tab w:val="left" w:pos="1010"/>
          <w:tab w:val="left" w:pos="8789"/>
        </w:tabs>
        <w:jc w:val="center"/>
        <w:rPr>
          <w:rFonts w:cs="Times New Roman"/>
        </w:rPr>
      </w:pPr>
      <w:r>
        <w:rPr>
          <w:rFonts w:cs="Times New Roman"/>
          <w:b/>
          <w:noProof/>
          <w:lang w:eastAsia="lv-LV"/>
        </w:rPr>
        <w:drawing>
          <wp:inline distT="0" distB="0" distL="0" distR="0" wp14:anchorId="3B08AA0A" wp14:editId="09121320">
            <wp:extent cx="5796501" cy="29578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11622" cy="2965546"/>
                    </a:xfrm>
                    <a:prstGeom prst="rect">
                      <a:avLst/>
                    </a:prstGeom>
                    <a:noFill/>
                  </pic:spPr>
                </pic:pic>
              </a:graphicData>
            </a:graphic>
          </wp:inline>
        </w:drawing>
      </w:r>
    </w:p>
    <w:p w14:paraId="772AC57C" w14:textId="756BA815" w:rsidR="00DF0A9B" w:rsidRPr="00E202CE" w:rsidRDefault="00DF0A9B" w:rsidP="009F6556">
      <w:pPr>
        <w:pStyle w:val="Caption"/>
        <w:ind w:firstLine="720"/>
        <w:jc w:val="both"/>
        <w:rPr>
          <w:rFonts w:cs="Times New Roman"/>
          <w:bCs/>
        </w:rPr>
      </w:pPr>
      <w:r w:rsidRPr="00E202CE">
        <w:rPr>
          <w:rFonts w:cs="Times New Roman"/>
          <w:bCs/>
        </w:rPr>
        <w:t>Kā redzams</w:t>
      </w:r>
      <w:r w:rsidR="00C90BDA">
        <w:rPr>
          <w:rFonts w:cs="Times New Roman"/>
          <w:bCs/>
        </w:rPr>
        <w:t xml:space="preserve"> attēlā (</w:t>
      </w:r>
      <w:r w:rsidR="009F6556">
        <w:rPr>
          <w:rFonts w:cs="Times New Roman"/>
          <w:bCs/>
        </w:rPr>
        <w:fldChar w:fldCharType="begin"/>
      </w:r>
      <w:r w:rsidR="009F6556">
        <w:rPr>
          <w:rFonts w:cs="Times New Roman"/>
          <w:bCs/>
        </w:rPr>
        <w:instrText xml:space="preserve"> REF _Ref48205293 \h </w:instrText>
      </w:r>
      <w:r w:rsidR="009F6556">
        <w:rPr>
          <w:rFonts w:cs="Times New Roman"/>
          <w:bCs/>
        </w:rPr>
      </w:r>
      <w:r w:rsidR="009F6556">
        <w:rPr>
          <w:rFonts w:cs="Times New Roman"/>
          <w:bCs/>
        </w:rPr>
        <w:fldChar w:fldCharType="separate"/>
      </w:r>
      <w:r w:rsidR="00D96F20">
        <w:t xml:space="preserve">Attēls Nr. </w:t>
      </w:r>
      <w:r w:rsidR="00D96F20">
        <w:rPr>
          <w:noProof/>
        </w:rPr>
        <w:t>89</w:t>
      </w:r>
      <w:r w:rsidR="009F6556">
        <w:rPr>
          <w:rFonts w:cs="Times New Roman"/>
          <w:bCs/>
        </w:rPr>
        <w:fldChar w:fldCharType="end"/>
      </w:r>
      <w:r w:rsidR="00C90BDA">
        <w:rPr>
          <w:rFonts w:cs="Times New Roman"/>
          <w:bCs/>
        </w:rPr>
        <w:t>)</w:t>
      </w:r>
      <w:r w:rsidRPr="00E202CE">
        <w:rPr>
          <w:rFonts w:cs="Times New Roman"/>
          <w:bCs/>
        </w:rPr>
        <w:t>, nodevas plānotais apmērs nav mainījies, līdz pat 2022.</w:t>
      </w:r>
      <w:r w:rsidR="00CD332B">
        <w:rPr>
          <w:rFonts w:cs="Times New Roman"/>
          <w:bCs/>
        </w:rPr>
        <w:t xml:space="preserve"> </w:t>
      </w:r>
      <w:r w:rsidRPr="00E202CE">
        <w:rPr>
          <w:rFonts w:cs="Times New Roman"/>
          <w:bCs/>
        </w:rPr>
        <w:t xml:space="preserve">gadam plānots iekasēt 498 005 </w:t>
      </w:r>
      <w:r w:rsidRPr="00E202CE">
        <w:rPr>
          <w:rFonts w:cs="Times New Roman"/>
          <w:bCs/>
          <w:i/>
        </w:rPr>
        <w:t>euro</w:t>
      </w:r>
      <w:r w:rsidRPr="00E202CE">
        <w:rPr>
          <w:rFonts w:cs="Times New Roman"/>
          <w:bCs/>
        </w:rPr>
        <w:t xml:space="preserve"> ik gadu. Izpildes apmēriem, savukārt, ir tendence samazināties jau no 2014.</w:t>
      </w:r>
      <w:r w:rsidR="00CD332B">
        <w:rPr>
          <w:rFonts w:cs="Times New Roman"/>
          <w:bCs/>
        </w:rPr>
        <w:t xml:space="preserve"> </w:t>
      </w:r>
      <w:r w:rsidRPr="00E202CE">
        <w:rPr>
          <w:rFonts w:cs="Times New Roman"/>
          <w:bCs/>
        </w:rPr>
        <w:t>gada, kur 2019.</w:t>
      </w:r>
      <w:r w:rsidR="00CD332B">
        <w:rPr>
          <w:rFonts w:cs="Times New Roman"/>
          <w:bCs/>
        </w:rPr>
        <w:t xml:space="preserve"> </w:t>
      </w:r>
      <w:r w:rsidRPr="00E202CE">
        <w:rPr>
          <w:rFonts w:cs="Times New Roman"/>
          <w:bCs/>
        </w:rPr>
        <w:t xml:space="preserve">gadā iekasēts tikai 210 845 </w:t>
      </w:r>
      <w:r w:rsidRPr="00E202CE">
        <w:rPr>
          <w:rFonts w:cs="Times New Roman"/>
          <w:bCs/>
          <w:i/>
        </w:rPr>
        <w:t>euro</w:t>
      </w:r>
      <w:r w:rsidRPr="00E202CE">
        <w:rPr>
          <w:rFonts w:cs="Times New Roman"/>
          <w:bCs/>
        </w:rPr>
        <w:t xml:space="preserve"> jeb 41,9% no plānotā apmēra.</w:t>
      </w:r>
    </w:p>
    <w:p w14:paraId="3EE712F5" w14:textId="3E46BEAD" w:rsidR="00DF0A9B" w:rsidRPr="00E202CE" w:rsidRDefault="00DF0A9B" w:rsidP="00DF0A9B">
      <w:pPr>
        <w:ind w:firstLine="720"/>
        <w:jc w:val="both"/>
        <w:rPr>
          <w:rFonts w:cs="Times New Roman"/>
          <w:bCs/>
        </w:rPr>
      </w:pPr>
      <w:r w:rsidRPr="00E202CE">
        <w:rPr>
          <w:rFonts w:cs="Times New Roman"/>
          <w:bCs/>
        </w:rPr>
        <w:t xml:space="preserve">Sociāli tiesiskās izziņas sagatavošanas un izsniegšanas cenas tika apstiprinātas MK </w:t>
      </w:r>
      <w:r w:rsidR="00C22FE9">
        <w:rPr>
          <w:rFonts w:cs="Times New Roman"/>
          <w:bCs/>
        </w:rPr>
        <w:t>2012.gada 18.decembra</w:t>
      </w:r>
      <w:r w:rsidR="00C22FE9" w:rsidRPr="00E202CE">
        <w:rPr>
          <w:rFonts w:cs="Times New Roman"/>
          <w:bCs/>
        </w:rPr>
        <w:t xml:space="preserve"> </w:t>
      </w:r>
      <w:r w:rsidRPr="00E202CE">
        <w:rPr>
          <w:rFonts w:cs="Times New Roman"/>
          <w:bCs/>
        </w:rPr>
        <w:t>noteikumos Nr.887 “Par valsts nodevu par Latvijas Nacionālā arhīva sociāli tiesiskās izziņas sagatavošanu un izsniegšanu” 2012.</w:t>
      </w:r>
      <w:r w:rsidR="00CD332B">
        <w:rPr>
          <w:rFonts w:cs="Times New Roman"/>
          <w:bCs/>
        </w:rPr>
        <w:t xml:space="preserve"> </w:t>
      </w:r>
      <w:r w:rsidRPr="00E202CE">
        <w:rPr>
          <w:rFonts w:cs="Times New Roman"/>
          <w:bCs/>
        </w:rPr>
        <w:t>gada 18.</w:t>
      </w:r>
      <w:r w:rsidR="00CD332B">
        <w:rPr>
          <w:rFonts w:cs="Times New Roman"/>
          <w:bCs/>
        </w:rPr>
        <w:t xml:space="preserve"> </w:t>
      </w:r>
      <w:r w:rsidRPr="00E202CE">
        <w:rPr>
          <w:rFonts w:cs="Times New Roman"/>
          <w:bCs/>
        </w:rPr>
        <w:t xml:space="preserve">decembrī. Latvijai pārejot uz </w:t>
      </w:r>
      <w:r w:rsidRPr="00E202CE">
        <w:rPr>
          <w:rFonts w:cs="Times New Roman"/>
          <w:bCs/>
          <w:i/>
        </w:rPr>
        <w:t>euro</w:t>
      </w:r>
      <w:r w:rsidRPr="00E202CE">
        <w:rPr>
          <w:rFonts w:cs="Times New Roman"/>
          <w:bCs/>
        </w:rPr>
        <w:t xml:space="preserve"> kā nacionālo valūtu, 2014.</w:t>
      </w:r>
      <w:r w:rsidR="00CD332B">
        <w:rPr>
          <w:rFonts w:cs="Times New Roman"/>
          <w:bCs/>
        </w:rPr>
        <w:t xml:space="preserve"> </w:t>
      </w:r>
      <w:r w:rsidRPr="00E202CE">
        <w:rPr>
          <w:rFonts w:cs="Times New Roman"/>
          <w:bCs/>
        </w:rPr>
        <w:t>gada 1.</w:t>
      </w:r>
      <w:r w:rsidR="00CD332B">
        <w:rPr>
          <w:rFonts w:cs="Times New Roman"/>
          <w:bCs/>
        </w:rPr>
        <w:t xml:space="preserve"> </w:t>
      </w:r>
      <w:r w:rsidRPr="00E202CE">
        <w:rPr>
          <w:rFonts w:cs="Times New Roman"/>
          <w:bCs/>
        </w:rPr>
        <w:t xml:space="preserve">janvārī cenas tika konvertētas uz </w:t>
      </w:r>
      <w:r w:rsidRPr="00E202CE">
        <w:rPr>
          <w:rFonts w:cs="Times New Roman"/>
          <w:bCs/>
          <w:i/>
        </w:rPr>
        <w:t>euro</w:t>
      </w:r>
      <w:r w:rsidRPr="00E202CE">
        <w:rPr>
          <w:rFonts w:cs="Times New Roman"/>
          <w:bCs/>
        </w:rPr>
        <w:t xml:space="preserve"> valūtu, saglabājot esošo vērtību. Tas nozīmē, ka cenas nav aktualizētas kopš 2012.</w:t>
      </w:r>
      <w:r w:rsidR="00CD332B">
        <w:rPr>
          <w:rFonts w:cs="Times New Roman"/>
          <w:bCs/>
        </w:rPr>
        <w:t xml:space="preserve"> </w:t>
      </w:r>
      <w:r w:rsidRPr="00E202CE">
        <w:rPr>
          <w:rFonts w:cs="Times New Roman"/>
          <w:bCs/>
        </w:rPr>
        <w:t>gada.</w:t>
      </w:r>
      <w:r>
        <w:rPr>
          <w:rFonts w:cs="Times New Roman"/>
          <w:bCs/>
        </w:rPr>
        <w:t xml:space="preserve"> Ir vērts pieminēt, ka LNA publisko maksas pakalpojumu cenrādis</w:t>
      </w:r>
      <w:r>
        <w:rPr>
          <w:rStyle w:val="FootnoteReference"/>
          <w:rFonts w:cs="Times New Roman"/>
          <w:bCs/>
        </w:rPr>
        <w:footnoteReference w:id="80"/>
      </w:r>
      <w:r>
        <w:rPr>
          <w:rFonts w:cs="Times New Roman"/>
          <w:bCs/>
        </w:rPr>
        <w:t xml:space="preserve"> nav ticis aktualizēts kopš 2013.</w:t>
      </w:r>
      <w:r w:rsidR="00CD332B">
        <w:rPr>
          <w:rFonts w:cs="Times New Roman"/>
          <w:bCs/>
        </w:rPr>
        <w:t xml:space="preserve"> </w:t>
      </w:r>
      <w:r>
        <w:rPr>
          <w:rFonts w:cs="Times New Roman"/>
          <w:bCs/>
        </w:rPr>
        <w:t>gada 17.</w:t>
      </w:r>
      <w:r w:rsidR="00CD332B">
        <w:rPr>
          <w:rFonts w:cs="Times New Roman"/>
          <w:bCs/>
        </w:rPr>
        <w:t xml:space="preserve"> </w:t>
      </w:r>
      <w:r>
        <w:rPr>
          <w:rFonts w:cs="Times New Roman"/>
          <w:bCs/>
        </w:rPr>
        <w:t>septembra.</w:t>
      </w:r>
    </w:p>
    <w:p w14:paraId="41CF0843" w14:textId="77777777" w:rsidR="00DF0A9B" w:rsidRDefault="00DF0A9B" w:rsidP="00DF0A9B">
      <w:pPr>
        <w:ind w:firstLine="720"/>
        <w:jc w:val="both"/>
        <w:rPr>
          <w:rFonts w:cs="Times New Roman"/>
          <w:bCs/>
        </w:rPr>
      </w:pPr>
      <w:r w:rsidRPr="00E202CE">
        <w:rPr>
          <w:rFonts w:cs="Times New Roman"/>
          <w:bCs/>
        </w:rPr>
        <w:t xml:space="preserve">Nodevas apmēru nosaka pieprasīto faktu skaits un izziņas sagatavošanas laiks. Atbilstoši cenrādim, nodevas apmērs </w:t>
      </w:r>
      <w:r>
        <w:rPr>
          <w:rFonts w:cs="Times New Roman"/>
          <w:bCs/>
        </w:rPr>
        <w:t>robežojas no</w:t>
      </w:r>
      <w:r w:rsidRPr="00E202CE">
        <w:rPr>
          <w:rFonts w:cs="Times New Roman"/>
          <w:bCs/>
        </w:rPr>
        <w:t xml:space="preserve"> 14,23 </w:t>
      </w:r>
      <w:r w:rsidRPr="00E202CE">
        <w:rPr>
          <w:rFonts w:cs="Times New Roman"/>
          <w:bCs/>
          <w:i/>
        </w:rPr>
        <w:t>euro</w:t>
      </w:r>
      <w:r w:rsidRPr="00E202CE">
        <w:rPr>
          <w:rFonts w:cs="Times New Roman"/>
          <w:bCs/>
        </w:rPr>
        <w:t xml:space="preserve"> līdz 398,40 </w:t>
      </w:r>
      <w:r w:rsidRPr="00E202CE">
        <w:rPr>
          <w:rFonts w:cs="Times New Roman"/>
          <w:bCs/>
          <w:i/>
        </w:rPr>
        <w:t>euro</w:t>
      </w:r>
      <w:r w:rsidRPr="00E202CE">
        <w:rPr>
          <w:rFonts w:cs="Times New Roman"/>
          <w:bCs/>
        </w:rPr>
        <w:t>. Ņemot vēr</w:t>
      </w:r>
      <w:r>
        <w:rPr>
          <w:rFonts w:cs="Times New Roman"/>
          <w:bCs/>
        </w:rPr>
        <w:t>ā</w:t>
      </w:r>
      <w:r w:rsidRPr="00E202CE">
        <w:rPr>
          <w:rFonts w:cs="Times New Roman"/>
          <w:bCs/>
        </w:rPr>
        <w:t xml:space="preserve">, ka klients tiek informēts par nodevas apmēru pēc izziņas sagatavošanas, veidojas </w:t>
      </w:r>
      <w:r>
        <w:rPr>
          <w:rFonts w:cs="Times New Roman"/>
          <w:bCs/>
        </w:rPr>
        <w:t>gadījumi</w:t>
      </w:r>
      <w:r w:rsidRPr="00E202CE">
        <w:rPr>
          <w:rFonts w:cs="Times New Roman"/>
          <w:bCs/>
        </w:rPr>
        <w:t>, kad nodevas apmērs, klienta ieskatā, ir pārā</w:t>
      </w:r>
      <w:r>
        <w:rPr>
          <w:rFonts w:cs="Times New Roman"/>
          <w:bCs/>
        </w:rPr>
        <w:t xml:space="preserve">k augsts, līdz ar ko nodeva par izziņu netiek apmaksāta un izziņa netiek izsniegta. LNA 2019.gada publiskā pārskata sniegtā informācija liecina, ka 12% sagatavoto arhīva izziņu netika apmaksātas un izņemtas, kā rezultātā LNA nesaņēma 11 654,55 </w:t>
      </w:r>
      <w:r w:rsidRPr="00F17C94">
        <w:rPr>
          <w:rFonts w:cs="Times New Roman"/>
          <w:bCs/>
          <w:i/>
        </w:rPr>
        <w:t>euro</w:t>
      </w:r>
      <w:r>
        <w:rPr>
          <w:rFonts w:cs="Times New Roman"/>
          <w:bCs/>
        </w:rPr>
        <w:t xml:space="preserve"> par šo pakalpojumu. Lielu daļu no tām tika pieprasījušas maznodrošinātas personas un personas no valstīm, kurās līdzīgs arhīvu pakalpojums ir bez maksas.</w:t>
      </w:r>
    </w:p>
    <w:p w14:paraId="3E7CC237" w14:textId="17BA020F" w:rsidR="00DF0A9B" w:rsidRDefault="00DF0A9B" w:rsidP="00DF0A9B">
      <w:pPr>
        <w:ind w:firstLine="720"/>
        <w:jc w:val="both"/>
      </w:pPr>
      <w:r w:rsidRPr="007B34CF">
        <w:t>Ar MK 20</w:t>
      </w:r>
      <w:r>
        <w:t>16.</w:t>
      </w:r>
      <w:r w:rsidR="00CD332B">
        <w:t xml:space="preserve"> </w:t>
      </w:r>
      <w:r>
        <w:t>gada 31.</w:t>
      </w:r>
      <w:r w:rsidR="00CD332B">
        <w:t xml:space="preserve"> </w:t>
      </w:r>
      <w:r>
        <w:t>maija</w:t>
      </w:r>
      <w:r w:rsidRPr="007B34CF">
        <w:t xml:space="preserve"> sēdes protokolu </w:t>
      </w:r>
      <w:r w:rsidRPr="007464F2">
        <w:t>Nr.26 39.§</w:t>
      </w:r>
      <w:r>
        <w:t xml:space="preserve"> 6.22.punktu KM tika uzdots </w:t>
      </w:r>
      <w:r w:rsidRPr="007464F2">
        <w:t>veikt nepieciešamos pasākumus, lai nodrošinātu plānoto ieņēmumu no sociāli tiesiskās izziņas sagatavošanas un izsniegšanas nodevas izpildi 2016., 2017. un 2018.</w:t>
      </w:r>
      <w:r w:rsidR="00CD332B">
        <w:t xml:space="preserve"> </w:t>
      </w:r>
      <w:r w:rsidRPr="007464F2">
        <w:t xml:space="preserve">gadā 498 005 </w:t>
      </w:r>
      <w:r w:rsidRPr="007464F2">
        <w:rPr>
          <w:i/>
        </w:rPr>
        <w:t>euro</w:t>
      </w:r>
      <w:r w:rsidRPr="007464F2">
        <w:t xml:space="preserve"> apmērā katru gadu, tādējādi nodrošinot finansēšanas avotu </w:t>
      </w:r>
      <w:r>
        <w:t>KM</w:t>
      </w:r>
      <w:r w:rsidRPr="007464F2">
        <w:t xml:space="preserve"> budžeta programmas 21.00.00 “Kultūras mantojums” izdevumiem </w:t>
      </w:r>
      <w:r>
        <w:t>LNA</w:t>
      </w:r>
      <w:r w:rsidRPr="007464F2">
        <w:t xml:space="preserve"> darbības nodrošināšanai. Nenodrošinot sociāli </w:t>
      </w:r>
      <w:r w:rsidRPr="007464F2">
        <w:lastRenderedPageBreak/>
        <w:t xml:space="preserve">tiesiskās izziņas sagatavošanas un izsniegšanas nodevas ieņēmumu izpildi plānotajā apmērā, </w:t>
      </w:r>
      <w:r>
        <w:t>KM</w:t>
      </w:r>
      <w:r w:rsidRPr="007464F2">
        <w:t xml:space="preserve"> </w:t>
      </w:r>
      <w:r>
        <w:t xml:space="preserve">būtu nepieciešams </w:t>
      </w:r>
      <w:r w:rsidRPr="007464F2">
        <w:t>sagatavot un līdz 2016.</w:t>
      </w:r>
      <w:r w:rsidR="00CD332B">
        <w:t xml:space="preserve"> </w:t>
      </w:r>
      <w:r w:rsidRPr="007464F2">
        <w:t>gada 29.</w:t>
      </w:r>
      <w:r w:rsidR="00CD332B">
        <w:t xml:space="preserve"> </w:t>
      </w:r>
      <w:r w:rsidRPr="007464F2">
        <w:t xml:space="preserve">jūlijam iesniegt izskatīšanai </w:t>
      </w:r>
      <w:r>
        <w:t>MK</w:t>
      </w:r>
      <w:r w:rsidRPr="007464F2">
        <w:t xml:space="preserve"> priekšlikumus par atbilstošo izdevumu samazināšanu 2017. un 2018.</w:t>
      </w:r>
      <w:r w:rsidR="00CD332B">
        <w:t xml:space="preserve"> </w:t>
      </w:r>
      <w:r w:rsidRPr="007464F2">
        <w:t>gadam, ņemot vērā plānoto ieņēmumu faktiskās izpildes tendences</w:t>
      </w:r>
      <w:r>
        <w:t xml:space="preserve">. </w:t>
      </w:r>
    </w:p>
    <w:p w14:paraId="53338395" w14:textId="35EB274E" w:rsidR="00DF0A9B" w:rsidRPr="000B053B" w:rsidRDefault="00DF0A9B" w:rsidP="00DF0A9B">
      <w:pPr>
        <w:ind w:firstLine="720"/>
        <w:jc w:val="both"/>
      </w:pPr>
      <w:r>
        <w:t>KM sagatavoja grozījumus Arhīvu likumā, ar kuriem tika paredzēts, ka, ja sociāli tiesisko izziņu pieprasa institūcija privātpersonas tiesību nodrošināšanai, uz institūciju attiecināmi tādi paši noteikumi par valsts nodevas apmēru un maksāšanas kārtību, kādi noteikti privātpersonām. Sagatavotie grozījumi 2016.</w:t>
      </w:r>
      <w:r w:rsidR="00CD332B">
        <w:t xml:space="preserve"> </w:t>
      </w:r>
      <w:r>
        <w:t>gada 29.</w:t>
      </w:r>
      <w:r w:rsidR="00CD332B">
        <w:t xml:space="preserve"> </w:t>
      </w:r>
      <w:r>
        <w:t>jūlijā tika nosūtīti saskaņošanai FM un TM. TM atzinumā norādīja, ka grozījumi konceptuāli neatbilst Valsts pārvaldes iekārtas likumā un Administratīvā procesa likumā ietvertajam iestāžu sadarbības principam. Ņemot vērā TM iebildumu, grozījumi tālāk netika virzīti. Attiecībā uz MK protokollēmumā noteikto izdevumu samazinājumu KM norāda, ka LNA nebūtu iespējams turpināt pamatdarbības veikšanu un, ka nodevas apmēru palielināt nav iespējams, savukārt darba apjoms un saistītie izdevumi LNA par izziņu sagatavošanu nemazinās.</w:t>
      </w:r>
    </w:p>
    <w:p w14:paraId="7A4BCF88" w14:textId="2C9DCEAD" w:rsidR="00DF0A9B" w:rsidRPr="00170FA2" w:rsidRDefault="00DF0A9B" w:rsidP="00DF0A9B">
      <w:pPr>
        <w:ind w:firstLine="720"/>
        <w:jc w:val="both"/>
        <w:rPr>
          <w:rFonts w:cs="Times New Roman"/>
          <w:bCs/>
        </w:rPr>
      </w:pPr>
      <w:r w:rsidRPr="00E202CE">
        <w:rPr>
          <w:rFonts w:cs="Times New Roman"/>
          <w:bCs/>
        </w:rPr>
        <w:t xml:space="preserve">Ņemot vērā, ka nodevas par sociāli tiesiskās izziņas sagatavošanu un izsniegšanu izpilde ir ievērojami </w:t>
      </w:r>
      <w:r>
        <w:rPr>
          <w:rFonts w:cs="Times New Roman"/>
          <w:bCs/>
        </w:rPr>
        <w:t>mazāka nekā sākotnēji tiek plānots,</w:t>
      </w:r>
      <w:r w:rsidRPr="00E202CE">
        <w:rPr>
          <w:rFonts w:cs="Times New Roman"/>
          <w:bCs/>
        </w:rPr>
        <w:t xml:space="preserve"> ik gadu novērojama </w:t>
      </w:r>
      <w:r>
        <w:rPr>
          <w:rFonts w:cs="Times New Roman"/>
          <w:bCs/>
        </w:rPr>
        <w:t xml:space="preserve">būtiska </w:t>
      </w:r>
      <w:r w:rsidRPr="00E202CE">
        <w:rPr>
          <w:rFonts w:cs="Times New Roman"/>
          <w:bCs/>
        </w:rPr>
        <w:t>plāna neizpilde, dotācija</w:t>
      </w:r>
      <w:r>
        <w:rPr>
          <w:rFonts w:cs="Times New Roman"/>
          <w:bCs/>
        </w:rPr>
        <w:t xml:space="preserve">s apmēram paliekot </w:t>
      </w:r>
      <w:r w:rsidRPr="00E202CE">
        <w:rPr>
          <w:rFonts w:cs="Times New Roman"/>
          <w:bCs/>
        </w:rPr>
        <w:t>nemainīgā līmenī,</w:t>
      </w:r>
      <w:r>
        <w:rPr>
          <w:rFonts w:cs="Times New Roman"/>
          <w:bCs/>
        </w:rPr>
        <w:t xml:space="preserve"> kā arī </w:t>
      </w:r>
      <w:r w:rsidRPr="007B34CF">
        <w:t>MK 20</w:t>
      </w:r>
      <w:r>
        <w:t>16.gada 31.maija sēdes protokolā</w:t>
      </w:r>
      <w:r w:rsidRPr="007B34CF">
        <w:t xml:space="preserve"> </w:t>
      </w:r>
      <w:r w:rsidRPr="007464F2">
        <w:t>Nr.26 39.§</w:t>
      </w:r>
      <w:r>
        <w:t xml:space="preserve"> 6.22.punktā minēto uzdevumu,</w:t>
      </w:r>
      <w:r w:rsidRPr="00E202CE">
        <w:rPr>
          <w:rFonts w:cs="Times New Roman"/>
          <w:bCs/>
        </w:rPr>
        <w:t xml:space="preserve"> KM jāsniedz priekšlikumi par dotācijas </w:t>
      </w:r>
      <w:r>
        <w:rPr>
          <w:rFonts w:cs="Times New Roman"/>
          <w:bCs/>
        </w:rPr>
        <w:t>precizēšanu</w:t>
      </w:r>
      <w:r w:rsidRPr="00E202CE">
        <w:rPr>
          <w:rFonts w:cs="Times New Roman"/>
          <w:bCs/>
        </w:rPr>
        <w:t xml:space="preserve">, samērojot to ar nodevas ieņēmumiem, kā arī </w:t>
      </w:r>
      <w:r>
        <w:rPr>
          <w:rFonts w:cs="Times New Roman"/>
          <w:bCs/>
        </w:rPr>
        <w:t>atkārtoti jāizvērtē</w:t>
      </w:r>
      <w:r w:rsidRPr="00E202CE">
        <w:rPr>
          <w:rFonts w:cs="Times New Roman"/>
          <w:bCs/>
        </w:rPr>
        <w:t xml:space="preserve"> cenu</w:t>
      </w:r>
      <w:r>
        <w:rPr>
          <w:rFonts w:cs="Times New Roman"/>
          <w:bCs/>
        </w:rPr>
        <w:t xml:space="preserve"> atbilstība</w:t>
      </w:r>
      <w:r w:rsidRPr="00E202CE">
        <w:rPr>
          <w:rFonts w:cs="Times New Roman"/>
          <w:bCs/>
        </w:rPr>
        <w:t xml:space="preserve"> un</w:t>
      </w:r>
      <w:r>
        <w:rPr>
          <w:rFonts w:cs="Times New Roman"/>
          <w:bCs/>
        </w:rPr>
        <w:t xml:space="preserve"> kopējā pakalpojuma sniegšanas procedūra un aktualitāte</w:t>
      </w:r>
      <w:r w:rsidRPr="00E202CE">
        <w:rPr>
          <w:rFonts w:cs="Times New Roman"/>
          <w:bCs/>
        </w:rPr>
        <w:t>.</w:t>
      </w:r>
      <w:r w:rsidR="000C36DC">
        <w:rPr>
          <w:rFonts w:cs="Times New Roman"/>
          <w:bCs/>
        </w:rPr>
        <w:t xml:space="preserve"> KM informē</w:t>
      </w:r>
      <w:r w:rsidR="000C36DC" w:rsidRPr="000C36DC">
        <w:rPr>
          <w:rFonts w:cs="Times New Roman"/>
          <w:bCs/>
        </w:rPr>
        <w:t>, ka LNA gatavo MK noteikumu projektus: jaunu</w:t>
      </w:r>
      <w:r w:rsidR="000C36DC">
        <w:rPr>
          <w:rFonts w:cs="Times New Roman"/>
          <w:bCs/>
        </w:rPr>
        <w:t xml:space="preserve"> maksas pakalpojumu cenrādi un n</w:t>
      </w:r>
      <w:r w:rsidR="000C36DC" w:rsidRPr="000C36DC">
        <w:rPr>
          <w:rFonts w:cs="Times New Roman"/>
          <w:bCs/>
        </w:rPr>
        <w:t xml:space="preserve">oteikumus par valsts nodevu par </w:t>
      </w:r>
      <w:r w:rsidR="000C36DC">
        <w:rPr>
          <w:rFonts w:cs="Times New Roman"/>
          <w:bCs/>
        </w:rPr>
        <w:t xml:space="preserve">LNA </w:t>
      </w:r>
      <w:r w:rsidR="000C36DC" w:rsidRPr="000C36DC">
        <w:rPr>
          <w:rFonts w:cs="Times New Roman"/>
          <w:bCs/>
        </w:rPr>
        <w:t>tiesiskās izziņas sagatavošanu un izsniegšanu, kas paredz pilnīgu priekšapmaksu un atteikšanos no izcenojuma gradācijas atkarībā no izziņā ietverto faktu skaita.</w:t>
      </w:r>
    </w:p>
    <w:p w14:paraId="49657D88" w14:textId="77777777" w:rsidR="00DF0A9B" w:rsidRPr="00583BC8" w:rsidRDefault="00DF0A9B" w:rsidP="00DF0A9B">
      <w:pPr>
        <w:jc w:val="both"/>
        <w:rPr>
          <w:rFonts w:cs="Times New Roman"/>
          <w:b/>
          <w:bCs/>
          <w:sz w:val="28"/>
          <w:szCs w:val="28"/>
        </w:rPr>
      </w:pPr>
      <w:r w:rsidRPr="00763A63">
        <w:rPr>
          <w:rFonts w:cs="Times New Roman"/>
          <w:b/>
          <w:bCs/>
          <w:szCs w:val="28"/>
        </w:rPr>
        <w:t>Iekšlietu ministrija</w:t>
      </w:r>
    </w:p>
    <w:p w14:paraId="558D9E40" w14:textId="77777777" w:rsidR="00DF0A9B" w:rsidRPr="00E202CE" w:rsidRDefault="00DF0A9B" w:rsidP="00DF0A9B">
      <w:pPr>
        <w:ind w:firstLine="720"/>
        <w:jc w:val="both"/>
        <w:rPr>
          <w:rFonts w:cs="Times New Roman"/>
        </w:rPr>
      </w:pPr>
      <w:r w:rsidRPr="00E202CE">
        <w:rPr>
          <w:rFonts w:cs="Times New Roman"/>
        </w:rPr>
        <w:t>Saskaņā ar  Ceļu satiksmes likuma 43.</w:t>
      </w:r>
      <w:r w:rsidRPr="00E202CE">
        <w:rPr>
          <w:rFonts w:cs="Times New Roman"/>
          <w:vertAlign w:val="superscript"/>
        </w:rPr>
        <w:t xml:space="preserve">7 </w:t>
      </w:r>
      <w:r w:rsidRPr="00E202CE">
        <w:rPr>
          <w:rFonts w:cs="Times New Roman"/>
        </w:rPr>
        <w:t>panta (</w:t>
      </w:r>
      <w:r>
        <w:rPr>
          <w:rFonts w:cs="Times New Roman"/>
        </w:rPr>
        <w:t>p</w:t>
      </w:r>
      <w:r w:rsidRPr="00E202CE">
        <w:rPr>
          <w:rFonts w:cs="Times New Roman"/>
        </w:rPr>
        <w:t xml:space="preserve">ārkāpumu fiksēšana ar tehniskiem līdzekļiem, neapturot transportlīdzekli) pirmo daļu, lai </w:t>
      </w:r>
      <w:r>
        <w:rPr>
          <w:rFonts w:cs="Times New Roman"/>
        </w:rPr>
        <w:t>VP</w:t>
      </w:r>
      <w:r w:rsidRPr="00E202CE">
        <w:rPr>
          <w:rFonts w:cs="Times New Roman"/>
        </w:rPr>
        <w:t xml:space="preserve"> veiktu ceļu satiksmes uzraudzību, CSDD, pamatojoties uz deleģēšanas līgumu, kas noslēgts ar </w:t>
      </w:r>
      <w:r>
        <w:rPr>
          <w:rFonts w:cs="Times New Roman"/>
        </w:rPr>
        <w:t>VP</w:t>
      </w:r>
      <w:r w:rsidRPr="00E202CE">
        <w:rPr>
          <w:rFonts w:cs="Times New Roman"/>
        </w:rPr>
        <w:t>, var nodrošināt tehnisko līdzekļu (fotoiekārtas vai videoiekārtas) uzstādīšanu un to darbību pārkāpumu fiksēšanai, neapturot transportlīdzekli.</w:t>
      </w:r>
    </w:p>
    <w:p w14:paraId="4E262250" w14:textId="09026A09" w:rsidR="000C1A1F" w:rsidRPr="00CD332B" w:rsidRDefault="00DF0A9B" w:rsidP="00CD332B">
      <w:pPr>
        <w:ind w:firstLine="720"/>
        <w:jc w:val="both"/>
        <w:rPr>
          <w:rFonts w:cs="Times New Roman"/>
        </w:rPr>
      </w:pPr>
      <w:r w:rsidRPr="00A53B3F">
        <w:rPr>
          <w:rFonts w:cs="Times New Roman"/>
        </w:rPr>
        <w:t>Laika posmā no 2015.gada 12.februāra līdz 2018.gada 4.decembrim</w:t>
      </w:r>
      <w:r w:rsidRPr="00A53B3F">
        <w:rPr>
          <w:rFonts w:cs="Times New Roman"/>
          <w:b/>
        </w:rPr>
        <w:t xml:space="preserve">, </w:t>
      </w:r>
      <w:r w:rsidRPr="00A53B3F">
        <w:rPr>
          <w:rFonts w:cs="Times New Roman"/>
        </w:rPr>
        <w:t>ievērojot</w:t>
      </w:r>
      <w:r w:rsidRPr="00A53B3F">
        <w:rPr>
          <w:rFonts w:cs="Times New Roman"/>
          <w:b/>
        </w:rPr>
        <w:t xml:space="preserve"> </w:t>
      </w:r>
      <w:r w:rsidRPr="00A53B3F">
        <w:t xml:space="preserve">MK 2016.gada 14.novembra rīkojuma Nr.678 “Par konceptuālo ziņojumu “Par valsts akciju sabiedrības “Ceļu satiksmes drošības direkcija” uzstādīto stacionāro fotoradaru darbības rezultātiem, priekšlikumiem par tehnisko līdzekļu (fotoiekārtu vai videoiekārtu) turpmāko izmantošanu un fotoradaru iegādes, uzstādīšanas un darbības nodrošināšanas finansēšanu” </w:t>
      </w:r>
      <w:r w:rsidRPr="00A53B3F">
        <w:rPr>
          <w:rFonts w:cs="Times New Roman"/>
        </w:rPr>
        <w:t xml:space="preserve"> 1.1.apakšpunktā atbalstīto turpmākās fotoradaru ieviešanas risinājumu, CSDD </w:t>
      </w:r>
      <w:r w:rsidRPr="00A53B3F">
        <w:rPr>
          <w:rFonts w:cs="Times New Roman"/>
          <w:iCs/>
        </w:rPr>
        <w:t xml:space="preserve">četrās kārtās </w:t>
      </w:r>
      <w:r w:rsidRPr="00A53B3F">
        <w:rPr>
          <w:rFonts w:cs="Times New Roman"/>
        </w:rPr>
        <w:t>ir iegādājusies, uzstādījusi un nodevusi ekspluatācijā 100 fotoradarus.</w:t>
      </w:r>
      <w:bookmarkStart w:id="238" w:name="_Ref47098595"/>
    </w:p>
    <w:p w14:paraId="389C88D7" w14:textId="77777777" w:rsidR="001D1E19" w:rsidRDefault="001D1E19" w:rsidP="00763A63">
      <w:pPr>
        <w:pStyle w:val="Caption"/>
      </w:pPr>
      <w:bookmarkStart w:id="239" w:name="_Ref47443869"/>
    </w:p>
    <w:p w14:paraId="3642D0B6" w14:textId="77777777" w:rsidR="001D1E19" w:rsidRDefault="001D1E19" w:rsidP="00763A63">
      <w:pPr>
        <w:pStyle w:val="Caption"/>
      </w:pPr>
    </w:p>
    <w:p w14:paraId="66746E25" w14:textId="77777777" w:rsidR="001D1E19" w:rsidRDefault="001D1E19" w:rsidP="00763A63">
      <w:pPr>
        <w:pStyle w:val="Caption"/>
      </w:pPr>
    </w:p>
    <w:p w14:paraId="1C00D0A0" w14:textId="77777777" w:rsidR="001D1E19" w:rsidRDefault="001D1E19" w:rsidP="00763A63">
      <w:pPr>
        <w:pStyle w:val="Caption"/>
      </w:pPr>
    </w:p>
    <w:p w14:paraId="6AE69E65" w14:textId="5276174D" w:rsidR="00270663" w:rsidRDefault="00270663" w:rsidP="00A53FD1">
      <w:pPr>
        <w:pStyle w:val="Caption"/>
        <w:jc w:val="left"/>
      </w:pPr>
      <w:bookmarkStart w:id="240" w:name="_Ref47961868"/>
    </w:p>
    <w:p w14:paraId="1768C209" w14:textId="77777777" w:rsidR="00A53FD1" w:rsidRPr="00A53FD1" w:rsidRDefault="00A53FD1" w:rsidP="00A53FD1"/>
    <w:p w14:paraId="27FF30FA" w14:textId="77B9D709" w:rsidR="00763A63" w:rsidRDefault="00763A63" w:rsidP="00763A63">
      <w:pPr>
        <w:pStyle w:val="Caption"/>
        <w:rPr>
          <w:rFonts w:cs="Times New Roman"/>
          <w:b/>
        </w:rPr>
      </w:pPr>
      <w:bookmarkStart w:id="241" w:name="_Ref48129636"/>
      <w:r>
        <w:lastRenderedPageBreak/>
        <w:t xml:space="preserve">Attēls Nr. </w:t>
      </w:r>
      <w:fldSimple w:instr=" SEQ Attēls_Nr. \* ARABIC ">
        <w:r w:rsidR="00D96F20">
          <w:rPr>
            <w:noProof/>
          </w:rPr>
          <w:t>90</w:t>
        </w:r>
      </w:fldSimple>
      <w:bookmarkEnd w:id="238"/>
      <w:bookmarkEnd w:id="239"/>
      <w:bookmarkEnd w:id="240"/>
      <w:bookmarkEnd w:id="241"/>
    </w:p>
    <w:p w14:paraId="0406BF77" w14:textId="46940689" w:rsidR="00DF0A9B" w:rsidRPr="001E119C" w:rsidRDefault="00CD332B" w:rsidP="00CD332B">
      <w:pPr>
        <w:jc w:val="center"/>
        <w:rPr>
          <w:rFonts w:cs="Times New Roman"/>
          <w:b/>
        </w:rPr>
      </w:pPr>
      <w:r w:rsidRPr="00E202CE">
        <w:rPr>
          <w:rFonts w:cs="Times New Roman"/>
          <w:noProof/>
          <w:lang w:eastAsia="lv-LV"/>
        </w:rPr>
        <w:drawing>
          <wp:anchor distT="0" distB="0" distL="114300" distR="114300" simplePos="0" relativeHeight="251675648" behindDoc="0" locked="0" layoutInCell="1" allowOverlap="1" wp14:anchorId="25CC6347" wp14:editId="2A05EED9">
            <wp:simplePos x="0" y="0"/>
            <wp:positionH relativeFrom="margin">
              <wp:posOffset>144145</wp:posOffset>
            </wp:positionH>
            <wp:positionV relativeFrom="paragraph">
              <wp:posOffset>483235</wp:posOffset>
            </wp:positionV>
            <wp:extent cx="5605145" cy="3808095"/>
            <wp:effectExtent l="0" t="0" r="0" b="1905"/>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605145" cy="3808095"/>
                    </a:xfrm>
                    <a:prstGeom prst="rect">
                      <a:avLst/>
                    </a:prstGeom>
                    <a:noFill/>
                  </pic:spPr>
                </pic:pic>
              </a:graphicData>
            </a:graphic>
            <wp14:sizeRelH relativeFrom="margin">
              <wp14:pctWidth>0</wp14:pctWidth>
            </wp14:sizeRelH>
            <wp14:sizeRelV relativeFrom="margin">
              <wp14:pctHeight>0</wp14:pctHeight>
            </wp14:sizeRelV>
          </wp:anchor>
        </w:drawing>
      </w:r>
      <w:r w:rsidR="00DF0A9B">
        <w:rPr>
          <w:rFonts w:cs="Times New Roman"/>
          <w:b/>
        </w:rPr>
        <w:t xml:space="preserve">Naudas sodu par fotoradaru fiksētiem pārkāpumiem dinamika </w:t>
      </w:r>
      <w:r w:rsidR="00DF0A9B" w:rsidRPr="00E202CE">
        <w:rPr>
          <w:rFonts w:cs="Times New Roman"/>
          <w:b/>
        </w:rPr>
        <w:t xml:space="preserve"> (</w:t>
      </w:r>
      <w:r w:rsidR="00DF0A9B" w:rsidRPr="001E119C">
        <w:rPr>
          <w:rFonts w:cs="Times New Roman"/>
        </w:rPr>
        <w:t>milj</w:t>
      </w:r>
      <w:r w:rsidR="00DF0A9B" w:rsidRPr="00E202CE">
        <w:rPr>
          <w:rFonts w:cs="Times New Roman"/>
          <w:b/>
        </w:rPr>
        <w:t xml:space="preserve">. </w:t>
      </w:r>
      <w:r w:rsidR="00DF0A9B" w:rsidRPr="001E119C">
        <w:rPr>
          <w:rFonts w:cs="Times New Roman"/>
          <w:i/>
        </w:rPr>
        <w:t>euro</w:t>
      </w:r>
      <w:r w:rsidR="00DF0A9B" w:rsidRPr="00E202CE">
        <w:rPr>
          <w:rFonts w:cs="Times New Roman"/>
          <w:b/>
        </w:rPr>
        <w:t>) un izrakstīto protokolu skaits</w:t>
      </w:r>
    </w:p>
    <w:p w14:paraId="14A28613" w14:textId="77777777" w:rsidR="001D1E19" w:rsidRDefault="001D1E19" w:rsidP="006D24BB">
      <w:pPr>
        <w:pStyle w:val="Caption"/>
        <w:ind w:firstLine="720"/>
        <w:jc w:val="both"/>
        <w:rPr>
          <w:rFonts w:cs="Times New Roman"/>
          <w:szCs w:val="24"/>
        </w:rPr>
      </w:pPr>
    </w:p>
    <w:p w14:paraId="220EF851" w14:textId="0D2071A4" w:rsidR="00DF0A9B" w:rsidRPr="00E202CE" w:rsidRDefault="00DF0A9B" w:rsidP="006D24BB">
      <w:pPr>
        <w:pStyle w:val="Caption"/>
        <w:ind w:firstLine="720"/>
        <w:jc w:val="both"/>
        <w:rPr>
          <w:rFonts w:cs="Times New Roman"/>
          <w:szCs w:val="24"/>
        </w:rPr>
      </w:pPr>
      <w:r w:rsidRPr="00E202CE">
        <w:rPr>
          <w:rFonts w:cs="Times New Roman"/>
          <w:szCs w:val="24"/>
        </w:rPr>
        <w:t xml:space="preserve">Attēlā </w:t>
      </w:r>
      <w:r w:rsidR="00763A63">
        <w:rPr>
          <w:rFonts w:cs="Times New Roman"/>
          <w:szCs w:val="24"/>
        </w:rPr>
        <w:t>(</w:t>
      </w:r>
      <w:r w:rsidR="006D24BB">
        <w:rPr>
          <w:rFonts w:cs="Times New Roman"/>
          <w:szCs w:val="24"/>
        </w:rPr>
        <w:fldChar w:fldCharType="begin"/>
      </w:r>
      <w:r w:rsidR="006D24BB">
        <w:rPr>
          <w:rFonts w:cs="Times New Roman"/>
          <w:szCs w:val="24"/>
        </w:rPr>
        <w:instrText xml:space="preserve"> REF _Ref48129636 \h </w:instrText>
      </w:r>
      <w:r w:rsidR="006D24BB">
        <w:rPr>
          <w:rFonts w:cs="Times New Roman"/>
          <w:szCs w:val="24"/>
        </w:rPr>
      </w:r>
      <w:r w:rsidR="006D24BB">
        <w:rPr>
          <w:rFonts w:cs="Times New Roman"/>
          <w:szCs w:val="24"/>
        </w:rPr>
        <w:fldChar w:fldCharType="separate"/>
      </w:r>
      <w:r w:rsidR="00D96F20">
        <w:t xml:space="preserve">Attēls Nr. </w:t>
      </w:r>
      <w:r w:rsidR="00D96F20">
        <w:rPr>
          <w:noProof/>
        </w:rPr>
        <w:t>90</w:t>
      </w:r>
      <w:r w:rsidR="006D24BB">
        <w:rPr>
          <w:rFonts w:cs="Times New Roman"/>
          <w:szCs w:val="24"/>
        </w:rPr>
        <w:fldChar w:fldCharType="end"/>
      </w:r>
      <w:r w:rsidR="00763A63">
        <w:rPr>
          <w:rFonts w:cs="Times New Roman"/>
          <w:szCs w:val="24"/>
        </w:rPr>
        <w:t xml:space="preserve">) </w:t>
      </w:r>
      <w:r w:rsidRPr="00E202CE">
        <w:rPr>
          <w:rFonts w:cs="Times New Roman"/>
          <w:szCs w:val="24"/>
        </w:rPr>
        <w:t>redzama augšupejoša tendence izpildes rādītājos – 2019.</w:t>
      </w:r>
      <w:r w:rsidR="00CD332B">
        <w:rPr>
          <w:rFonts w:cs="Times New Roman"/>
          <w:szCs w:val="24"/>
        </w:rPr>
        <w:t xml:space="preserve"> </w:t>
      </w:r>
      <w:r w:rsidRPr="00E202CE">
        <w:rPr>
          <w:rFonts w:cs="Times New Roman"/>
          <w:szCs w:val="24"/>
        </w:rPr>
        <w:t>gadā, salīdzinot ar 2015.</w:t>
      </w:r>
      <w:r w:rsidR="00CD332B">
        <w:rPr>
          <w:rFonts w:cs="Times New Roman"/>
          <w:szCs w:val="24"/>
        </w:rPr>
        <w:t xml:space="preserve"> </w:t>
      </w:r>
      <w:r w:rsidRPr="00E202CE">
        <w:rPr>
          <w:rFonts w:cs="Times New Roman"/>
          <w:szCs w:val="24"/>
        </w:rPr>
        <w:t>gadu, iekasētā summa par stacionāro fotoradaru fiksētajiem pārkāpumiem ir palielinājusies vairāk kā 10 reizes, 2019.</w:t>
      </w:r>
      <w:r w:rsidR="00CD332B">
        <w:rPr>
          <w:rFonts w:cs="Times New Roman"/>
          <w:szCs w:val="24"/>
        </w:rPr>
        <w:t xml:space="preserve"> </w:t>
      </w:r>
      <w:r w:rsidRPr="00E202CE">
        <w:rPr>
          <w:rFonts w:cs="Times New Roman"/>
          <w:szCs w:val="24"/>
        </w:rPr>
        <w:t xml:space="preserve">gadā sasniedzot 10,7 milj. </w:t>
      </w:r>
      <w:r w:rsidRPr="00E202CE">
        <w:rPr>
          <w:rFonts w:cs="Times New Roman"/>
          <w:i/>
          <w:szCs w:val="24"/>
        </w:rPr>
        <w:t>euro</w:t>
      </w:r>
      <w:r w:rsidRPr="00E202CE">
        <w:rPr>
          <w:rFonts w:cs="Times New Roman"/>
          <w:szCs w:val="24"/>
        </w:rPr>
        <w:t xml:space="preserve">. Plānotais apmērs, savukārt, palielinājies seškārtīgi – no 2,5 milj. </w:t>
      </w:r>
      <w:r w:rsidRPr="00E202CE">
        <w:rPr>
          <w:rFonts w:cs="Times New Roman"/>
          <w:i/>
          <w:szCs w:val="24"/>
        </w:rPr>
        <w:t>euro</w:t>
      </w:r>
      <w:r w:rsidRPr="00E202CE">
        <w:rPr>
          <w:rFonts w:cs="Times New Roman"/>
          <w:szCs w:val="24"/>
        </w:rPr>
        <w:t xml:space="preserve"> 2015.</w:t>
      </w:r>
      <w:r w:rsidR="00CD332B">
        <w:rPr>
          <w:rFonts w:cs="Times New Roman"/>
          <w:szCs w:val="24"/>
        </w:rPr>
        <w:t xml:space="preserve"> </w:t>
      </w:r>
      <w:r w:rsidRPr="00E202CE">
        <w:rPr>
          <w:rFonts w:cs="Times New Roman"/>
          <w:szCs w:val="24"/>
        </w:rPr>
        <w:t xml:space="preserve">gadā uz 15,1 milj. </w:t>
      </w:r>
      <w:r w:rsidRPr="00E202CE">
        <w:rPr>
          <w:rFonts w:cs="Times New Roman"/>
          <w:i/>
          <w:szCs w:val="24"/>
        </w:rPr>
        <w:t>euro</w:t>
      </w:r>
      <w:r w:rsidRPr="00E202CE">
        <w:rPr>
          <w:rFonts w:cs="Times New Roman"/>
          <w:szCs w:val="24"/>
        </w:rPr>
        <w:t xml:space="preserve"> 2019.</w:t>
      </w:r>
      <w:r w:rsidR="00CD332B">
        <w:rPr>
          <w:rFonts w:cs="Times New Roman"/>
          <w:szCs w:val="24"/>
        </w:rPr>
        <w:t xml:space="preserve"> </w:t>
      </w:r>
      <w:r w:rsidRPr="00E202CE">
        <w:rPr>
          <w:rFonts w:cs="Times New Roman"/>
          <w:szCs w:val="24"/>
        </w:rPr>
        <w:t>gadā. 2018. un 2019.</w:t>
      </w:r>
      <w:r w:rsidR="00CD332B">
        <w:rPr>
          <w:rFonts w:cs="Times New Roman"/>
          <w:szCs w:val="24"/>
        </w:rPr>
        <w:t xml:space="preserve"> </w:t>
      </w:r>
      <w:r w:rsidRPr="00E202CE">
        <w:rPr>
          <w:rFonts w:cs="Times New Roman"/>
          <w:szCs w:val="24"/>
        </w:rPr>
        <w:t xml:space="preserve">gada plāna straujais pieaugums </w:t>
      </w:r>
      <w:r>
        <w:rPr>
          <w:rFonts w:cs="Times New Roman"/>
          <w:szCs w:val="24"/>
        </w:rPr>
        <w:t>saistīts ar</w:t>
      </w:r>
      <w:r w:rsidRPr="00E202CE">
        <w:rPr>
          <w:rFonts w:cs="Times New Roman"/>
          <w:szCs w:val="24"/>
        </w:rPr>
        <w:t xml:space="preserve"> 40 jaunu stacionāro fotoradaru darbības nodrošināšanu. Pretēji prognozētajam, ieņēmumu pieaugums nebija tik straujš, kas izskaidrojams ar fotoradaru darbība</w:t>
      </w:r>
      <w:r>
        <w:rPr>
          <w:rFonts w:cs="Times New Roman"/>
          <w:szCs w:val="24"/>
        </w:rPr>
        <w:t>s</w:t>
      </w:r>
      <w:r w:rsidRPr="00E202CE">
        <w:rPr>
          <w:rFonts w:cs="Times New Roman"/>
          <w:szCs w:val="24"/>
        </w:rPr>
        <w:t xml:space="preserve"> preventīvajiem mērķiem un autovadītāju informētību par to esamību.</w:t>
      </w:r>
    </w:p>
    <w:p w14:paraId="5117778C" w14:textId="0F7E7154" w:rsidR="00535A79" w:rsidRPr="00535A79" w:rsidRDefault="00DF0A9B" w:rsidP="00535A79">
      <w:pPr>
        <w:pStyle w:val="NoSpacing"/>
        <w:spacing w:after="160" w:line="259" w:lineRule="auto"/>
        <w:ind w:firstLine="720"/>
        <w:jc w:val="both"/>
        <w:rPr>
          <w:rFonts w:cs="Times New Roman"/>
          <w:szCs w:val="24"/>
        </w:rPr>
      </w:pPr>
      <w:r w:rsidRPr="00E202CE">
        <w:rPr>
          <w:rFonts w:cs="Times New Roman"/>
          <w:szCs w:val="24"/>
        </w:rPr>
        <w:t>Pieaugums novērojams arī fiksēto protokolu skaitā – 2019.</w:t>
      </w:r>
      <w:r w:rsidR="00CD332B">
        <w:rPr>
          <w:rFonts w:cs="Times New Roman"/>
          <w:szCs w:val="24"/>
        </w:rPr>
        <w:t xml:space="preserve"> </w:t>
      </w:r>
      <w:r w:rsidRPr="00E202CE">
        <w:rPr>
          <w:rFonts w:cs="Times New Roman"/>
          <w:szCs w:val="24"/>
        </w:rPr>
        <w:t>gadā izrakstīto protokolu skaits sasniedza 302 638, kas ir par 6 reizēm vairāk kā 2015.gadā (49 666). Jāņem vērā, ka stacionārie fotoradari fiksē ne tikai atļautā braukšanas ātruma pārkāpumus, bet arī tiek pārbaudīt</w:t>
      </w:r>
      <w:r>
        <w:rPr>
          <w:rFonts w:cs="Times New Roman"/>
          <w:szCs w:val="24"/>
        </w:rPr>
        <w:t>a</w:t>
      </w:r>
      <w:r w:rsidRPr="00E202CE">
        <w:rPr>
          <w:rFonts w:cs="Times New Roman"/>
          <w:szCs w:val="24"/>
        </w:rPr>
        <w:t xml:space="preserve"> </w:t>
      </w:r>
      <w:r>
        <w:rPr>
          <w:rFonts w:cs="Times New Roman"/>
          <w:szCs w:val="24"/>
        </w:rPr>
        <w:t xml:space="preserve">obligātās civiltiesiskās apdrošināšanas </w:t>
      </w:r>
      <w:r w:rsidRPr="00E202CE">
        <w:rPr>
          <w:rFonts w:cs="Times New Roman"/>
          <w:szCs w:val="24"/>
        </w:rPr>
        <w:t xml:space="preserve">polises un </w:t>
      </w:r>
      <w:r>
        <w:rPr>
          <w:rFonts w:cs="Times New Roman"/>
          <w:szCs w:val="24"/>
        </w:rPr>
        <w:t>transportlīdzekļa</w:t>
      </w:r>
      <w:r w:rsidRPr="00E202CE">
        <w:rPr>
          <w:rFonts w:cs="Times New Roman"/>
          <w:szCs w:val="24"/>
        </w:rPr>
        <w:t xml:space="preserve"> tehniskās apskates esamība, kā arī </w:t>
      </w:r>
      <w:r>
        <w:rPr>
          <w:rFonts w:cs="Times New Roman"/>
          <w:szCs w:val="24"/>
        </w:rPr>
        <w:t>ALN</w:t>
      </w:r>
      <w:r w:rsidRPr="00E202CE">
        <w:rPr>
          <w:rFonts w:cs="Times New Roman"/>
          <w:szCs w:val="24"/>
        </w:rPr>
        <w:t xml:space="preserve"> apmaksas fakts. 2019.gadā stacionāro fotoradaru fiksēto pārkāpumu skaits, kas nav bijis saistīts ar ātruma pārsniegšanu, veidoja 1,4% no kopējā protokolu skaita (3 478 gadījumi). </w:t>
      </w:r>
      <w:bookmarkStart w:id="242" w:name="_Ref47098646"/>
    </w:p>
    <w:p w14:paraId="66C22BAA" w14:textId="77777777" w:rsidR="001D1E19" w:rsidRDefault="001D1E19" w:rsidP="00763A63">
      <w:pPr>
        <w:pStyle w:val="Caption"/>
      </w:pPr>
    </w:p>
    <w:p w14:paraId="096B784A" w14:textId="77777777" w:rsidR="001D1E19" w:rsidRDefault="001D1E19" w:rsidP="00763A63">
      <w:pPr>
        <w:pStyle w:val="Caption"/>
      </w:pPr>
    </w:p>
    <w:p w14:paraId="1A70564E" w14:textId="035FD7E7" w:rsidR="00270663" w:rsidRDefault="00270663" w:rsidP="00270663">
      <w:pPr>
        <w:rPr>
          <w:iCs/>
          <w:szCs w:val="18"/>
        </w:rPr>
      </w:pPr>
    </w:p>
    <w:p w14:paraId="0EEA595E" w14:textId="048DBC0A" w:rsidR="00FF369C" w:rsidRDefault="00FF369C" w:rsidP="00270663"/>
    <w:p w14:paraId="4C73822E" w14:textId="77777777" w:rsidR="00A53FD1" w:rsidRPr="00270663" w:rsidRDefault="00A53FD1" w:rsidP="00270663"/>
    <w:p w14:paraId="57AD9811" w14:textId="4C8BBB94" w:rsidR="00763A63" w:rsidRDefault="00763A63" w:rsidP="00763A63">
      <w:pPr>
        <w:pStyle w:val="Caption"/>
        <w:rPr>
          <w:rFonts w:cs="Times New Roman"/>
          <w:szCs w:val="24"/>
        </w:rPr>
      </w:pPr>
      <w:bookmarkStart w:id="243" w:name="_Ref47961983"/>
      <w:r>
        <w:lastRenderedPageBreak/>
        <w:t xml:space="preserve">Attēls Nr. </w:t>
      </w:r>
      <w:fldSimple w:instr=" SEQ Attēls_Nr. \* ARABIC ">
        <w:r w:rsidR="00D96F20">
          <w:rPr>
            <w:noProof/>
          </w:rPr>
          <w:t>91</w:t>
        </w:r>
      </w:fldSimple>
      <w:bookmarkEnd w:id="242"/>
      <w:bookmarkEnd w:id="243"/>
    </w:p>
    <w:p w14:paraId="39AFB9BD" w14:textId="77777777" w:rsidR="00DF0A9B" w:rsidRPr="00E202CE" w:rsidRDefault="00DF0A9B" w:rsidP="00DF0A9B">
      <w:pPr>
        <w:pStyle w:val="NoSpacing"/>
        <w:spacing w:after="160" w:line="259" w:lineRule="auto"/>
        <w:ind w:firstLine="720"/>
        <w:jc w:val="center"/>
        <w:rPr>
          <w:rFonts w:cs="Times New Roman"/>
          <w:b/>
          <w:szCs w:val="24"/>
        </w:rPr>
      </w:pPr>
      <w:r w:rsidRPr="00E202CE">
        <w:rPr>
          <w:rFonts w:cs="Times New Roman"/>
          <w:b/>
          <w:szCs w:val="24"/>
        </w:rPr>
        <w:t>Vidējie ieņēmumi no fiksētiem pārkāpumiem uz 1 stacionāro radaru</w:t>
      </w:r>
      <w:r>
        <w:rPr>
          <w:rFonts w:cs="Times New Roman"/>
          <w:b/>
          <w:szCs w:val="24"/>
        </w:rPr>
        <w:t xml:space="preserve"> (</w:t>
      </w:r>
      <w:r w:rsidRPr="00170FA2">
        <w:rPr>
          <w:rFonts w:cs="Times New Roman"/>
          <w:i/>
          <w:szCs w:val="24"/>
        </w:rPr>
        <w:t>euro</w:t>
      </w:r>
      <w:r>
        <w:rPr>
          <w:rFonts w:cs="Times New Roman"/>
          <w:b/>
          <w:szCs w:val="24"/>
        </w:rPr>
        <w:t>)</w:t>
      </w:r>
      <w:r w:rsidRPr="00E202CE">
        <w:rPr>
          <w:rFonts w:cs="Times New Roman"/>
          <w:b/>
          <w:szCs w:val="24"/>
        </w:rPr>
        <w:t xml:space="preserve"> un vidējais protokolu skaits uz 1 radaru</w:t>
      </w:r>
    </w:p>
    <w:p w14:paraId="25756147" w14:textId="77777777" w:rsidR="00DF0A9B" w:rsidRPr="00E202CE" w:rsidRDefault="00DF0A9B" w:rsidP="00CD332B">
      <w:pPr>
        <w:pStyle w:val="NoSpacing"/>
        <w:spacing w:after="160" w:line="259" w:lineRule="auto"/>
        <w:jc w:val="center"/>
        <w:rPr>
          <w:rFonts w:cs="Times New Roman"/>
          <w:szCs w:val="24"/>
        </w:rPr>
      </w:pPr>
      <w:r>
        <w:rPr>
          <w:noProof/>
          <w:lang w:eastAsia="lv-LV"/>
        </w:rPr>
        <w:drawing>
          <wp:inline distT="0" distB="0" distL="0" distR="0" wp14:anchorId="5C11BBF3" wp14:editId="307A8816">
            <wp:extent cx="5724525" cy="2353586"/>
            <wp:effectExtent l="0" t="0" r="9525" b="889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23219D90" w14:textId="566B2B80" w:rsidR="00DF0A9B" w:rsidRPr="00E202CE" w:rsidRDefault="00DF0A9B" w:rsidP="006B1D04">
      <w:pPr>
        <w:pStyle w:val="NoSpacing"/>
        <w:spacing w:after="120" w:line="259" w:lineRule="auto"/>
        <w:ind w:firstLine="720"/>
        <w:jc w:val="both"/>
        <w:rPr>
          <w:rFonts w:cs="Times New Roman"/>
          <w:szCs w:val="24"/>
        </w:rPr>
      </w:pPr>
      <w:r w:rsidRPr="00E202CE">
        <w:rPr>
          <w:rFonts w:cs="Times New Roman"/>
          <w:szCs w:val="24"/>
        </w:rPr>
        <w:t xml:space="preserve">Attēlā </w:t>
      </w:r>
      <w:r w:rsidR="00763A63">
        <w:rPr>
          <w:rFonts w:cs="Times New Roman"/>
          <w:szCs w:val="24"/>
        </w:rPr>
        <w:t>(</w:t>
      </w:r>
      <w:r w:rsidR="001D1E19">
        <w:rPr>
          <w:rFonts w:cs="Times New Roman"/>
          <w:szCs w:val="24"/>
        </w:rPr>
        <w:fldChar w:fldCharType="begin"/>
      </w:r>
      <w:r w:rsidR="001D1E19">
        <w:rPr>
          <w:rFonts w:cs="Times New Roman"/>
          <w:szCs w:val="24"/>
        </w:rPr>
        <w:instrText xml:space="preserve"> REF _Ref47961983 \h </w:instrText>
      </w:r>
      <w:r w:rsidR="001D1E19">
        <w:rPr>
          <w:rFonts w:cs="Times New Roman"/>
          <w:szCs w:val="24"/>
        </w:rPr>
      </w:r>
      <w:r w:rsidR="001D1E19">
        <w:rPr>
          <w:rFonts w:cs="Times New Roman"/>
          <w:szCs w:val="24"/>
        </w:rPr>
        <w:fldChar w:fldCharType="separate"/>
      </w:r>
      <w:r w:rsidR="00D96F20">
        <w:t xml:space="preserve">Attēls Nr. </w:t>
      </w:r>
      <w:r w:rsidR="00D96F20">
        <w:rPr>
          <w:noProof/>
        </w:rPr>
        <w:t>91</w:t>
      </w:r>
      <w:r w:rsidR="001D1E19">
        <w:rPr>
          <w:rFonts w:cs="Times New Roman"/>
          <w:szCs w:val="24"/>
        </w:rPr>
        <w:fldChar w:fldCharType="end"/>
      </w:r>
      <w:r w:rsidR="00763A63">
        <w:rPr>
          <w:rFonts w:cs="Times New Roman"/>
          <w:szCs w:val="24"/>
        </w:rPr>
        <w:t xml:space="preserve">) </w:t>
      </w:r>
      <w:r w:rsidRPr="00E202CE">
        <w:rPr>
          <w:rFonts w:cs="Times New Roman"/>
          <w:szCs w:val="24"/>
        </w:rPr>
        <w:t>redzama stacionāro fotoradaru efektivitāte, kas kopumā vērtējama kā pozitīva. Rādītāju kritums 2016. un 2018.</w:t>
      </w:r>
      <w:r w:rsidR="002F2CC1">
        <w:rPr>
          <w:rFonts w:cs="Times New Roman"/>
          <w:szCs w:val="24"/>
        </w:rPr>
        <w:t xml:space="preserve"> </w:t>
      </w:r>
      <w:r w:rsidRPr="00E202CE">
        <w:rPr>
          <w:rFonts w:cs="Times New Roman"/>
          <w:szCs w:val="24"/>
        </w:rPr>
        <w:t>gadā saistīts ar jaunu stacionāro fotoradaru uzstādīšanu, kā arī to preventīvo mērķu uzlabošanos kopumā</w:t>
      </w:r>
      <w:r w:rsidR="007D0CCF">
        <w:rPr>
          <w:rFonts w:cs="Times New Roman"/>
          <w:szCs w:val="24"/>
        </w:rPr>
        <w:t xml:space="preserve"> un </w:t>
      </w:r>
      <w:r w:rsidRPr="00E202CE">
        <w:rPr>
          <w:rFonts w:cs="Times New Roman"/>
          <w:szCs w:val="24"/>
        </w:rPr>
        <w:t xml:space="preserve"> autovadītāj</w:t>
      </w:r>
      <w:r w:rsidR="007D0CCF">
        <w:rPr>
          <w:rFonts w:cs="Times New Roman"/>
          <w:szCs w:val="24"/>
        </w:rPr>
        <w:t>u rīcību</w:t>
      </w:r>
      <w:r w:rsidRPr="00E202CE">
        <w:rPr>
          <w:rFonts w:cs="Times New Roman"/>
          <w:szCs w:val="24"/>
        </w:rPr>
        <w:t xml:space="preserve"> samazin</w:t>
      </w:r>
      <w:r w:rsidR="007D0CCF">
        <w:rPr>
          <w:rFonts w:cs="Times New Roman"/>
          <w:szCs w:val="24"/>
        </w:rPr>
        <w:t>ot</w:t>
      </w:r>
      <w:r w:rsidRPr="00E202CE">
        <w:rPr>
          <w:rFonts w:cs="Times New Roman"/>
          <w:szCs w:val="24"/>
        </w:rPr>
        <w:t xml:space="preserve"> ātrum</w:t>
      </w:r>
      <w:r w:rsidR="007D0CCF">
        <w:rPr>
          <w:rFonts w:cs="Times New Roman"/>
          <w:szCs w:val="24"/>
        </w:rPr>
        <w:t>a pārsniegšanu</w:t>
      </w:r>
      <w:r w:rsidR="00D96F20">
        <w:rPr>
          <w:rFonts w:cs="Times New Roman"/>
          <w:szCs w:val="24"/>
        </w:rPr>
        <w:t xml:space="preserve"> </w:t>
      </w:r>
      <w:r w:rsidRPr="00E202CE">
        <w:rPr>
          <w:rFonts w:cs="Times New Roman"/>
          <w:szCs w:val="24"/>
        </w:rPr>
        <w:t>pirms uzstādītajiem fotoradariem). Neskatoties uz to, ka vidējais protokolu skaits uz 1 fotoradaru nav būtiski mainījies, vidējie ieņēmumi uz 1 fotoradaru 2019.</w:t>
      </w:r>
      <w:r w:rsidR="002F2CC1">
        <w:rPr>
          <w:rFonts w:cs="Times New Roman"/>
          <w:szCs w:val="24"/>
        </w:rPr>
        <w:t xml:space="preserve"> </w:t>
      </w:r>
      <w:bookmarkStart w:id="244" w:name="_GoBack"/>
      <w:bookmarkEnd w:id="244"/>
      <w:r w:rsidRPr="00E202CE">
        <w:rPr>
          <w:rFonts w:cs="Times New Roman"/>
          <w:szCs w:val="24"/>
        </w:rPr>
        <w:t xml:space="preserve">gadā bija 106 573 </w:t>
      </w:r>
      <w:r w:rsidRPr="00E202CE">
        <w:rPr>
          <w:rFonts w:cs="Times New Roman"/>
          <w:i/>
          <w:szCs w:val="24"/>
        </w:rPr>
        <w:t>euro</w:t>
      </w:r>
      <w:r w:rsidRPr="00E202CE">
        <w:rPr>
          <w:rFonts w:cs="Times New Roman"/>
          <w:szCs w:val="24"/>
        </w:rPr>
        <w:t>, kas ir gandrīz 2 reizes vairāk nekā 2015.</w:t>
      </w:r>
      <w:r w:rsidR="002F2CC1">
        <w:rPr>
          <w:rFonts w:cs="Times New Roman"/>
          <w:szCs w:val="24"/>
        </w:rPr>
        <w:t xml:space="preserve"> </w:t>
      </w:r>
      <w:r w:rsidRPr="00E202CE">
        <w:rPr>
          <w:rFonts w:cs="Times New Roman"/>
          <w:szCs w:val="24"/>
        </w:rPr>
        <w:t>gadā. Vērts pieminēt, ka laikposmā no 2015. līdz 2019.</w:t>
      </w:r>
      <w:r w:rsidR="002F2CC1">
        <w:rPr>
          <w:rFonts w:cs="Times New Roman"/>
          <w:szCs w:val="24"/>
        </w:rPr>
        <w:t xml:space="preserve"> </w:t>
      </w:r>
      <w:r w:rsidRPr="00E202CE">
        <w:rPr>
          <w:rFonts w:cs="Times New Roman"/>
          <w:szCs w:val="24"/>
        </w:rPr>
        <w:t>gadam ir palielinājušies soda apmēri par atļautā ātruma pārsniegšanu.</w:t>
      </w:r>
    </w:p>
    <w:p w14:paraId="5BA65CB3" w14:textId="3F589BB5" w:rsidR="00DF0A9B" w:rsidRDefault="00DF0A9B" w:rsidP="006B1D04">
      <w:pPr>
        <w:pStyle w:val="NoSpacing"/>
        <w:spacing w:after="120" w:line="259" w:lineRule="auto"/>
        <w:ind w:firstLine="720"/>
        <w:jc w:val="both"/>
        <w:rPr>
          <w:rFonts w:cs="Times New Roman"/>
          <w:szCs w:val="24"/>
        </w:rPr>
      </w:pPr>
      <w:r w:rsidRPr="00E202CE">
        <w:rPr>
          <w:rFonts w:cs="Times New Roman"/>
          <w:szCs w:val="24"/>
        </w:rPr>
        <w:t>Kopumā stacionāro fotoradaru darbība un ieņēmumu izpildes rādītāji vērtējami kā pozitīvi. IeM ir precizējuši turpmāko gadu plānotos iekasētos apmērus par fotoradaru fiksētajiem pārkāpumiem, kas atbilst 2018. un 2019.</w:t>
      </w:r>
      <w:r w:rsidR="00EF7242">
        <w:rPr>
          <w:rFonts w:cs="Times New Roman"/>
          <w:szCs w:val="24"/>
        </w:rPr>
        <w:t xml:space="preserve"> </w:t>
      </w:r>
      <w:r w:rsidRPr="00E202CE">
        <w:rPr>
          <w:rFonts w:cs="Times New Roman"/>
          <w:szCs w:val="24"/>
        </w:rPr>
        <w:t>gada izpildes rādītājiem.</w:t>
      </w:r>
    </w:p>
    <w:p w14:paraId="1235A875" w14:textId="726D2B82" w:rsidR="00CC72FB" w:rsidRPr="00CC72FB" w:rsidRDefault="00CC72FB" w:rsidP="00CC72FB">
      <w:pPr>
        <w:pStyle w:val="NoSpacing"/>
        <w:spacing w:after="120" w:line="259" w:lineRule="auto"/>
        <w:ind w:firstLine="709"/>
        <w:jc w:val="both"/>
        <w:rPr>
          <w:rFonts w:cs="Times New Roman"/>
          <w:b/>
          <w:szCs w:val="24"/>
        </w:rPr>
      </w:pPr>
      <w:r w:rsidRPr="00CC72FB">
        <w:rPr>
          <w:rFonts w:cs="Times New Roman"/>
          <w:b/>
          <w:szCs w:val="24"/>
        </w:rPr>
        <w:t xml:space="preserve">Secinājumi un </w:t>
      </w:r>
      <w:r>
        <w:rPr>
          <w:rFonts w:cs="Times New Roman"/>
          <w:b/>
          <w:szCs w:val="24"/>
        </w:rPr>
        <w:t>priekšlikumi</w:t>
      </w:r>
    </w:p>
    <w:p w14:paraId="183F327F" w14:textId="2181F8E2" w:rsidR="00DF0A9B" w:rsidRDefault="00DF0A9B" w:rsidP="009238F0">
      <w:pPr>
        <w:pStyle w:val="NoSpacing"/>
        <w:spacing w:after="120" w:line="259" w:lineRule="auto"/>
        <w:jc w:val="both"/>
        <w:rPr>
          <w:rFonts w:cs="Times New Roman"/>
          <w:szCs w:val="24"/>
        </w:rPr>
      </w:pPr>
      <w:r>
        <w:rPr>
          <w:rFonts w:cs="Times New Roman"/>
          <w:szCs w:val="24"/>
        </w:rPr>
        <w:t xml:space="preserve">Izvērtējot atsevišķu nodevu izpildes dinamiku, var secināt, ka </w:t>
      </w:r>
    </w:p>
    <w:p w14:paraId="4B80E217" w14:textId="77777777" w:rsidR="00DF0A9B" w:rsidRDefault="00DF0A9B" w:rsidP="006B1D04">
      <w:pPr>
        <w:pStyle w:val="NoSpacing"/>
        <w:numPr>
          <w:ilvl w:val="0"/>
          <w:numId w:val="25"/>
        </w:numPr>
        <w:spacing w:after="120" w:line="259" w:lineRule="auto"/>
        <w:jc w:val="both"/>
        <w:rPr>
          <w:rFonts w:cs="Times New Roman"/>
          <w:szCs w:val="24"/>
        </w:rPr>
      </w:pPr>
      <w:r>
        <w:rPr>
          <w:rFonts w:cs="Times New Roman"/>
          <w:szCs w:val="24"/>
        </w:rPr>
        <w:t>vairumā gadījumu ieņēmumu izpilde nesasniedz plānotos apmērus;</w:t>
      </w:r>
    </w:p>
    <w:p w14:paraId="2A6E6FC9" w14:textId="77777777" w:rsidR="00DF0A9B" w:rsidRDefault="00DF0A9B" w:rsidP="006B1D04">
      <w:pPr>
        <w:pStyle w:val="NoSpacing"/>
        <w:numPr>
          <w:ilvl w:val="0"/>
          <w:numId w:val="25"/>
        </w:numPr>
        <w:spacing w:after="120" w:line="259" w:lineRule="auto"/>
        <w:jc w:val="both"/>
        <w:rPr>
          <w:rFonts w:cs="Times New Roman"/>
          <w:szCs w:val="24"/>
        </w:rPr>
      </w:pPr>
      <w:r>
        <w:rPr>
          <w:rFonts w:cs="Times New Roman"/>
          <w:szCs w:val="24"/>
        </w:rPr>
        <w:t>turpmāko gadu ieņēmumu plānošanā netiek ņemti vērā iepriekšējo gadu izpildes rādītāji, kā arī ir gadījumi, kad izpildes rādītājiem paliekot nemainīgiem vai samazinoties, ieņēmumu plāns tiek palielināts.</w:t>
      </w:r>
    </w:p>
    <w:p w14:paraId="69C34D48" w14:textId="1B5A5405" w:rsidR="00DF0A9B" w:rsidRDefault="00684AA1" w:rsidP="006B1D04">
      <w:pPr>
        <w:pStyle w:val="NoSpacing"/>
        <w:spacing w:after="120" w:line="259" w:lineRule="auto"/>
        <w:ind w:firstLine="360"/>
        <w:jc w:val="both"/>
        <w:rPr>
          <w:rFonts w:cs="Times New Roman"/>
          <w:szCs w:val="24"/>
        </w:rPr>
      </w:pPr>
      <w:r>
        <w:rPr>
          <w:rFonts w:cs="Times New Roman"/>
          <w:szCs w:val="24"/>
        </w:rPr>
        <w:t>P</w:t>
      </w:r>
      <w:r w:rsidR="00DF0A9B">
        <w:rPr>
          <w:rFonts w:cs="Times New Roman"/>
          <w:szCs w:val="24"/>
        </w:rPr>
        <w:t>riekšlikum</w:t>
      </w:r>
      <w:r>
        <w:rPr>
          <w:rFonts w:cs="Times New Roman"/>
          <w:szCs w:val="24"/>
        </w:rPr>
        <w:t>s</w:t>
      </w:r>
      <w:r w:rsidR="00DF0A9B">
        <w:rPr>
          <w:rFonts w:cs="Times New Roman"/>
          <w:szCs w:val="24"/>
        </w:rPr>
        <w:t>:</w:t>
      </w:r>
    </w:p>
    <w:p w14:paraId="0478A624" w14:textId="4018E0DE" w:rsidR="00DF0A9B" w:rsidRDefault="00DF0A9B" w:rsidP="006B1D04">
      <w:pPr>
        <w:pStyle w:val="NoSpacing"/>
        <w:numPr>
          <w:ilvl w:val="0"/>
          <w:numId w:val="25"/>
        </w:numPr>
        <w:spacing w:after="120" w:line="259" w:lineRule="auto"/>
        <w:jc w:val="both"/>
        <w:rPr>
          <w:rFonts w:cs="Times New Roman"/>
          <w:szCs w:val="24"/>
        </w:rPr>
      </w:pPr>
      <w:r>
        <w:rPr>
          <w:rFonts w:cs="Times New Roman"/>
          <w:szCs w:val="24"/>
        </w:rPr>
        <w:t>a</w:t>
      </w:r>
      <w:r w:rsidRPr="005E668D">
        <w:rPr>
          <w:rFonts w:cs="Times New Roman"/>
          <w:szCs w:val="24"/>
        </w:rPr>
        <w:t>tbildīgajām ministrijām</w:t>
      </w:r>
      <w:r>
        <w:rPr>
          <w:rFonts w:cs="Times New Roman"/>
          <w:szCs w:val="24"/>
        </w:rPr>
        <w:t>,</w:t>
      </w:r>
      <w:r w:rsidRPr="005E668D">
        <w:rPr>
          <w:rFonts w:cs="Times New Roman"/>
          <w:szCs w:val="24"/>
        </w:rPr>
        <w:t xml:space="preserve"> sniedzot priekšlikumus gadskārtēja budžeta likumprojekta</w:t>
      </w:r>
      <w:r w:rsidR="009238F0">
        <w:rPr>
          <w:rFonts w:cs="Times New Roman"/>
          <w:szCs w:val="24"/>
        </w:rPr>
        <w:t>m</w:t>
      </w:r>
      <w:r w:rsidRPr="005E668D">
        <w:rPr>
          <w:rFonts w:cs="Times New Roman"/>
          <w:szCs w:val="24"/>
        </w:rPr>
        <w:t xml:space="preserve"> un prognozējot izdevumus un ar to segšanu saistītus ieņēmumus no valsts nodevu iekasēšanas apmērus, ņemt vērā iepriekšējo gadu izpildes rādītājus un to dina</w:t>
      </w:r>
      <w:r w:rsidR="0003076D">
        <w:rPr>
          <w:rFonts w:cs="Times New Roman"/>
          <w:szCs w:val="24"/>
        </w:rPr>
        <w:t>miku</w:t>
      </w:r>
      <w:r>
        <w:rPr>
          <w:rFonts w:cs="Times New Roman"/>
          <w:szCs w:val="24"/>
        </w:rPr>
        <w:t>.</w:t>
      </w:r>
    </w:p>
    <w:p w14:paraId="238A6488" w14:textId="77777777" w:rsidR="00710715" w:rsidRDefault="00710715" w:rsidP="00710715">
      <w:pPr>
        <w:pStyle w:val="NoSpacing"/>
        <w:spacing w:after="160" w:line="259" w:lineRule="auto"/>
        <w:jc w:val="both"/>
        <w:rPr>
          <w:rFonts w:cs="Times New Roman"/>
          <w:szCs w:val="24"/>
        </w:rPr>
      </w:pPr>
    </w:p>
    <w:p w14:paraId="0C4027F2" w14:textId="13F33697" w:rsidR="00710715" w:rsidRPr="00535A79" w:rsidRDefault="00710715" w:rsidP="00535A79">
      <w:pPr>
        <w:ind w:firstLine="720"/>
        <w:rPr>
          <w:szCs w:val="28"/>
        </w:rPr>
      </w:pPr>
      <w:r w:rsidRPr="00E318C6">
        <w:rPr>
          <w:szCs w:val="28"/>
        </w:rPr>
        <w:t>Finanšu ministrs</w:t>
      </w:r>
      <w:r w:rsidRPr="00E318C6">
        <w:rPr>
          <w:szCs w:val="28"/>
        </w:rPr>
        <w:tab/>
      </w:r>
      <w:r w:rsidRPr="00E318C6">
        <w:rPr>
          <w:szCs w:val="28"/>
        </w:rPr>
        <w:tab/>
      </w:r>
      <w:r w:rsidRPr="00E318C6">
        <w:rPr>
          <w:szCs w:val="28"/>
        </w:rPr>
        <w:tab/>
      </w:r>
      <w:r w:rsidRPr="00E318C6">
        <w:rPr>
          <w:szCs w:val="28"/>
        </w:rPr>
        <w:tab/>
      </w:r>
      <w:r w:rsidRPr="00E318C6">
        <w:rPr>
          <w:szCs w:val="28"/>
        </w:rPr>
        <w:tab/>
      </w:r>
      <w:r w:rsidRPr="00E318C6">
        <w:rPr>
          <w:szCs w:val="28"/>
        </w:rPr>
        <w:tab/>
      </w:r>
      <w:r w:rsidRPr="00E318C6">
        <w:rPr>
          <w:szCs w:val="28"/>
        </w:rPr>
        <w:tab/>
      </w:r>
      <w:r>
        <w:rPr>
          <w:szCs w:val="28"/>
        </w:rPr>
        <w:tab/>
      </w:r>
      <w:r w:rsidR="00535A79">
        <w:rPr>
          <w:szCs w:val="28"/>
        </w:rPr>
        <w:t>J.Reirs</w:t>
      </w:r>
    </w:p>
    <w:p w14:paraId="0AF8F58D" w14:textId="098E9AD0" w:rsidR="00FF369C" w:rsidRDefault="00FF369C" w:rsidP="00710715">
      <w:pPr>
        <w:spacing w:after="0"/>
        <w:rPr>
          <w:sz w:val="20"/>
        </w:rPr>
      </w:pPr>
    </w:p>
    <w:p w14:paraId="562ED730" w14:textId="162B0203" w:rsidR="00710715" w:rsidRPr="00FF369C" w:rsidRDefault="00710715" w:rsidP="00710715">
      <w:pPr>
        <w:spacing w:after="0"/>
        <w:rPr>
          <w:sz w:val="18"/>
          <w:szCs w:val="16"/>
        </w:rPr>
      </w:pPr>
      <w:r w:rsidRPr="00FF369C">
        <w:rPr>
          <w:sz w:val="18"/>
          <w:szCs w:val="16"/>
        </w:rPr>
        <w:t>Aļļēna, 67083912</w:t>
      </w:r>
    </w:p>
    <w:p w14:paraId="21663818" w14:textId="7201C1BE" w:rsidR="000C1A1F" w:rsidRPr="00FF369C" w:rsidRDefault="005E1561" w:rsidP="001D1E19">
      <w:pPr>
        <w:spacing w:after="0"/>
        <w:rPr>
          <w:sz w:val="18"/>
          <w:szCs w:val="16"/>
        </w:rPr>
      </w:pPr>
      <w:hyperlink r:id="rId105" w:history="1">
        <w:r w:rsidR="00535A79" w:rsidRPr="00FF369C">
          <w:rPr>
            <w:rStyle w:val="Hyperlink"/>
            <w:sz w:val="18"/>
            <w:szCs w:val="16"/>
          </w:rPr>
          <w:t>mara.allena@fm.gov.lv</w:t>
        </w:r>
      </w:hyperlink>
      <w:r w:rsidR="00535A79" w:rsidRPr="00FF369C">
        <w:rPr>
          <w:sz w:val="18"/>
          <w:szCs w:val="16"/>
        </w:rPr>
        <w:t xml:space="preserve"> </w:t>
      </w:r>
    </w:p>
    <w:sectPr w:rsidR="000C1A1F" w:rsidRPr="00FF369C" w:rsidSect="005D78BB">
      <w:footerReference w:type="default" r:id="rId10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023C9" w14:textId="77777777" w:rsidR="005E1561" w:rsidRDefault="005E1561" w:rsidP="00EA3721">
      <w:pPr>
        <w:spacing w:after="0" w:line="240" w:lineRule="auto"/>
      </w:pPr>
      <w:r>
        <w:separator/>
      </w:r>
    </w:p>
  </w:endnote>
  <w:endnote w:type="continuationSeparator" w:id="0">
    <w:p w14:paraId="71467BBE" w14:textId="77777777" w:rsidR="005E1561" w:rsidRDefault="005E1561" w:rsidP="00EA3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048863"/>
      <w:docPartObj>
        <w:docPartGallery w:val="Page Numbers (Bottom of Page)"/>
        <w:docPartUnique/>
      </w:docPartObj>
    </w:sdtPr>
    <w:sdtEndPr>
      <w:rPr>
        <w:noProof/>
      </w:rPr>
    </w:sdtEndPr>
    <w:sdtContent>
      <w:p w14:paraId="5D8D1E79" w14:textId="3BD7F179" w:rsidR="005E1561" w:rsidRDefault="005E1561">
        <w:pPr>
          <w:pStyle w:val="Footer"/>
          <w:jc w:val="center"/>
        </w:pPr>
        <w:r>
          <w:fldChar w:fldCharType="begin"/>
        </w:r>
        <w:r>
          <w:instrText xml:space="preserve"> PAGE   \* MERGEFORMAT </w:instrText>
        </w:r>
        <w:r>
          <w:fldChar w:fldCharType="separate"/>
        </w:r>
        <w:r w:rsidR="00A91F7D">
          <w:rPr>
            <w:noProof/>
          </w:rPr>
          <w:t>96</w:t>
        </w:r>
        <w:r>
          <w:rPr>
            <w:noProof/>
          </w:rPr>
          <w:fldChar w:fldCharType="end"/>
        </w:r>
      </w:p>
    </w:sdtContent>
  </w:sdt>
  <w:p w14:paraId="09D6F4E8" w14:textId="1D73BF13" w:rsidR="005E1561" w:rsidRDefault="005E1561">
    <w:pPr>
      <w:pStyle w:val="Footer"/>
    </w:pPr>
    <w:fldSimple w:instr=" FILENAME \* MERGEFORMAT ">
      <w:r>
        <w:rPr>
          <w:noProof/>
        </w:rPr>
        <w:t>FMZin_180820_Izdparsk.docx</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124028"/>
      <w:docPartObj>
        <w:docPartGallery w:val="Page Numbers (Bottom of Page)"/>
        <w:docPartUnique/>
      </w:docPartObj>
    </w:sdtPr>
    <w:sdtEndPr>
      <w:rPr>
        <w:noProof/>
      </w:rPr>
    </w:sdtEndPr>
    <w:sdtContent>
      <w:p w14:paraId="7F96EC29" w14:textId="02206F7B" w:rsidR="005E1561" w:rsidRDefault="005E1561">
        <w:pPr>
          <w:pStyle w:val="Footer"/>
          <w:jc w:val="center"/>
        </w:pPr>
        <w:r>
          <w:fldChar w:fldCharType="begin"/>
        </w:r>
        <w:r>
          <w:instrText xml:space="preserve"> PAGE   \* MERGEFORMAT </w:instrText>
        </w:r>
        <w:r>
          <w:fldChar w:fldCharType="separate"/>
        </w:r>
        <w:r w:rsidR="002F2CC1">
          <w:rPr>
            <w:noProof/>
          </w:rPr>
          <w:t>160</w:t>
        </w:r>
        <w:r>
          <w:rPr>
            <w:noProof/>
          </w:rPr>
          <w:fldChar w:fldCharType="end"/>
        </w:r>
      </w:p>
    </w:sdtContent>
  </w:sdt>
  <w:p w14:paraId="67CAEDBA" w14:textId="55FC906C" w:rsidR="005E1561" w:rsidRDefault="005E1561">
    <w:pPr>
      <w:pStyle w:val="Footer"/>
    </w:pPr>
    <w:fldSimple w:instr=" FILENAME \* MERGEFORMAT ">
      <w:r>
        <w:rPr>
          <w:noProof/>
        </w:rPr>
        <w:t>FMZin_180820_Izdparsk.docx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01754" w14:textId="77777777" w:rsidR="005E1561" w:rsidRDefault="005E1561" w:rsidP="00EA3721">
      <w:pPr>
        <w:spacing w:after="0" w:line="240" w:lineRule="auto"/>
      </w:pPr>
      <w:r>
        <w:separator/>
      </w:r>
    </w:p>
  </w:footnote>
  <w:footnote w:type="continuationSeparator" w:id="0">
    <w:p w14:paraId="2E502208" w14:textId="77777777" w:rsidR="005E1561" w:rsidRDefault="005E1561" w:rsidP="00EA3721">
      <w:pPr>
        <w:spacing w:after="0" w:line="240" w:lineRule="auto"/>
      </w:pPr>
      <w:r>
        <w:continuationSeparator/>
      </w:r>
    </w:p>
  </w:footnote>
  <w:footnote w:id="1">
    <w:p w14:paraId="2032A699" w14:textId="77777777" w:rsidR="005E1561" w:rsidRDefault="005E1561" w:rsidP="00BA5347">
      <w:pPr>
        <w:pStyle w:val="FootnoteText"/>
      </w:pPr>
      <w:r>
        <w:rPr>
          <w:rStyle w:val="FootnoteReference"/>
        </w:rPr>
        <w:footnoteRef/>
      </w:r>
      <w:r>
        <w:t xml:space="preserve"> OECD</w:t>
      </w:r>
      <w:r w:rsidRPr="001B00A4">
        <w:t>,</w:t>
      </w:r>
      <w:r>
        <w:t xml:space="preserve"> </w:t>
      </w:r>
      <w:r w:rsidRPr="001B00A4">
        <w:rPr>
          <w:lang w:val="en-GB"/>
        </w:rPr>
        <w:t>Budgeting for Outcomes and Spending Reviews in OECD Countries: toward good practices, 2019</w:t>
      </w:r>
    </w:p>
  </w:footnote>
  <w:footnote w:id="2">
    <w:p w14:paraId="522DF67A" w14:textId="77777777" w:rsidR="005E1561" w:rsidRDefault="005E1561" w:rsidP="00BA5347">
      <w:pPr>
        <w:pStyle w:val="FootnoteText"/>
      </w:pPr>
      <w:r>
        <w:rPr>
          <w:rStyle w:val="FootnoteReference"/>
        </w:rPr>
        <w:footnoteRef/>
      </w:r>
      <w:r>
        <w:t xml:space="preserve"> </w:t>
      </w:r>
      <w:r w:rsidRPr="003563A9">
        <w:t>Informatīvais ziņojums “Par valsts budžeta izdevumu pārskatīšanas rezultātiem un priekšlikumi par šo rezultātu izmantošanu likumprojekta “Par vidēja termiņa budžeta ietvaru 2021., 2022. un 2023. gadam” un likumprojekta “Par valsts budžetu 2021. gadam” izstrādes procesā”</w:t>
      </w:r>
    </w:p>
  </w:footnote>
  <w:footnote w:id="3">
    <w:p w14:paraId="48557751" w14:textId="20EB213E" w:rsidR="005E1561" w:rsidRPr="007700C0" w:rsidRDefault="005E1561" w:rsidP="00BA5347">
      <w:pPr>
        <w:pStyle w:val="FootnoteText"/>
      </w:pPr>
      <w:r w:rsidRPr="007700C0">
        <w:rPr>
          <w:rStyle w:val="FootnoteReference"/>
          <w:sz w:val="18"/>
          <w:szCs w:val="18"/>
        </w:rPr>
        <w:footnoteRef/>
      </w:r>
      <w:r w:rsidRPr="007700C0">
        <w:t xml:space="preserve"> Sabiedrības veselības pamatnostādnes 2014.–2020.gadam</w:t>
      </w:r>
    </w:p>
  </w:footnote>
  <w:footnote w:id="4">
    <w:p w14:paraId="11CF45D4" w14:textId="77777777" w:rsidR="005E1561" w:rsidRPr="007700C0" w:rsidRDefault="005E1561" w:rsidP="00BA5347">
      <w:pPr>
        <w:pStyle w:val="FootnoteText"/>
      </w:pPr>
      <w:r w:rsidRPr="007700C0">
        <w:rPr>
          <w:rStyle w:val="FootnoteReference"/>
          <w:sz w:val="18"/>
          <w:szCs w:val="18"/>
        </w:rPr>
        <w:footnoteRef/>
      </w:r>
      <w:r w:rsidRPr="007700C0">
        <w:t xml:space="preserve"> Sabiedrības veselības pamatnostādnes 2014.–2020.gadam</w:t>
      </w:r>
    </w:p>
  </w:footnote>
  <w:footnote w:id="5">
    <w:p w14:paraId="57B6A2F7" w14:textId="076F5144" w:rsidR="005E1561" w:rsidRPr="007700C0" w:rsidRDefault="005E1561" w:rsidP="00BA5347">
      <w:pPr>
        <w:pStyle w:val="FootnoteText"/>
        <w:rPr>
          <w:sz w:val="18"/>
          <w:szCs w:val="18"/>
        </w:rPr>
      </w:pPr>
      <w:r w:rsidRPr="007700C0">
        <w:rPr>
          <w:rStyle w:val="FootnoteReference"/>
          <w:sz w:val="18"/>
          <w:szCs w:val="18"/>
        </w:rPr>
        <w:footnoteRef/>
      </w:r>
      <w:r w:rsidRPr="007700C0">
        <w:rPr>
          <w:sz w:val="18"/>
          <w:szCs w:val="18"/>
        </w:rPr>
        <w:t xml:space="preserve">Eurostat, </w:t>
      </w:r>
      <w:hyperlink r:id="rId1" w:anchor="Healthy_life_years_at_birth" w:history="1">
        <w:r w:rsidRPr="007700C0">
          <w:rPr>
            <w:rStyle w:val="Hyperlink"/>
            <w:sz w:val="18"/>
            <w:szCs w:val="18"/>
          </w:rPr>
          <w:t>https://ec.europa.eu/eurostat/statistics-explained/index.php/Healthy_life_years_statistics#Healthy_life_years_at_birth</w:t>
        </w:r>
      </w:hyperlink>
    </w:p>
  </w:footnote>
  <w:footnote w:id="6">
    <w:p w14:paraId="1496CC7A" w14:textId="495B64A8" w:rsidR="005E1561" w:rsidRPr="007700C0" w:rsidRDefault="005E1561" w:rsidP="00BA5347">
      <w:pPr>
        <w:pStyle w:val="FootnoteText"/>
      </w:pPr>
      <w:r w:rsidRPr="007700C0">
        <w:rPr>
          <w:rStyle w:val="FootnoteReference"/>
          <w:sz w:val="18"/>
          <w:szCs w:val="18"/>
        </w:rPr>
        <w:footnoteRef/>
      </w:r>
      <w:r w:rsidRPr="007700C0">
        <w:t xml:space="preserve"> SPKC, Latvijas veselības aprūpes statistikas gadagrāmata 2018, Mirstība, </w:t>
      </w:r>
      <w:hyperlink r:id="rId2" w:history="1">
        <w:r w:rsidRPr="007700C0">
          <w:rPr>
            <w:rStyle w:val="Hyperlink"/>
            <w:sz w:val="18"/>
            <w:szCs w:val="18"/>
          </w:rPr>
          <w:t>https://spkc.gov.lv/lv/statistika-un-petijumi/statistika/latvijas-veselibas-aprupes-sta1/get/nid/12</w:t>
        </w:r>
      </w:hyperlink>
      <w:r w:rsidRPr="007700C0">
        <w:t xml:space="preserve"> </w:t>
      </w:r>
    </w:p>
  </w:footnote>
  <w:footnote w:id="7">
    <w:p w14:paraId="782F29A0" w14:textId="77777777" w:rsidR="005E1561" w:rsidRPr="00656813" w:rsidRDefault="005E1561" w:rsidP="00BA5347">
      <w:pPr>
        <w:pStyle w:val="FootnoteText"/>
      </w:pPr>
      <w:r w:rsidRPr="007700C0">
        <w:rPr>
          <w:rStyle w:val="FootnoteReference"/>
          <w:sz w:val="18"/>
          <w:szCs w:val="18"/>
        </w:rPr>
        <w:footnoteRef/>
      </w:r>
      <w:r w:rsidRPr="007700C0">
        <w:t xml:space="preserve"> SPKC, Latvijas veselības aprūpes statistikas gadagrāmata 2018, Mirstība, </w:t>
      </w:r>
      <w:hyperlink r:id="rId3" w:history="1">
        <w:r w:rsidRPr="007700C0">
          <w:rPr>
            <w:rStyle w:val="Hyperlink"/>
            <w:sz w:val="18"/>
            <w:szCs w:val="18"/>
          </w:rPr>
          <w:t>https://spkc.gov.lv/lv/statistika-un-petijumi/statistika/latvijas-veselibas-aprupes-sta1/get/nid/12</w:t>
        </w:r>
      </w:hyperlink>
    </w:p>
  </w:footnote>
  <w:footnote w:id="8">
    <w:p w14:paraId="445CE000" w14:textId="0A9E954C" w:rsidR="005E1561" w:rsidRPr="004632A4" w:rsidRDefault="005E1561" w:rsidP="00BA5347">
      <w:pPr>
        <w:pStyle w:val="FootnoteText"/>
      </w:pPr>
      <w:r w:rsidRPr="004632A4">
        <w:rPr>
          <w:rStyle w:val="FootnoteReference"/>
        </w:rPr>
        <w:footnoteRef/>
      </w:r>
      <w:r w:rsidRPr="004632A4">
        <w:t xml:space="preserve">Datu avots: </w:t>
      </w:r>
      <w:r>
        <w:t>FM</w:t>
      </w:r>
    </w:p>
  </w:footnote>
  <w:footnote w:id="9">
    <w:p w14:paraId="3A0A4A06" w14:textId="77777777" w:rsidR="005E1561" w:rsidRPr="002A416F" w:rsidRDefault="005E1561" w:rsidP="00BA5347">
      <w:pPr>
        <w:pStyle w:val="FootnoteText"/>
      </w:pPr>
      <w:r w:rsidRPr="002A416F">
        <w:rPr>
          <w:rStyle w:val="FootnoteReference"/>
        </w:rPr>
        <w:footnoteRef/>
      </w:r>
      <w:r w:rsidRPr="002A416F">
        <w:t xml:space="preserve">NVD publiskotie dati par </w:t>
      </w:r>
      <w:r w:rsidRPr="002A416F">
        <w:rPr>
          <w:rStyle w:val="Strong"/>
          <w:b w:val="0"/>
          <w:color w:val="000000"/>
          <w:bdr w:val="none" w:sz="0" w:space="0" w:color="auto" w:frame="1"/>
          <w:shd w:val="clear" w:color="auto" w:fill="FFFFFF"/>
        </w:rPr>
        <w:t>sekundārās veselības aprūpes pakalpojumu nodrošināšanai veikto darbu sadalījumā pa pakalpojumu programmām</w:t>
      </w:r>
      <w:r w:rsidRPr="002A416F">
        <w:rPr>
          <w:shd w:val="clear" w:color="auto" w:fill="FFFFFF"/>
        </w:rPr>
        <w:t> </w:t>
      </w:r>
    </w:p>
  </w:footnote>
  <w:footnote w:id="10">
    <w:p w14:paraId="37C6A2D8" w14:textId="5B652F8B" w:rsidR="005E1561" w:rsidRPr="00490988" w:rsidRDefault="005E1561" w:rsidP="00BA5347">
      <w:pPr>
        <w:pStyle w:val="FootnoteText"/>
      </w:pPr>
      <w:r w:rsidRPr="002A416F">
        <w:rPr>
          <w:rStyle w:val="FootnoteReference"/>
        </w:rPr>
        <w:footnoteRef/>
      </w:r>
      <w:r>
        <w:t>VM</w:t>
      </w:r>
      <w:r w:rsidRPr="002A416F">
        <w:t xml:space="preserve"> iesniegtie dati </w:t>
      </w:r>
      <w:r>
        <w:t>FM</w:t>
      </w:r>
    </w:p>
  </w:footnote>
  <w:footnote w:id="11">
    <w:p w14:paraId="5A620A10" w14:textId="63FDEEDC" w:rsidR="005E1561" w:rsidRPr="009E4200" w:rsidRDefault="005E1561" w:rsidP="00EC52FF">
      <w:pPr>
        <w:rPr>
          <w:bCs/>
          <w:sz w:val="20"/>
          <w:szCs w:val="20"/>
          <w:shd w:val="clear" w:color="auto" w:fill="FFFFFF"/>
        </w:rPr>
      </w:pPr>
      <w:r w:rsidRPr="009E4200">
        <w:rPr>
          <w:rStyle w:val="FootnoteReference"/>
          <w:szCs w:val="20"/>
        </w:rPr>
        <w:footnoteRef/>
      </w:r>
      <w:bookmarkStart w:id="85" w:name="_Hlk41659359"/>
      <w:bookmarkEnd w:id="85"/>
      <w:r>
        <w:rPr>
          <w:bCs/>
          <w:sz w:val="20"/>
          <w:szCs w:val="20"/>
          <w:shd w:val="clear" w:color="auto" w:fill="FFFFFF"/>
        </w:rPr>
        <w:t>VM</w:t>
      </w:r>
      <w:r w:rsidRPr="009E4200">
        <w:rPr>
          <w:bCs/>
          <w:sz w:val="20"/>
          <w:szCs w:val="20"/>
          <w:shd w:val="clear" w:color="auto" w:fill="FFFFFF"/>
        </w:rPr>
        <w:t xml:space="preserve"> informatīvais ziņojums (starpziņojums) “Izvērtējums par stacionāro ārstniecības iestāžu atbilstību definētajiem līmeņiem”, izskatīts MK 02.06.2020., </w:t>
      </w:r>
      <w:hyperlink r:id="rId4" w:history="1">
        <w:r w:rsidRPr="009E4200">
          <w:rPr>
            <w:rStyle w:val="Hyperlink"/>
            <w:sz w:val="20"/>
            <w:szCs w:val="20"/>
          </w:rPr>
          <w:t>http://tap.mk.gov.lv/lv/mk/tap/?pid=40488128</w:t>
        </w:r>
      </w:hyperlink>
    </w:p>
    <w:p w14:paraId="7E290098" w14:textId="77777777" w:rsidR="005E1561" w:rsidRDefault="005E1561" w:rsidP="00BA5347">
      <w:pPr>
        <w:pStyle w:val="FootnoteText"/>
      </w:pPr>
    </w:p>
  </w:footnote>
  <w:footnote w:id="12">
    <w:p w14:paraId="0608BFEF" w14:textId="77777777" w:rsidR="005E1561" w:rsidRPr="0087372B" w:rsidRDefault="005E1561" w:rsidP="00BA5347">
      <w:pPr>
        <w:pStyle w:val="FootnoteText"/>
      </w:pPr>
      <w:r w:rsidRPr="0087372B">
        <w:rPr>
          <w:rStyle w:val="FootnoteReference"/>
        </w:rPr>
        <w:footnoteRef/>
      </w:r>
      <w:r w:rsidRPr="0087372B">
        <w:t xml:space="preserve">SPKC, Veselības statistikas datu bāze, Iedzīvotāju veselība, Cukura diabēts, </w:t>
      </w:r>
      <w:hyperlink r:id="rId5" w:history="1">
        <w:r w:rsidRPr="0087372B">
          <w:rPr>
            <w:rStyle w:val="Hyperlink"/>
          </w:rPr>
          <w:t>https://spkc.gov.lv/lv/statistika-un-petijumi/statistika/veselibas-aprupes-statistika1</w:t>
        </w:r>
      </w:hyperlink>
    </w:p>
  </w:footnote>
  <w:footnote w:id="13">
    <w:p w14:paraId="18B7D8EB" w14:textId="77777777" w:rsidR="005E1561" w:rsidRDefault="005E1561" w:rsidP="00BA5347">
      <w:pPr>
        <w:pStyle w:val="FootnoteText"/>
      </w:pPr>
      <w:r w:rsidRPr="0087372B">
        <w:rPr>
          <w:rStyle w:val="FootnoteReference"/>
        </w:rPr>
        <w:footnoteRef/>
      </w:r>
      <w:r w:rsidRPr="0087372B">
        <w:t xml:space="preserve">SPKC, Veselības statistikas datu bāze, Iedzīvotāju veselība, Cukura diabēts, </w:t>
      </w:r>
      <w:hyperlink r:id="rId6" w:history="1">
        <w:r w:rsidRPr="0087372B">
          <w:rPr>
            <w:rStyle w:val="Hyperlink"/>
          </w:rPr>
          <w:t>https://spkc.gov.lv/lv/statistika-un-petijumi/statistika/veselibas-aprupes-statistika1</w:t>
        </w:r>
      </w:hyperlink>
    </w:p>
  </w:footnote>
  <w:footnote w:id="14">
    <w:p w14:paraId="60095F79" w14:textId="5AF94D37" w:rsidR="005E1561" w:rsidRPr="00985AA0" w:rsidRDefault="005E1561" w:rsidP="00BA5347">
      <w:pPr>
        <w:pStyle w:val="FootnoteText"/>
      </w:pPr>
      <w:r w:rsidRPr="00985AA0">
        <w:rPr>
          <w:rStyle w:val="FootnoteReference"/>
        </w:rPr>
        <w:footnoteRef/>
      </w:r>
      <w:r w:rsidRPr="00985AA0">
        <w:t xml:space="preserve"> </w:t>
      </w:r>
      <w:r>
        <w:t>VKo</w:t>
      </w:r>
      <w:r w:rsidRPr="00985AA0">
        <w:t>, starpziņojums “Vai ambulatorā veselības aprūpes sistēma Latvijā ir pilnveidojama?”</w:t>
      </w:r>
      <w:hyperlink r:id="rId7" w:history="1">
        <w:r w:rsidRPr="00985AA0">
          <w:rPr>
            <w:rStyle w:val="Hyperlink"/>
          </w:rPr>
          <w:t>https://www.lrvk.gov.lv/lv/revizijas/revizijas/noslegtas-revizijas/starpzinojums-vai-ambulatora-veselibas-aprupes-sistema-latvija-ir-pilnveidojama</w:t>
        </w:r>
      </w:hyperlink>
    </w:p>
  </w:footnote>
  <w:footnote w:id="15">
    <w:p w14:paraId="62A09652" w14:textId="59434DD8" w:rsidR="005E1561" w:rsidRPr="00436A12" w:rsidRDefault="005E1561" w:rsidP="00BA5347">
      <w:pPr>
        <w:pStyle w:val="FootnoteText"/>
      </w:pPr>
      <w:r w:rsidRPr="00436A12">
        <w:rPr>
          <w:rStyle w:val="FootnoteReference"/>
          <w:sz w:val="18"/>
          <w:szCs w:val="18"/>
        </w:rPr>
        <w:footnoteRef/>
      </w:r>
      <w:r>
        <w:rPr>
          <w:shd w:val="clear" w:color="auto" w:fill="FFFFFF"/>
        </w:rPr>
        <w:t>MK</w:t>
      </w:r>
      <w:r w:rsidRPr="00436A12">
        <w:rPr>
          <w:shd w:val="clear" w:color="auto" w:fill="FFFFFF"/>
        </w:rPr>
        <w:t xml:space="preserve"> 2018.gada 28.augusta noteikumi Nr. 555 "Veselības aprūpes pakalpojumu organizēšanas un samaksas kārtība" spēkā līdz 2019.gada 16. maijam, jo tika pieņemti </w:t>
      </w:r>
      <w:r>
        <w:rPr>
          <w:shd w:val="clear" w:color="auto" w:fill="FFFFFF"/>
        </w:rPr>
        <w:t>MK</w:t>
      </w:r>
      <w:r w:rsidRPr="00436A12">
        <w:rPr>
          <w:shd w:val="clear" w:color="auto" w:fill="FFFFFF"/>
        </w:rPr>
        <w:t xml:space="preserve"> 2019.gada 7.maija noteikumi Nr.192 "Grozījumi Ministru kabineta 2018. gada 28. augusta noteikumos Nr. 555 "Veselības aprūpes pakalpojumu organizēšanas un samaksas kārtība" (Stājas spēkā 17.05.2019.)</w:t>
      </w:r>
    </w:p>
  </w:footnote>
  <w:footnote w:id="16">
    <w:p w14:paraId="45B3C12C" w14:textId="77777777" w:rsidR="005E1561" w:rsidRPr="000D3938" w:rsidRDefault="005E1561" w:rsidP="00BA5347">
      <w:pPr>
        <w:pStyle w:val="FootnoteText"/>
      </w:pPr>
      <w:r w:rsidRPr="000D3938">
        <w:rPr>
          <w:rStyle w:val="FootnoteReference"/>
          <w:sz w:val="18"/>
          <w:szCs w:val="18"/>
        </w:rPr>
        <w:footnoteRef/>
      </w:r>
      <w:r w:rsidRPr="000D3938">
        <w:t xml:space="preserve"> Iekšlietu ministrijas sistēmas iestāžu un Ieslodzījuma vietu pārvaldes amatpersonu ar speciālajām dienesta pakāpēm dienesta gaitas likums (Latvijas Vēstnesis, 101 (3469), 30.06.2006.)</w:t>
      </w:r>
    </w:p>
  </w:footnote>
  <w:footnote w:id="17">
    <w:p w14:paraId="1C0698B7" w14:textId="77777777" w:rsidR="005E1561" w:rsidRPr="000D3938" w:rsidRDefault="005E1561" w:rsidP="00BA5347">
      <w:pPr>
        <w:pStyle w:val="FootnoteText"/>
      </w:pPr>
      <w:r w:rsidRPr="000D3938">
        <w:rPr>
          <w:rStyle w:val="FootnoteReference"/>
          <w:sz w:val="18"/>
          <w:szCs w:val="18"/>
        </w:rPr>
        <w:footnoteRef/>
      </w:r>
      <w:r w:rsidRPr="000D3938">
        <w:t xml:space="preserve"> Valsts kases pārskats par amatpersonu (darbinieku) atlīdzību (valsts institūcijas), 2020.gada marts</w:t>
      </w:r>
    </w:p>
  </w:footnote>
  <w:footnote w:id="18">
    <w:p w14:paraId="441D7541" w14:textId="3A038311" w:rsidR="005E1561" w:rsidRPr="000D3938" w:rsidRDefault="005E1561" w:rsidP="00BA5347">
      <w:pPr>
        <w:pStyle w:val="FootnoteText"/>
      </w:pPr>
      <w:r w:rsidRPr="000D3938">
        <w:rPr>
          <w:rStyle w:val="FootnoteReference"/>
          <w:sz w:val="18"/>
          <w:szCs w:val="18"/>
        </w:rPr>
        <w:footnoteRef/>
      </w:r>
      <w:r w:rsidRPr="000D3938">
        <w:t xml:space="preserve"> </w:t>
      </w:r>
      <w:r>
        <w:t>MK</w:t>
      </w:r>
      <w:r w:rsidRPr="000D3938">
        <w:t xml:space="preserve"> 2014.gada 11.februāra noteikumu Nr.93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 1.punkts</w:t>
      </w:r>
    </w:p>
  </w:footnote>
  <w:footnote w:id="19">
    <w:p w14:paraId="3928111C" w14:textId="77777777" w:rsidR="005E1561" w:rsidRPr="000C1A1F" w:rsidRDefault="005E1561" w:rsidP="00BA5347">
      <w:pPr>
        <w:pStyle w:val="FootnoteText"/>
      </w:pPr>
      <w:r w:rsidRPr="000C1A1F">
        <w:rPr>
          <w:rStyle w:val="FootnoteReference"/>
          <w:sz w:val="18"/>
          <w:szCs w:val="18"/>
        </w:rPr>
        <w:footnoteRef/>
      </w:r>
      <w:r w:rsidRPr="000C1A1F">
        <w:t xml:space="preserve"> Valsts un pašvaldību institūciju amatpersonu un darbinieku atlīdzības likums</w:t>
      </w:r>
    </w:p>
  </w:footnote>
  <w:footnote w:id="20">
    <w:p w14:paraId="5125387C" w14:textId="03073B9C" w:rsidR="005E1561" w:rsidRDefault="005E1561" w:rsidP="00BA5347">
      <w:pPr>
        <w:pStyle w:val="FootnoteText"/>
      </w:pPr>
      <w:r w:rsidRPr="000C1A1F">
        <w:rPr>
          <w:rStyle w:val="FootnoteReference"/>
          <w:sz w:val="18"/>
          <w:szCs w:val="18"/>
        </w:rPr>
        <w:footnoteRef/>
      </w:r>
      <w:r w:rsidRPr="000C1A1F">
        <w:t xml:space="preserve"> </w:t>
      </w:r>
      <w:r>
        <w:t>IeM</w:t>
      </w:r>
      <w:r w:rsidRPr="000C1A1F">
        <w:t xml:space="preserve"> Sporta un veselības centra 2018.gada publiskais pārskats; </w:t>
      </w:r>
      <w:r>
        <w:t>FM</w:t>
      </w:r>
      <w:r w:rsidRPr="000C1A1F">
        <w:t xml:space="preserve"> pieejamie dati</w:t>
      </w:r>
    </w:p>
  </w:footnote>
  <w:footnote w:id="21">
    <w:p w14:paraId="1BF4DAAB" w14:textId="77777777" w:rsidR="005E1561" w:rsidRDefault="005E1561" w:rsidP="00BA5347">
      <w:pPr>
        <w:pStyle w:val="FootnoteText"/>
      </w:pPr>
      <w:r w:rsidRPr="000C1A1F">
        <w:rPr>
          <w:rStyle w:val="FootnoteReference"/>
          <w:sz w:val="18"/>
        </w:rPr>
        <w:footnoteRef/>
      </w:r>
      <w:r w:rsidRPr="000C1A1F">
        <w:t xml:space="preserve"> Kā ārstniecības iestāde IeM struktūrā tā bija darbojusies jau pirms tam vairākus gadu desmitus.</w:t>
      </w:r>
    </w:p>
  </w:footnote>
  <w:footnote w:id="22">
    <w:p w14:paraId="1B75A1FF" w14:textId="77777777" w:rsidR="005E1561" w:rsidRDefault="005E1561" w:rsidP="00BA5347">
      <w:pPr>
        <w:pStyle w:val="FootnoteText"/>
      </w:pPr>
      <w:r w:rsidRPr="000C1A1F">
        <w:rPr>
          <w:rStyle w:val="FootnoteReference"/>
          <w:sz w:val="18"/>
        </w:rPr>
        <w:footnoteRef/>
      </w:r>
      <w:r w:rsidRPr="000C1A1F">
        <w:t xml:space="preserve"> 2006.gada 21.novembra MK noteikumi Nr. 970 “Noteikumi par Iekšlietu ministrijas sistēmas iestāžu un Ieslodzījuma vietu pārvaldes amatpersonām ar speciālajām dienesta pakāpēm un amatpersonu amata kandidātiem nepieciešamo veselības stāvokli un psiholoģiskajām īpašībām un veselības stāvokļa un psiholoģisko īpašību pārbaudes kārtību”</w:t>
      </w:r>
    </w:p>
  </w:footnote>
  <w:footnote w:id="23">
    <w:p w14:paraId="0AD47F3E" w14:textId="77777777" w:rsidR="005E1561" w:rsidRDefault="005E1561" w:rsidP="00BA5347">
      <w:pPr>
        <w:pStyle w:val="FootnoteText"/>
      </w:pPr>
      <w:r w:rsidRPr="00B55165">
        <w:rPr>
          <w:rStyle w:val="FootnoteReference"/>
        </w:rPr>
        <w:footnoteRef/>
      </w:r>
      <w:r w:rsidRPr="00B55165">
        <w:t xml:space="preserve"> VKo revīzija “Kas ietekmē profesionālās izglītības iestāžu izglītojamo stipendijas apmēru?” Pieejama: </w:t>
      </w:r>
      <w:hyperlink r:id="rId8" w:history="1">
        <w:r w:rsidRPr="00B55165">
          <w:rPr>
            <w:rStyle w:val="Hyperlink"/>
          </w:rPr>
          <w:t>https://www.lrvk.gov.lv/lv/revizijas/revizijas/noslegtas-revizijas/stipendiju-pieskirsanas-sistema-profesionalo-izglitibas-iestazu-segmenta</w:t>
        </w:r>
      </w:hyperlink>
    </w:p>
  </w:footnote>
  <w:footnote w:id="24">
    <w:p w14:paraId="15222B91" w14:textId="77777777" w:rsidR="005E1561" w:rsidRPr="000C1A1F" w:rsidRDefault="005E1561" w:rsidP="00BA5347">
      <w:pPr>
        <w:pStyle w:val="FootnoteText"/>
        <w:rPr>
          <w:sz w:val="18"/>
        </w:rPr>
      </w:pPr>
      <w:r w:rsidRPr="000C1A1F">
        <w:rPr>
          <w:rStyle w:val="FootnoteReference"/>
          <w:rFonts w:cs="Times New Roman"/>
          <w:szCs w:val="18"/>
        </w:rPr>
        <w:footnoteRef/>
      </w:r>
      <w:r w:rsidRPr="000C1A1F">
        <w:t xml:space="preserve"> Latvijas sporta organizatoriskā pārvaldības struktūra. Pieejama: </w:t>
      </w:r>
      <w:hyperlink r:id="rId9" w:history="1">
        <w:r w:rsidRPr="000C1A1F">
          <w:rPr>
            <w:rStyle w:val="Hyperlink"/>
            <w:rFonts w:cs="Times New Roman"/>
            <w:szCs w:val="18"/>
          </w:rPr>
          <w:t>https://www.izm.gov.lv/lv/nozares/sports/sporta-nozares-struktura</w:t>
        </w:r>
      </w:hyperlink>
    </w:p>
  </w:footnote>
  <w:footnote w:id="25">
    <w:p w14:paraId="5AEE1C70" w14:textId="77777777" w:rsidR="005E1561" w:rsidRPr="00305395" w:rsidRDefault="005E1561" w:rsidP="00BA5347">
      <w:pPr>
        <w:pStyle w:val="FootnoteText"/>
      </w:pPr>
      <w:r w:rsidRPr="00305395">
        <w:rPr>
          <w:rStyle w:val="FootnoteReference"/>
          <w:rFonts w:cs="Times New Roman"/>
        </w:rPr>
        <w:footnoteRef/>
      </w:r>
      <w:r w:rsidRPr="00305395">
        <w:t xml:space="preserve"> LNSP 2020. gada 23. janvāra sēdes protokols Nr. 1. Pieejams: </w:t>
      </w:r>
      <w:hyperlink r:id="rId10" w:history="1">
        <w:r w:rsidRPr="00305395">
          <w:rPr>
            <w:rStyle w:val="Hyperlink"/>
            <w:rFonts w:cs="Times New Roman"/>
          </w:rPr>
          <w:t>https://www.izm.gov.lv/images/sports/LNSP_protokols_1_2020.pdf</w:t>
        </w:r>
      </w:hyperlink>
    </w:p>
  </w:footnote>
  <w:footnote w:id="26">
    <w:p w14:paraId="7BC5C874" w14:textId="77777777" w:rsidR="005E1561" w:rsidRPr="00305395" w:rsidRDefault="005E1561" w:rsidP="00BA5347">
      <w:pPr>
        <w:pStyle w:val="FootnoteText"/>
      </w:pPr>
      <w:r w:rsidRPr="00305395">
        <w:rPr>
          <w:rStyle w:val="FootnoteReference"/>
          <w:rFonts w:cs="Times New Roman"/>
        </w:rPr>
        <w:footnoteRef/>
      </w:r>
      <w:r w:rsidRPr="00305395">
        <w:t xml:space="preserve"> LKSSA tīmekļvietne, kuras vienīgā informācija ir par organizācijas mērķiem, statūtiem un valdes sastāvu (ne aktuālo versiju): </w:t>
      </w:r>
      <w:hyperlink r:id="rId11" w:history="1">
        <w:r w:rsidRPr="00305395">
          <w:rPr>
            <w:rStyle w:val="Hyperlink"/>
            <w:rFonts w:cs="Times New Roman"/>
          </w:rPr>
          <w:t>http://www.lkssa.lv/lv/par-mums</w:t>
        </w:r>
      </w:hyperlink>
      <w:r w:rsidRPr="00305395">
        <w:t xml:space="preserve"> </w:t>
      </w:r>
    </w:p>
  </w:footnote>
  <w:footnote w:id="27">
    <w:p w14:paraId="3EDD00D0" w14:textId="0A37FDA8" w:rsidR="005E1561" w:rsidRDefault="005E1561" w:rsidP="00BA5347">
      <w:pPr>
        <w:pStyle w:val="FootnoteText"/>
      </w:pPr>
      <w:r>
        <w:rPr>
          <w:rStyle w:val="FootnoteReference"/>
        </w:rPr>
        <w:footnoteRef/>
      </w:r>
      <w:r>
        <w:t xml:space="preserve"> Nav pieejams 2019.gada VP publiskais pārskats</w:t>
      </w:r>
    </w:p>
  </w:footnote>
  <w:footnote w:id="28">
    <w:p w14:paraId="6DA80D30" w14:textId="77777777" w:rsidR="005E1561" w:rsidRDefault="005E1561" w:rsidP="00BA5347">
      <w:pPr>
        <w:pStyle w:val="FootnoteText"/>
      </w:pPr>
      <w:r>
        <w:rPr>
          <w:rStyle w:val="FootnoteReference"/>
        </w:rPr>
        <w:footnoteRef/>
      </w:r>
      <w:r>
        <w:t xml:space="preserve"> Tiesu administrācijas publisko gada pārskatu dati</w:t>
      </w:r>
    </w:p>
  </w:footnote>
  <w:footnote w:id="29">
    <w:p w14:paraId="630EDECD" w14:textId="77777777" w:rsidR="005E1561" w:rsidRPr="00684BCF" w:rsidRDefault="005E1561" w:rsidP="00BA5347">
      <w:pPr>
        <w:pStyle w:val="FootnoteText"/>
        <w:rPr>
          <w:rFonts w:cs="Times New Roman"/>
        </w:rPr>
      </w:pPr>
      <w:r>
        <w:rPr>
          <w:rStyle w:val="FootnoteReference"/>
        </w:rPr>
        <w:footnoteRef/>
      </w:r>
      <w:r>
        <w:t xml:space="preserve"> </w:t>
      </w:r>
      <w:hyperlink r:id="rId12" w:history="1">
        <w:r>
          <w:rPr>
            <w:rStyle w:val="Hyperlink"/>
          </w:rPr>
          <w:t>https://www.tm.gov.lv/lv/jaunums/bordans-pirmas-instances-tiesas-videokonferencu-skaits-ir-pieaudzis-sesas-reizes-0</w:t>
        </w:r>
      </w:hyperlink>
      <w:r>
        <w:rPr>
          <w:rStyle w:val="Hyperlink"/>
        </w:rPr>
        <w:t xml:space="preserve">  </w:t>
      </w:r>
      <w:r w:rsidRPr="00684BCF">
        <w:rPr>
          <w:rStyle w:val="Hyperlink"/>
          <w:rFonts w:cs="Times New Roman"/>
        </w:rPr>
        <w:t>(skatīts 31.07.2020.)</w:t>
      </w:r>
    </w:p>
  </w:footnote>
  <w:footnote w:id="30">
    <w:p w14:paraId="7877C786" w14:textId="77777777" w:rsidR="005E1561" w:rsidRDefault="005E1561" w:rsidP="00BA5347">
      <w:pPr>
        <w:pStyle w:val="FootnoteText"/>
      </w:pPr>
      <w:r>
        <w:rPr>
          <w:rStyle w:val="FootnoteReference"/>
        </w:rPr>
        <w:footnoteRef/>
      </w:r>
      <w:r>
        <w:t xml:space="preserve"> PPP noslēgtie līgumi, </w:t>
      </w:r>
      <w:hyperlink r:id="rId13" w:history="1">
        <w:r>
          <w:rPr>
            <w:rStyle w:val="Hyperlink"/>
          </w:rPr>
          <w:t>https://www.fm.gov.lv/lv/sadalas/ppp/ppp_ligumi/</w:t>
        </w:r>
      </w:hyperlink>
      <w:r>
        <w:t xml:space="preserve"> (informācija atjaunota 2011.gada 22.martā)</w:t>
      </w:r>
    </w:p>
  </w:footnote>
  <w:footnote w:id="31">
    <w:p w14:paraId="262E6966" w14:textId="77777777" w:rsidR="005E1561" w:rsidRDefault="005E1561" w:rsidP="00BA5347">
      <w:pPr>
        <w:pStyle w:val="FootnoteText"/>
      </w:pPr>
      <w:r>
        <w:rPr>
          <w:rStyle w:val="FootnoteReference"/>
        </w:rPr>
        <w:footnoteRef/>
      </w:r>
      <w:r>
        <w:t xml:space="preserve"> </w:t>
      </w:r>
      <w:hyperlink r:id="rId14" w:history="1">
        <w:r>
          <w:rPr>
            <w:rStyle w:val="Hyperlink"/>
          </w:rPr>
          <w:t>https://www.cfla.gov.lv/lv/citas-programmas/publiska-un-privata-partneriba/normativie-dokumenti</w:t>
        </w:r>
      </w:hyperlink>
    </w:p>
  </w:footnote>
  <w:footnote w:id="32">
    <w:p w14:paraId="5D8E427F" w14:textId="77777777" w:rsidR="005E1561" w:rsidRPr="00B27399" w:rsidRDefault="005E1561" w:rsidP="00BA5347">
      <w:pPr>
        <w:pStyle w:val="FootnoteText"/>
        <w:rPr>
          <w:lang w:val="en-US"/>
        </w:rPr>
      </w:pPr>
      <w:r>
        <w:rPr>
          <w:rStyle w:val="FootnoteReference"/>
        </w:rPr>
        <w:footnoteRef/>
      </w:r>
      <w:r>
        <w:t xml:space="preserve"> </w:t>
      </w:r>
      <w:r w:rsidRPr="00B27399">
        <w:rPr>
          <w:lang w:val="en-US"/>
        </w:rPr>
        <w:t>A Guide to statistical treatment of Public-Private Partnership; EPEC, European Investment Bank; September 2016</w:t>
      </w:r>
    </w:p>
  </w:footnote>
  <w:footnote w:id="33">
    <w:p w14:paraId="3599F72D" w14:textId="77777777" w:rsidR="005E1561" w:rsidRPr="00B27399" w:rsidRDefault="005E1561" w:rsidP="00BA5347">
      <w:pPr>
        <w:pStyle w:val="FootnoteText"/>
        <w:rPr>
          <w:lang w:val="en-US"/>
        </w:rPr>
      </w:pPr>
      <w:r w:rsidRPr="00B27399">
        <w:rPr>
          <w:rStyle w:val="FootnoteReference"/>
          <w:lang w:val="en-US"/>
        </w:rPr>
        <w:footnoteRef/>
      </w:r>
      <w:r w:rsidRPr="00B27399">
        <w:rPr>
          <w:lang w:val="en-US"/>
        </w:rPr>
        <w:t xml:space="preserve"> Manual on Government deficit and debt, Implementation of ESA 2010; EUROSTAT; 2016 edition</w:t>
      </w:r>
    </w:p>
  </w:footnote>
  <w:footnote w:id="34">
    <w:p w14:paraId="6EAC488B" w14:textId="77777777" w:rsidR="005E1561" w:rsidRDefault="005E1561" w:rsidP="00BA5347">
      <w:pPr>
        <w:pStyle w:val="FootnoteText"/>
      </w:pPr>
      <w:r w:rsidRPr="00B27399">
        <w:rPr>
          <w:rStyle w:val="FootnoteReference"/>
          <w:lang w:val="en-US"/>
        </w:rPr>
        <w:footnoteRef/>
      </w:r>
      <w:r w:rsidRPr="00B27399">
        <w:rPr>
          <w:lang w:val="en-US"/>
        </w:rPr>
        <w:t xml:space="preserve"> European system of accounts, ESA 2010; EUROSTAT</w:t>
      </w:r>
    </w:p>
  </w:footnote>
  <w:footnote w:id="35">
    <w:p w14:paraId="6267FC79" w14:textId="77777777" w:rsidR="005E1561" w:rsidRDefault="005E1561" w:rsidP="00BA5347">
      <w:pPr>
        <w:pStyle w:val="FootnoteText"/>
      </w:pPr>
      <w:r>
        <w:rPr>
          <w:rStyle w:val="FootnoteReference"/>
        </w:rPr>
        <w:footnoteRef/>
      </w:r>
      <w:r>
        <w:t xml:space="preserve"> </w:t>
      </w:r>
      <w:r w:rsidRPr="006E4603">
        <w:t>kā sabiedrības vispārīgās vajadzības, kurām nav komerciāla vai rūpnieciska rakstura, saprot vajadzības, kas nav saistītas ar tiešu preču un pakalpojumu pieejamību tirgū un kas ir svarīgas sabiedrības interešu nodrošināšanai</w:t>
      </w:r>
    </w:p>
  </w:footnote>
  <w:footnote w:id="36">
    <w:p w14:paraId="4A4D9116" w14:textId="77777777" w:rsidR="005E1561" w:rsidRDefault="005E1561" w:rsidP="00BA5347">
      <w:pPr>
        <w:pStyle w:val="FootnoteText"/>
      </w:pPr>
      <w:r w:rsidRPr="00BA5347">
        <w:rPr>
          <w:rStyle w:val="FootnoteReference"/>
        </w:rPr>
        <w:footnoteRef/>
      </w:r>
      <w:r w:rsidRPr="00BA5347">
        <w:t xml:space="preserve"> </w:t>
      </w:r>
      <w:hyperlink r:id="rId15" w:history="1">
        <w:r w:rsidRPr="00BA5347">
          <w:rPr>
            <w:rStyle w:val="Hyperlink"/>
            <w:color w:val="auto"/>
          </w:rPr>
          <w:t>http://ec.europa.eu/eurostat/web/products-manuals-and-guidelines/-/KS-GQ-16-001</w:t>
        </w:r>
      </w:hyperlink>
    </w:p>
  </w:footnote>
  <w:footnote w:id="37">
    <w:p w14:paraId="1CC3DEBF" w14:textId="77777777" w:rsidR="005E1561" w:rsidRDefault="005E1561" w:rsidP="00BA5347">
      <w:pPr>
        <w:pStyle w:val="FootnoteText"/>
      </w:pPr>
      <w:r>
        <w:rPr>
          <w:rStyle w:val="FootnoteReference"/>
        </w:rPr>
        <w:footnoteRef/>
      </w:r>
      <w:r>
        <w:t xml:space="preserve"> PPP projekta cikls, CFLA, </w:t>
      </w:r>
      <w:hyperlink r:id="rId16" w:history="1">
        <w:r>
          <w:rPr>
            <w:rStyle w:val="Hyperlink"/>
          </w:rPr>
          <w:t>https://www.cfla.gov.lv/lv/citas-programmas/publiska-un-privata-partneriba/infografikas-un-skaidrojumi/ppp-projekta-cikls</w:t>
        </w:r>
      </w:hyperlink>
    </w:p>
  </w:footnote>
  <w:footnote w:id="38">
    <w:p w14:paraId="2145127D" w14:textId="77777777" w:rsidR="005E1561" w:rsidRDefault="005E1561" w:rsidP="00BA5347">
      <w:pPr>
        <w:pStyle w:val="FootnoteText"/>
      </w:pPr>
      <w:r>
        <w:rPr>
          <w:rStyle w:val="FootnoteReference"/>
        </w:rPr>
        <w:footnoteRef/>
      </w:r>
      <w:r>
        <w:t xml:space="preserve"> Finanšu un ekonomisko aprēķinu vadlīnijas, CFLA, </w:t>
      </w:r>
      <w:hyperlink r:id="rId17" w:history="1">
        <w:r>
          <w:rPr>
            <w:rStyle w:val="Hyperlink"/>
          </w:rPr>
          <w:t>https://www.cfla.gov.lv/lv/citas-programmas/publiska-un-privata-partneriba/finansu-un-ekonomisko-aprekinu-vadlinijas</w:t>
        </w:r>
      </w:hyperlink>
    </w:p>
  </w:footnote>
  <w:footnote w:id="39">
    <w:p w14:paraId="71E31BBA" w14:textId="77777777" w:rsidR="005E1561" w:rsidRDefault="005E1561" w:rsidP="00BA5347">
      <w:pPr>
        <w:pStyle w:val="FootnoteText"/>
      </w:pPr>
      <w:r>
        <w:rPr>
          <w:rStyle w:val="FootnoteReference"/>
        </w:rPr>
        <w:footnoteRef/>
      </w:r>
      <w:r>
        <w:t xml:space="preserve"> </w:t>
      </w:r>
      <w:hyperlink r:id="rId18" w:history="1">
        <w:r>
          <w:rPr>
            <w:rStyle w:val="Hyperlink"/>
          </w:rPr>
          <w:t>https://www.fm.gov.lv/lv/sadalas/ppp/ppp_ligumi/</w:t>
        </w:r>
      </w:hyperlink>
      <w:r>
        <w:t xml:space="preserve"> (skatīts 2020.gada 12.augustā)</w:t>
      </w:r>
    </w:p>
  </w:footnote>
  <w:footnote w:id="40">
    <w:p w14:paraId="30AB9200" w14:textId="77777777" w:rsidR="005E1561" w:rsidRDefault="005E1561" w:rsidP="00BA5347">
      <w:pPr>
        <w:pStyle w:val="FootnoteText"/>
      </w:pPr>
      <w:r>
        <w:rPr>
          <w:rStyle w:val="FootnoteReference"/>
        </w:rPr>
        <w:footnoteRef/>
      </w:r>
      <w:r>
        <w:t xml:space="preserve"> Apkopoti FM pieejamie dati par plānotiem projektiem un CFLA publiskotie FEA sagatavošanas lēmumi no publiskajiem partneriem (</w:t>
      </w:r>
      <w:hyperlink r:id="rId19" w:history="1">
        <w:r>
          <w:rPr>
            <w:rStyle w:val="Hyperlink"/>
          </w:rPr>
          <w:t>https://www.fm.gov.lv/lv/sadalas/ppp/ppp_ligumi/</w:t>
        </w:r>
      </w:hyperlink>
      <w:r>
        <w:t xml:space="preserve"> (skatīts 2020.gada 12.augustā); </w:t>
      </w:r>
      <w:hyperlink r:id="rId20" w:history="1">
        <w:r>
          <w:rPr>
            <w:rStyle w:val="Hyperlink"/>
          </w:rPr>
          <w:t>https://cfla.gov.lv/lv/citas-programmas/publiska-un-privata-partneriba/finansu-un-ekonomisko-aprekinu-sagatavosanas-lemumi</w:t>
        </w:r>
      </w:hyperlink>
      <w:r>
        <w:t xml:space="preserve"> (skatīts 2020.gada 12.augustā)).</w:t>
      </w:r>
    </w:p>
  </w:footnote>
  <w:footnote w:id="41">
    <w:p w14:paraId="410CE556" w14:textId="77777777" w:rsidR="005E1561" w:rsidRDefault="005E1561" w:rsidP="00BA5347">
      <w:pPr>
        <w:pStyle w:val="FootnoteText"/>
      </w:pPr>
      <w:r>
        <w:rPr>
          <w:rStyle w:val="FootnoteReference"/>
        </w:rPr>
        <w:footnoteRef/>
      </w:r>
      <w:hyperlink r:id="rId21" w:anchor="kekavas-apavedcela-ppp-projekts" w:history="1">
        <w:r>
          <w:rPr>
            <w:rStyle w:val="Hyperlink"/>
          </w:rPr>
          <w:t>https://lvceli.lv/projekti/kekavas-apvedcela-ppp-projekts/#kekavas-apavedcela-ppp-projekts</w:t>
        </w:r>
      </w:hyperlink>
      <w:r>
        <w:t>; Atvērto durvju dienu 2018.gada 4.-7.septembris SM prezentācija angļu valodā (</w:t>
      </w:r>
      <w:r w:rsidRPr="00C46EC2">
        <w:t>http://lvceli.lv/wp-content/uploads/2017/10/Open_Day2_Info_material_31_08_2018.pdf</w:t>
      </w:r>
      <w:r>
        <w:t>)</w:t>
      </w:r>
    </w:p>
  </w:footnote>
  <w:footnote w:id="42">
    <w:p w14:paraId="26C6FE31" w14:textId="77777777" w:rsidR="005E1561" w:rsidRDefault="005E1561" w:rsidP="00BA5347">
      <w:pPr>
        <w:pStyle w:val="FootnoteText"/>
      </w:pPr>
      <w:r>
        <w:rPr>
          <w:rStyle w:val="FootnoteReference"/>
        </w:rPr>
        <w:footnoteRef/>
      </w:r>
      <w:r>
        <w:t xml:space="preserve"> </w:t>
      </w:r>
      <w:hyperlink r:id="rId22" w:anchor="kekavas-apavedcela-ppp-projekts" w:history="1">
        <w:r>
          <w:rPr>
            <w:rStyle w:val="Hyperlink"/>
          </w:rPr>
          <w:t>https://lvceli.lv/projekti/kekavas-apvedcela-ppp-projekts/#kekavas-apavedcela-ppp-projekts</w:t>
        </w:r>
      </w:hyperlink>
    </w:p>
  </w:footnote>
  <w:footnote w:id="43">
    <w:p w14:paraId="3B12717F" w14:textId="77777777" w:rsidR="005E1561" w:rsidRDefault="005E1561" w:rsidP="00BA5347">
      <w:pPr>
        <w:pStyle w:val="FootnoteText"/>
      </w:pPr>
      <w:r>
        <w:rPr>
          <w:rStyle w:val="FootnoteReference"/>
        </w:rPr>
        <w:footnoteRef/>
      </w:r>
      <w:r>
        <w:t xml:space="preserve"> </w:t>
      </w:r>
      <w:r w:rsidRPr="00310195">
        <w:t xml:space="preserve">Galvenā informācija no atvērto durvju dienām:  </w:t>
      </w:r>
      <w:hyperlink r:id="rId23" w:history="1">
        <w:r w:rsidRPr="00310195">
          <w:rPr>
            <w:rStyle w:val="Hyperlink"/>
          </w:rPr>
          <w:t>Prezentācija_2.Atvērto durvju dienas_04.-07.09.2018</w:t>
        </w:r>
      </w:hyperlink>
      <w:r w:rsidRPr="00310195">
        <w:t xml:space="preserve">. </w:t>
      </w:r>
      <w:r w:rsidRPr="00310195">
        <w:rPr>
          <w:i/>
        </w:rPr>
        <w:t>(angļu val.)</w:t>
      </w:r>
      <w:r w:rsidRPr="00310195">
        <w:t xml:space="preserve">; </w:t>
      </w:r>
      <w:hyperlink r:id="rId24" w:history="1">
        <w:r w:rsidRPr="00310195">
          <w:rPr>
            <w:rStyle w:val="Hyperlink"/>
          </w:rPr>
          <w:t>Biežāk uzdotie jautājumi un atbildes</w:t>
        </w:r>
      </w:hyperlink>
      <w:r w:rsidRPr="00310195">
        <w:t xml:space="preserve"> </w:t>
      </w:r>
      <w:r w:rsidRPr="00310195">
        <w:rPr>
          <w:i/>
        </w:rPr>
        <w:t>(angļu val.)</w:t>
      </w:r>
      <w:r>
        <w:rPr>
          <w:i/>
        </w:rPr>
        <w:t>.</w:t>
      </w:r>
    </w:p>
  </w:footnote>
  <w:footnote w:id="44">
    <w:p w14:paraId="4D98EADB" w14:textId="77777777" w:rsidR="005E1561" w:rsidRDefault="005E1561" w:rsidP="00BA5347">
      <w:pPr>
        <w:pStyle w:val="FootnoteText"/>
      </w:pPr>
      <w:r>
        <w:rPr>
          <w:rStyle w:val="FootnoteReference"/>
        </w:rPr>
        <w:footnoteRef/>
      </w:r>
      <w:r>
        <w:t xml:space="preserve"> </w:t>
      </w:r>
      <w:r w:rsidRPr="0069644E">
        <w:t>Īpašais ziņojums “Publiskā un privātā sektora partnerība Eiropas Savienībā:</w:t>
      </w:r>
      <w:r>
        <w:t xml:space="preserve"> plaši izplatītas nepilnības un </w:t>
      </w:r>
      <w:r w:rsidRPr="0069644E">
        <w:t>ie</w:t>
      </w:r>
      <w:r>
        <w:t>robežoti ieguvumi”,2018.gads (</w:t>
      </w:r>
      <w:r w:rsidRPr="0069644E">
        <w:t>https://www.eca.europa.eu/Lists/ECADocuments/SR18_09/SR_PPP_LV.pdf)</w:t>
      </w:r>
    </w:p>
  </w:footnote>
  <w:footnote w:id="45">
    <w:p w14:paraId="7E76A59A" w14:textId="77777777" w:rsidR="005E1561" w:rsidRDefault="005E1561" w:rsidP="00BA5347">
      <w:pPr>
        <w:pStyle w:val="CommentText"/>
      </w:pPr>
      <w:r>
        <w:rPr>
          <w:rStyle w:val="FootnoteReference"/>
        </w:rPr>
        <w:footnoteRef/>
      </w:r>
      <w:r>
        <w:t xml:space="preserve"> Īpašais ziņojums “Publiskā un privātā sektora partnerība Eiropas Savienībā: plaši izplatītas nepilnības un ierobežoti ieguvumi”, 2018.gads (</w:t>
      </w:r>
      <w:hyperlink r:id="rId25" w:history="1">
        <w:r w:rsidRPr="00424387">
          <w:rPr>
            <w:rStyle w:val="Hyperlink"/>
          </w:rPr>
          <w:t>https://www.eca.europa.eu/Lists/ECADocuments/SR18_09/SR_PPP_LV.pdf</w:t>
        </w:r>
      </w:hyperlink>
      <w:r>
        <w:t>)</w:t>
      </w:r>
    </w:p>
  </w:footnote>
  <w:footnote w:id="46">
    <w:p w14:paraId="28BC012E" w14:textId="77777777" w:rsidR="005E1561" w:rsidRDefault="005E1561" w:rsidP="00BA5347">
      <w:pPr>
        <w:pStyle w:val="FootnoteText"/>
      </w:pPr>
      <w:r>
        <w:rPr>
          <w:rStyle w:val="FootnoteReference"/>
        </w:rPr>
        <w:footnoteRef/>
      </w:r>
      <w:r>
        <w:t xml:space="preserve"> EIB ziņojums par Eiropas PPP tirgu 2019.gadā, angļu valodā (</w:t>
      </w:r>
      <w:r w:rsidRPr="00737FFE">
        <w:t>https://www.eib.org/attachments/epec/epec_market_update_2019_en.pdf</w:t>
      </w:r>
      <w:r>
        <w:t>)</w:t>
      </w:r>
    </w:p>
  </w:footnote>
  <w:footnote w:id="47">
    <w:p w14:paraId="4F85FB7B" w14:textId="77777777" w:rsidR="005E1561" w:rsidRDefault="005E1561" w:rsidP="00BA5347">
      <w:pPr>
        <w:pStyle w:val="FootnoteText"/>
      </w:pPr>
      <w:r>
        <w:rPr>
          <w:rStyle w:val="FootnoteReference"/>
        </w:rPr>
        <w:footnoteRef/>
      </w:r>
      <w:r>
        <w:t xml:space="preserve"> </w:t>
      </w:r>
      <w:hyperlink r:id="rId26" w:history="1">
        <w:r>
          <w:rPr>
            <w:rStyle w:val="Hyperlink"/>
          </w:rPr>
          <w:t>https://www.ppplietuva.lt/en/</w:t>
        </w:r>
      </w:hyperlink>
    </w:p>
  </w:footnote>
  <w:footnote w:id="48">
    <w:p w14:paraId="620D793F" w14:textId="77777777" w:rsidR="005E1561" w:rsidRDefault="005E1561" w:rsidP="00BA5347">
      <w:pPr>
        <w:pStyle w:val="FootnoteText"/>
      </w:pPr>
      <w:r>
        <w:rPr>
          <w:rStyle w:val="FootnoteReference"/>
        </w:rPr>
        <w:footnoteRef/>
      </w:r>
      <w:r>
        <w:t xml:space="preserve"> </w:t>
      </w:r>
      <w:r>
        <w:rPr>
          <w:rFonts w:cs="Times New Roman"/>
          <w:szCs w:val="24"/>
        </w:rPr>
        <w:t>CPVA, PPP Lietuvā</w:t>
      </w:r>
      <w:r>
        <w:t xml:space="preserve"> </w:t>
      </w:r>
      <w:hyperlink r:id="rId27" w:history="1">
        <w:r w:rsidRPr="00D226C1">
          <w:rPr>
            <w:rStyle w:val="Hyperlink"/>
          </w:rPr>
          <w:t>https://ppplietuva.lt/</w:t>
        </w:r>
      </w:hyperlink>
    </w:p>
  </w:footnote>
  <w:footnote w:id="49">
    <w:p w14:paraId="39F13E61" w14:textId="66147A65" w:rsidR="005E1561" w:rsidRDefault="005E1561" w:rsidP="00BA5347">
      <w:pPr>
        <w:pStyle w:val="FootnoteText"/>
      </w:pPr>
      <w:r>
        <w:rPr>
          <w:rStyle w:val="FootnoteReference"/>
        </w:rPr>
        <w:footnoteRef/>
      </w:r>
      <w:r>
        <w:rPr>
          <w:rFonts w:cs="Times New Roman"/>
          <w:szCs w:val="24"/>
        </w:rPr>
        <w:t xml:space="preserve">CPVA, </w:t>
      </w:r>
      <w:r w:rsidRPr="00BF6D43">
        <w:rPr>
          <w:rFonts w:cs="Times New Roman"/>
          <w:szCs w:val="24"/>
        </w:rPr>
        <w:t>Skolas ēkas būvniecības un pārvaldīšana</w:t>
      </w:r>
      <w:r>
        <w:t xml:space="preserve"> </w:t>
      </w:r>
      <w:hyperlink r:id="rId28" w:history="1">
        <w:r>
          <w:rPr>
            <w:rStyle w:val="Hyperlink"/>
          </w:rPr>
          <w:t>https://ppplietuva.lt/lt/viesojo-ir-privataus-sektoriu-partneryste/projektai/vilniaus-miesto-balsiu-mokyklos-statybos-ir-ukio-prieziuros-vykdymo-projektas</w:t>
        </w:r>
      </w:hyperlink>
    </w:p>
  </w:footnote>
  <w:footnote w:id="50">
    <w:p w14:paraId="76F2D691" w14:textId="3316AD30" w:rsidR="005E1561" w:rsidRDefault="005E1561" w:rsidP="00BA5347">
      <w:pPr>
        <w:pStyle w:val="FootnoteText"/>
      </w:pPr>
      <w:r>
        <w:rPr>
          <w:rStyle w:val="FootnoteReference"/>
        </w:rPr>
        <w:footnoteRef/>
      </w:r>
      <w:r>
        <w:t xml:space="preserve">CPVA, </w:t>
      </w:r>
      <w:r w:rsidRPr="00BF6D43">
        <w:rPr>
          <w:rFonts w:cs="Times New Roman"/>
          <w:szCs w:val="24"/>
        </w:rPr>
        <w:t>Palangas apvedceļa būvniecība un uzturēšana</w:t>
      </w:r>
      <w:r>
        <w:t xml:space="preserve"> </w:t>
      </w:r>
      <w:hyperlink r:id="rId29" w:history="1">
        <w:r>
          <w:rPr>
            <w:rStyle w:val="Hyperlink"/>
          </w:rPr>
          <w:t>https://ppplietuva.lt/lt/viesojo-ir-privataus-sektoriu-partneryste/projektai/palangos-aplinkkelio-tiesimo-ir-eksploatacines-prieziuros-vykdymo-projektas</w:t>
        </w:r>
      </w:hyperlink>
    </w:p>
  </w:footnote>
  <w:footnote w:id="51">
    <w:p w14:paraId="5D1E75E1" w14:textId="7C7EE7F6" w:rsidR="005E1561" w:rsidRDefault="005E1561" w:rsidP="00BA5347">
      <w:pPr>
        <w:pStyle w:val="CommentText"/>
        <w:spacing w:after="0"/>
        <w:jc w:val="both"/>
      </w:pPr>
      <w:r>
        <w:rPr>
          <w:rStyle w:val="FootnoteReference"/>
        </w:rPr>
        <w:footnoteRef/>
      </w:r>
      <w:r>
        <w:t xml:space="preserve">CPVA, </w:t>
      </w:r>
      <w:r w:rsidRPr="0013167A">
        <w:rPr>
          <w:szCs w:val="24"/>
        </w:rPr>
        <w:t>Viļņas pašvaldības policijas ēkas būvniecība un pārvaldīšana</w:t>
      </w:r>
      <w:r>
        <w:t xml:space="preserve"> </w:t>
      </w:r>
      <w:hyperlink r:id="rId30" w:history="1">
        <w:r>
          <w:rPr>
            <w:rStyle w:val="Hyperlink"/>
          </w:rPr>
          <w:t>https://ppplietuva.lt/lt/viesojo-ir-privataus-sektoriu-partneryste/projektai/policijos-departamento-prie-vrm-vilniaus-apskrities-vyriausiojo-policijos-komisariato-projektas</w:t>
        </w:r>
      </w:hyperlink>
    </w:p>
    <w:p w14:paraId="749D26A8" w14:textId="77777777" w:rsidR="005E1561" w:rsidRDefault="005E1561" w:rsidP="00BA5347">
      <w:pPr>
        <w:pStyle w:val="FootnoteText"/>
      </w:pPr>
    </w:p>
  </w:footnote>
  <w:footnote w:id="52">
    <w:p w14:paraId="4BE0E6C7" w14:textId="77777777" w:rsidR="005E1561" w:rsidRDefault="005E1561" w:rsidP="00BA5347">
      <w:pPr>
        <w:pStyle w:val="FootnoteText"/>
      </w:pPr>
      <w:r>
        <w:rPr>
          <w:rStyle w:val="FootnoteReference"/>
        </w:rPr>
        <w:footnoteRef/>
      </w:r>
      <w:r>
        <w:t xml:space="preserve"> PwC 2016.gadā veiktais pētījums par PPP aktuālo situāciju Igaunijā (</w:t>
      </w:r>
      <w:r w:rsidRPr="00737FFE">
        <w:t>https://www.rahandusministeerium.ee/sites/default/files/RiigRiigi_kinnisvararegister/uuring_avaliku_ja_erasektori_koostooprojektide_ppp_raamistiku_loomiseks_lopparuanne_0.pdf</w:t>
      </w:r>
      <w:r>
        <w:t>)</w:t>
      </w:r>
    </w:p>
  </w:footnote>
  <w:footnote w:id="53">
    <w:p w14:paraId="0E0241EE" w14:textId="77777777" w:rsidR="005E1561" w:rsidRDefault="005E1561" w:rsidP="00BA5347">
      <w:pPr>
        <w:pStyle w:val="FootnoteText"/>
      </w:pPr>
      <w:r>
        <w:rPr>
          <w:rStyle w:val="FootnoteReference"/>
        </w:rPr>
        <w:footnoteRef/>
      </w:r>
      <w:r>
        <w:t xml:space="preserve"> </w:t>
      </w:r>
      <w:hyperlink r:id="rId31" w:history="1">
        <w:r>
          <w:rPr>
            <w:rStyle w:val="Hyperlink"/>
          </w:rPr>
          <w:t>https://www.err.ee/1016118/valitsus-kiitis-heaks-ppp-projektide-pohimotted-ja-juhised</w:t>
        </w:r>
      </w:hyperlink>
      <w:r>
        <w:t xml:space="preserve"> (skatīts 2020.gada 12.augustā)</w:t>
      </w:r>
    </w:p>
  </w:footnote>
  <w:footnote w:id="54">
    <w:p w14:paraId="07A7EE94" w14:textId="77777777" w:rsidR="005E1561" w:rsidRDefault="005E1561" w:rsidP="00BA5347">
      <w:pPr>
        <w:pStyle w:val="FootnoteText"/>
      </w:pPr>
      <w:r>
        <w:rPr>
          <w:rStyle w:val="FootnoteReference"/>
        </w:rPr>
        <w:footnoteRef/>
      </w:r>
      <w:r>
        <w:t xml:space="preserve"> </w:t>
      </w:r>
      <w:hyperlink r:id="rId32" w:history="1">
        <w:r>
          <w:rPr>
            <w:rStyle w:val="Hyperlink"/>
          </w:rPr>
          <w:t>https://www.err.ee/1021026/aasa-hinnangul-voibki-maanteede-neljarajaliseks-ehitamisele-kuluda-15-aastat</w:t>
        </w:r>
      </w:hyperlink>
      <w:r>
        <w:t xml:space="preserve"> (skatīts 2020.gada 12.augustā)</w:t>
      </w:r>
    </w:p>
  </w:footnote>
  <w:footnote w:id="55">
    <w:p w14:paraId="50785033" w14:textId="77777777" w:rsidR="005E1561" w:rsidRDefault="005E1561" w:rsidP="00BA5347">
      <w:pPr>
        <w:pStyle w:val="FootnoteText"/>
      </w:pPr>
      <w:r>
        <w:rPr>
          <w:rStyle w:val="FootnoteReference"/>
        </w:rPr>
        <w:footnoteRef/>
      </w:r>
      <w:r>
        <w:t xml:space="preserve"> </w:t>
      </w:r>
      <w:hyperlink r:id="rId33" w:history="1">
        <w:r>
          <w:rPr>
            <w:rStyle w:val="Hyperlink"/>
          </w:rPr>
          <w:t>https://www.gov.pl/web/fundusze-regiony/partnerstwo-publiczno-prywatne</w:t>
        </w:r>
      </w:hyperlink>
      <w:r>
        <w:t xml:space="preserve"> (skatīts 2020.gada 12.augustā)</w:t>
      </w:r>
    </w:p>
  </w:footnote>
  <w:footnote w:id="56">
    <w:p w14:paraId="32A9835A" w14:textId="77777777" w:rsidR="005E1561" w:rsidRDefault="005E1561" w:rsidP="00BA5347">
      <w:pPr>
        <w:pStyle w:val="FootnoteText"/>
      </w:pPr>
      <w:r>
        <w:rPr>
          <w:rStyle w:val="FootnoteReference"/>
        </w:rPr>
        <w:footnoteRef/>
      </w:r>
      <w:r>
        <w:t xml:space="preserve"> </w:t>
      </w:r>
      <w:r w:rsidRPr="00CF3192">
        <w:t xml:space="preserve">Polijā noslēgto PPP līgumu dinamika 2009.gads – 2019.gads </w:t>
      </w:r>
      <w:hyperlink r:id="rId34" w:history="1">
        <w:r w:rsidRPr="00424387">
          <w:rPr>
            <w:rStyle w:val="Hyperlink"/>
          </w:rPr>
          <w:t>https://www.ppp.gov.pl/media/system/slowniki/Raport-z-rynku-PPP-2019-FIN_1.pdf</w:t>
        </w:r>
      </w:hyperlink>
    </w:p>
  </w:footnote>
  <w:footnote w:id="57">
    <w:p w14:paraId="2C20F0D5" w14:textId="77777777" w:rsidR="005E1561" w:rsidRDefault="005E1561" w:rsidP="00BA5347">
      <w:pPr>
        <w:pStyle w:val="FootnoteText"/>
      </w:pPr>
      <w:r>
        <w:rPr>
          <w:rStyle w:val="FootnoteReference"/>
        </w:rPr>
        <w:footnoteRef/>
      </w:r>
      <w:r>
        <w:t xml:space="preserve"> </w:t>
      </w:r>
      <w:hyperlink r:id="rId35" w:history="1">
        <w:r>
          <w:rPr>
            <w:rStyle w:val="Hyperlink"/>
          </w:rPr>
          <w:t>https://www.ppp.gov.pl/baza-zawartych-umow-ppp/</w:t>
        </w:r>
      </w:hyperlink>
      <w:r>
        <w:t xml:space="preserve"> (skatīts 2020.gada 12.augustā)</w:t>
      </w:r>
    </w:p>
  </w:footnote>
  <w:footnote w:id="58">
    <w:p w14:paraId="3A5A0A04" w14:textId="5009A856" w:rsidR="005E1561" w:rsidRDefault="005E1561">
      <w:pPr>
        <w:pStyle w:val="FootnoteText"/>
      </w:pPr>
      <w:r>
        <w:rPr>
          <w:rStyle w:val="FootnoteReference"/>
        </w:rPr>
        <w:footnoteRef/>
      </w:r>
      <w:r>
        <w:t xml:space="preserve"> </w:t>
      </w:r>
      <w:r>
        <w:rPr>
          <w:color w:val="000000" w:themeColor="text1"/>
        </w:rPr>
        <w:t>Valsts Kancelejas aptauja ministrijām, 2019</w:t>
      </w:r>
    </w:p>
  </w:footnote>
  <w:footnote w:id="59">
    <w:p w14:paraId="35718627" w14:textId="77777777" w:rsidR="005E1561" w:rsidRPr="005C62B2" w:rsidRDefault="005E1561" w:rsidP="00BA5347">
      <w:pPr>
        <w:pStyle w:val="FootnoteText"/>
      </w:pPr>
      <w:r w:rsidRPr="005C62B2">
        <w:rPr>
          <w:rStyle w:val="FootnoteReference"/>
        </w:rPr>
        <w:footnoteRef/>
      </w:r>
      <w:r w:rsidRPr="005C62B2">
        <w:t xml:space="preserve"> 2019 OECD Good Practices for Performance Budgeting, Pieejams: </w:t>
      </w:r>
      <w:hyperlink r:id="rId36" w:history="1">
        <w:r w:rsidRPr="005C62B2">
          <w:rPr>
            <w:rStyle w:val="Hyperlink"/>
          </w:rPr>
          <w:t>http://www.oecd.org/gov/oecd-good-practices-for-performance-budgeting-c90b0305-en.htm</w:t>
        </w:r>
      </w:hyperlink>
      <w:r w:rsidRPr="005C62B2">
        <w:t xml:space="preserve"> </w:t>
      </w:r>
    </w:p>
  </w:footnote>
  <w:footnote w:id="60">
    <w:p w14:paraId="5F344508" w14:textId="77777777" w:rsidR="005E1561" w:rsidRDefault="005E1561" w:rsidP="00BA5347">
      <w:pPr>
        <w:pStyle w:val="FootnoteText"/>
      </w:pPr>
      <w:r w:rsidRPr="005C62B2">
        <w:rPr>
          <w:rStyle w:val="FootnoteReference"/>
        </w:rPr>
        <w:footnoteRef/>
      </w:r>
      <w:r w:rsidRPr="005C62B2">
        <w:rPr>
          <w:lang w:val="en"/>
        </w:rPr>
        <w:t xml:space="preserve"> 2015 OECD Recommendation of the Council on Gender Equality in Public Life,</w:t>
      </w:r>
      <w:r w:rsidRPr="005C62B2">
        <w:t xml:space="preserve">  Pieejams: </w:t>
      </w:r>
      <w:hyperlink r:id="rId37" w:history="1">
        <w:r w:rsidRPr="005C62B2">
          <w:rPr>
            <w:rStyle w:val="Hyperlink"/>
          </w:rPr>
          <w:t>https://www.oecd-ilibrary.org/governance/2015-oecd-recommendation-of-the-council-on-gender-equality-in-public-life_9789264252820-en</w:t>
        </w:r>
      </w:hyperlink>
      <w:r w:rsidRPr="005C62B2">
        <w:t xml:space="preserve"> </w:t>
      </w:r>
    </w:p>
  </w:footnote>
  <w:footnote w:id="61">
    <w:p w14:paraId="6260B9DC" w14:textId="77777777" w:rsidR="005E1561" w:rsidRPr="003C5580" w:rsidRDefault="005E1561" w:rsidP="00BA5347">
      <w:pPr>
        <w:pStyle w:val="FootnoteText"/>
      </w:pPr>
      <w:r w:rsidRPr="007318DB">
        <w:rPr>
          <w:rStyle w:val="FootnoteReference"/>
          <w:rFonts w:cs="Times New Roman"/>
        </w:rPr>
        <w:footnoteRef/>
      </w:r>
      <w:r w:rsidRPr="007318DB">
        <w:t xml:space="preserve"> </w:t>
      </w:r>
      <w:r w:rsidRPr="007318DB">
        <w:rPr>
          <w:i/>
        </w:rPr>
        <w:t>Keep within budget</w:t>
      </w:r>
      <w:r>
        <w:rPr>
          <w:i/>
        </w:rPr>
        <w:t xml:space="preserve"> </w:t>
      </w:r>
      <w:r w:rsidRPr="003C5580">
        <w:t>(šeit un turpmāk tekstā norādītas atsauces arī angļu valodā, lai saglabātu terminoloģiju oriģinālvalodā)</w:t>
      </w:r>
    </w:p>
  </w:footnote>
  <w:footnote w:id="62">
    <w:p w14:paraId="33C713E0" w14:textId="77777777" w:rsidR="005E1561" w:rsidRPr="00FE065F" w:rsidRDefault="005E1561" w:rsidP="00BA5347">
      <w:pPr>
        <w:pStyle w:val="FootnoteText"/>
      </w:pPr>
      <w:r w:rsidRPr="00FE065F">
        <w:rPr>
          <w:rStyle w:val="FootnoteReference"/>
          <w:rFonts w:cs="Times New Roman"/>
        </w:rPr>
        <w:footnoteRef/>
      </w:r>
      <w:r w:rsidRPr="00FE065F">
        <w:t xml:space="preserve"> Piemēram, Nīderlandē finanšu funkcija ir decentralizēta caur visām demokrātiski ievēlētajām institūcijām (vietējās valdības (provinces, municipalitātes), ministri un aģentūras), kas savukārt nozīmē, ka resoru ministrijas ir atbildīgas parlamenta priekšā par savas politikas īstenošanu, tās sasniedzamajam rezultātiem un tiem piešķirto budžetu.</w:t>
      </w:r>
    </w:p>
  </w:footnote>
  <w:footnote w:id="63">
    <w:p w14:paraId="775241E0" w14:textId="77777777" w:rsidR="005E1561" w:rsidRPr="008B2663" w:rsidRDefault="005E1561" w:rsidP="00BA5347">
      <w:pPr>
        <w:pStyle w:val="FootnoteText"/>
      </w:pPr>
      <w:r w:rsidRPr="008B2663">
        <w:rPr>
          <w:rStyle w:val="FootnoteReference"/>
          <w:rFonts w:cs="Times New Roman"/>
        </w:rPr>
        <w:footnoteRef/>
      </w:r>
      <w:r w:rsidRPr="008B2663">
        <w:t xml:space="preserve"> Public Finance in the Netherlands, National Academy for Finance and Economics, Ministry of Finance</w:t>
      </w:r>
    </w:p>
  </w:footnote>
  <w:footnote w:id="64">
    <w:p w14:paraId="29B635D9" w14:textId="77777777" w:rsidR="005E1561" w:rsidRPr="0094519D" w:rsidRDefault="005E1561" w:rsidP="00BA5347">
      <w:pPr>
        <w:pStyle w:val="FootnoteText"/>
      </w:pPr>
      <w:r w:rsidRPr="0094519D">
        <w:rPr>
          <w:rStyle w:val="FootnoteReference"/>
          <w:rFonts w:cs="Times New Roman"/>
        </w:rPr>
        <w:footnoteRef/>
      </w:r>
      <w:r w:rsidRPr="0094519D">
        <w:t xml:space="preserve"> Tostarp attīstot budžetēšanu starpresoru programmu līmenī (</w:t>
      </w:r>
      <w:r w:rsidRPr="0094519D">
        <w:rPr>
          <w:i/>
        </w:rPr>
        <w:t xml:space="preserve">programme </w:t>
      </w:r>
      <w:r w:rsidRPr="0094519D">
        <w:t xml:space="preserve">jeb </w:t>
      </w:r>
      <w:r w:rsidRPr="0094519D">
        <w:rPr>
          <w:i/>
        </w:rPr>
        <w:t>performance budgeting</w:t>
      </w:r>
      <w:r w:rsidRPr="0094519D">
        <w:t xml:space="preserve">), par primāro budžeta līmeni izvirzot programmu (kuras ieviešanā var sadarboties arī vairāki resori), nevis budžeta resoru (kā tas ir pašreiz). </w:t>
      </w:r>
    </w:p>
  </w:footnote>
  <w:footnote w:id="65">
    <w:p w14:paraId="4E3C88E4" w14:textId="77777777" w:rsidR="005E1561" w:rsidRPr="0094519D" w:rsidRDefault="005E1561" w:rsidP="00BA5347">
      <w:pPr>
        <w:pStyle w:val="FootnoteText"/>
      </w:pPr>
      <w:r w:rsidRPr="0094519D">
        <w:rPr>
          <w:rStyle w:val="FootnoteReference"/>
          <w:rFonts w:cs="Times New Roman"/>
        </w:rPr>
        <w:footnoteRef/>
      </w:r>
      <w:r w:rsidRPr="00F5289D">
        <w:rPr>
          <w:lang w:val="it-IT"/>
        </w:rPr>
        <w:t xml:space="preserve"> </w:t>
      </w:r>
      <w:r w:rsidRPr="0094519D">
        <w:t>VID administrētie nodokļi, nodevas un citi maksājumi</w:t>
      </w:r>
    </w:p>
  </w:footnote>
  <w:footnote w:id="66">
    <w:p w14:paraId="035C827A" w14:textId="77777777" w:rsidR="005E1561" w:rsidRPr="00BB372B" w:rsidRDefault="005E1561" w:rsidP="00BA5347">
      <w:pPr>
        <w:pStyle w:val="FootnoteText"/>
      </w:pPr>
      <w:r w:rsidRPr="00BB372B">
        <w:rPr>
          <w:rStyle w:val="FootnoteReference"/>
          <w:rFonts w:cs="Times New Roman"/>
        </w:rPr>
        <w:footnoteRef/>
      </w:r>
      <w:r w:rsidRPr="00BB372B">
        <w:t xml:space="preserve"> https://www.kase.gov.lv/sites/default/files/public/KAPAD/ePlani/iestades_PAS_VBI_01012019.pdf</w:t>
      </w:r>
    </w:p>
  </w:footnote>
  <w:footnote w:id="67">
    <w:p w14:paraId="0F06282A" w14:textId="77777777" w:rsidR="005E1561" w:rsidRPr="00A83888" w:rsidRDefault="005E1561" w:rsidP="00BA5347">
      <w:pPr>
        <w:pStyle w:val="FootnoteText"/>
      </w:pPr>
      <w:r>
        <w:rPr>
          <w:rStyle w:val="FootnoteReference"/>
        </w:rPr>
        <w:footnoteRef/>
      </w:r>
      <w:r w:rsidRPr="00A83888">
        <w:t xml:space="preserve"> </w:t>
      </w:r>
      <w:r>
        <w:t>VKo</w:t>
      </w:r>
      <w:r w:rsidRPr="00A83888">
        <w:t xml:space="preserve"> revīzijas ziņojums Nr.2.4.1-23/2018 “Par Latvijas Republikas 2018.gada pārskatu par valsts budžeta izpildi un par pašvaldību budžetiem”</w:t>
      </w:r>
    </w:p>
  </w:footnote>
  <w:footnote w:id="68">
    <w:p w14:paraId="12E115A6" w14:textId="77777777" w:rsidR="005E1561" w:rsidRPr="00A83888" w:rsidRDefault="005E1561" w:rsidP="00BA5347">
      <w:pPr>
        <w:pStyle w:val="FootnoteText"/>
      </w:pPr>
      <w:r>
        <w:rPr>
          <w:rStyle w:val="FootnoteReference"/>
        </w:rPr>
        <w:footnoteRef/>
      </w:r>
      <w:r w:rsidRPr="00A83888">
        <w:t xml:space="preserve"> Organizatorisks veidojums, kurā piedalās valdības pārstāvji, sadarbības partneri un citas pieaicinātās puses, atbilstoši konkrētās valdības politikai un uzstādījumiem. Var būt formāli apstiprināts (piemēram, ar Ministru prezidenta rīkojumu) vai neformāls (ko vada finanšu ministrs vai premjers).</w:t>
      </w:r>
    </w:p>
  </w:footnote>
  <w:footnote w:id="69">
    <w:p w14:paraId="60084809" w14:textId="77777777" w:rsidR="005E1561" w:rsidRPr="00A83888" w:rsidRDefault="005E1561" w:rsidP="00BA5347">
      <w:pPr>
        <w:pStyle w:val="FootnoteText"/>
      </w:pPr>
      <w:r>
        <w:rPr>
          <w:rStyle w:val="FootnoteReference"/>
        </w:rPr>
        <w:footnoteRef/>
      </w:r>
      <w:r w:rsidRPr="00A83888">
        <w:t xml:space="preserve"> Saeima, Valsts prezidenta kanceleja, Augstākā tiesa, Satversmes tiesa, </w:t>
      </w:r>
      <w:r>
        <w:t>TM</w:t>
      </w:r>
      <w:r w:rsidRPr="00A83888">
        <w:t xml:space="preserve"> [par rajonu (pilsētu) tiesām, apgabaltiesām un Datu valsts inspekciju], </w:t>
      </w:r>
      <w:r>
        <w:t>VKo</w:t>
      </w:r>
      <w:r w:rsidRPr="00A83888">
        <w:t xml:space="preserve">, </w:t>
      </w:r>
      <w:r>
        <w:t>NEPLP</w:t>
      </w:r>
      <w:r w:rsidRPr="00A83888">
        <w:t xml:space="preserve">, </w:t>
      </w:r>
      <w:r>
        <w:t>TB</w:t>
      </w:r>
      <w:r w:rsidRPr="00A83888">
        <w:t xml:space="preserve">, </w:t>
      </w:r>
      <w:r>
        <w:t>SPRK</w:t>
      </w:r>
      <w:r w:rsidRPr="00A83888">
        <w:t xml:space="preserve"> un Ģenerālprokuratūra</w:t>
      </w:r>
    </w:p>
  </w:footnote>
  <w:footnote w:id="70">
    <w:p w14:paraId="73492CF4" w14:textId="77777777" w:rsidR="005E1561" w:rsidRPr="0097098F" w:rsidRDefault="005E1561" w:rsidP="00BA5347">
      <w:pPr>
        <w:pStyle w:val="FootnoteText"/>
      </w:pPr>
      <w:r w:rsidRPr="0097098F">
        <w:rPr>
          <w:rStyle w:val="FootnoteReference"/>
          <w:rFonts w:cs="Times New Roman"/>
        </w:rPr>
        <w:footnoteRef/>
      </w:r>
      <w:r w:rsidRPr="0097098F">
        <w:t xml:space="preserve"> FM Informatīvais ziņojums “Par valsts budžeta izdevumu pārskatīšanas 2018., 2019. un 2020.gadam rezultātiem un priekšlikumi par šo rezultātu izmantošanu likumprojekta “Par vidēja termiņa budžeta 2018., 2019. un 2020.gadam” un likumprojekta “Par valsts budžetu 2018.gadam” izstrādes procesā”</w:t>
      </w:r>
    </w:p>
  </w:footnote>
  <w:footnote w:id="71">
    <w:p w14:paraId="594E7FCE" w14:textId="77777777" w:rsidR="005E1561" w:rsidRPr="0097098F" w:rsidRDefault="005E1561" w:rsidP="00BA5347">
      <w:pPr>
        <w:pStyle w:val="FootnoteText"/>
      </w:pPr>
      <w:r w:rsidRPr="0097098F">
        <w:rPr>
          <w:rStyle w:val="FootnoteReference"/>
          <w:rFonts w:cs="Times New Roman"/>
        </w:rPr>
        <w:footnoteRef/>
      </w:r>
      <w:r w:rsidRPr="0097098F">
        <w:t xml:space="preserve"> Turpat</w:t>
      </w:r>
    </w:p>
  </w:footnote>
  <w:footnote w:id="72">
    <w:p w14:paraId="3389E2B8" w14:textId="77777777" w:rsidR="005E1561" w:rsidRPr="006E65F5" w:rsidRDefault="005E1561" w:rsidP="00BA5347">
      <w:pPr>
        <w:pStyle w:val="FootnoteText"/>
      </w:pPr>
      <w:r w:rsidRPr="0097098F">
        <w:rPr>
          <w:rStyle w:val="FootnoteReference"/>
          <w:rFonts w:cs="Times New Roman"/>
        </w:rPr>
        <w:footnoteRef/>
      </w:r>
      <w:r w:rsidRPr="0097098F">
        <w:t xml:space="preserve"> VKo</w:t>
      </w:r>
      <w:r w:rsidRPr="00755FE8">
        <w:t xml:space="preserve"> Revīzijas ziņojums</w:t>
      </w:r>
      <w:r>
        <w:t xml:space="preserve"> “</w:t>
      </w:r>
      <w:r w:rsidRPr="006E65F5">
        <w:t>Vai valsts pārvalde efektīvi rīkojas ar uzkrāto informāciju?</w:t>
      </w:r>
      <w:r>
        <w:t>”, 2017</w:t>
      </w:r>
    </w:p>
    <w:p w14:paraId="4BCB815D" w14:textId="77777777" w:rsidR="005E1561" w:rsidRDefault="005E1561" w:rsidP="00BA5347">
      <w:pPr>
        <w:pStyle w:val="FootnoteText"/>
      </w:pPr>
      <w:r>
        <w:t>VKo</w:t>
      </w:r>
      <w:r w:rsidRPr="00755FE8">
        <w:t xml:space="preserve"> Revīzijas ziņojums </w:t>
      </w:r>
      <w:r>
        <w:t>“</w:t>
      </w:r>
      <w:r w:rsidRPr="00755FE8">
        <w:t>Vai valsts pārvaldē ir izmantotas visas iespējas IKT infrastruktūras efektīvai pārvaldībai?</w:t>
      </w:r>
      <w:r>
        <w:t>”</w:t>
      </w:r>
      <w:r w:rsidRPr="00755FE8">
        <w:t>, 2019</w:t>
      </w:r>
    </w:p>
  </w:footnote>
  <w:footnote w:id="73">
    <w:p w14:paraId="592EA26D" w14:textId="77777777" w:rsidR="005E1561" w:rsidRDefault="005E1561" w:rsidP="00BA5347">
      <w:pPr>
        <w:pStyle w:val="FootnoteText"/>
      </w:pPr>
      <w:r w:rsidRPr="0097098F">
        <w:rPr>
          <w:rStyle w:val="FootnoteReference"/>
          <w:rFonts w:cs="Times New Roman"/>
        </w:rPr>
        <w:footnoteRef/>
      </w:r>
      <w:r w:rsidRPr="0097098F">
        <w:t xml:space="preserve"> 2005</w:t>
      </w:r>
      <w:r>
        <w:t>.gada 27.decembra MK noteikumi Nr.1030 “</w:t>
      </w:r>
      <w:r w:rsidRPr="00F23FB6">
        <w:t>Noteikumi par budžetu izdevumu klasifikāciju atbilstoši ekonomiskajām kategorijām</w:t>
      </w:r>
      <w:r>
        <w:t>”</w:t>
      </w:r>
    </w:p>
  </w:footnote>
  <w:footnote w:id="74">
    <w:p w14:paraId="6D1A2109" w14:textId="77777777" w:rsidR="005E1561" w:rsidRDefault="005E1561" w:rsidP="00BA5347">
      <w:pPr>
        <w:pStyle w:val="FootnoteText"/>
      </w:pPr>
      <w:r w:rsidRPr="0097098F">
        <w:rPr>
          <w:rStyle w:val="FootnoteReference"/>
          <w:rFonts w:cs="Times New Roman"/>
        </w:rPr>
        <w:footnoteRef/>
      </w:r>
      <w:r w:rsidRPr="0097098F">
        <w:t xml:space="preserve"> Aprēķināti</w:t>
      </w:r>
      <w:r w:rsidRPr="00AC68A2">
        <w:t>, ņemot vērā EKK 2250, EKK 5120 un EKK 5238 uzskaitītos izdevumus</w:t>
      </w:r>
    </w:p>
  </w:footnote>
  <w:footnote w:id="75">
    <w:p w14:paraId="1E7256A0" w14:textId="77777777" w:rsidR="005E1561" w:rsidRPr="00F256F9" w:rsidRDefault="005E1561" w:rsidP="00BA5347">
      <w:pPr>
        <w:pStyle w:val="FootnoteText"/>
      </w:pPr>
      <w:r w:rsidRPr="00F256F9">
        <w:rPr>
          <w:rStyle w:val="FootnoteReference"/>
          <w:rFonts w:cs="Times New Roman"/>
        </w:rPr>
        <w:footnoteRef/>
      </w:r>
      <w:r w:rsidRPr="00F256F9">
        <w:t xml:space="preserve"> 2016. gada 14. jūnija MK noteikumi Nr. 374 “Valsts informācijas sistēmu savietotāja noteikumi”</w:t>
      </w:r>
    </w:p>
  </w:footnote>
  <w:footnote w:id="76">
    <w:p w14:paraId="2371F172" w14:textId="77777777" w:rsidR="005E1561" w:rsidRPr="004B4653" w:rsidRDefault="005E1561" w:rsidP="00BA5347">
      <w:pPr>
        <w:pStyle w:val="FootnoteText"/>
      </w:pPr>
      <w:r w:rsidRPr="004B4653">
        <w:rPr>
          <w:rStyle w:val="FootnoteReference"/>
          <w:rFonts w:cs="Times New Roman"/>
        </w:rPr>
        <w:footnoteRef/>
      </w:r>
      <w:r w:rsidRPr="004B4653">
        <w:t xml:space="preserve"> Statistika par VISS datu apmaiņām. Pieejama: </w:t>
      </w:r>
      <w:hyperlink r:id="rId38" w:history="1">
        <w:r w:rsidRPr="004B4653">
          <w:rPr>
            <w:rStyle w:val="Hyperlink"/>
            <w:rFonts w:cs="Times New Roman"/>
          </w:rPr>
          <w:t>https://data.gov.lv/dati/lv/dataset/statistika-par-viss-datu-apmainam</w:t>
        </w:r>
      </w:hyperlink>
    </w:p>
  </w:footnote>
  <w:footnote w:id="77">
    <w:p w14:paraId="65487A87" w14:textId="77777777" w:rsidR="005E1561" w:rsidRPr="00C14E55" w:rsidRDefault="005E1561" w:rsidP="00BA5347">
      <w:pPr>
        <w:pStyle w:val="FootnoteText"/>
      </w:pPr>
      <w:r w:rsidRPr="00C14E55">
        <w:rPr>
          <w:rStyle w:val="FootnoteReference"/>
          <w:rFonts w:cs="Times New Roman"/>
        </w:rPr>
        <w:footnoteRef/>
      </w:r>
      <w:r w:rsidRPr="00C14E55">
        <w:t xml:space="preserve"> Statistika par Elektronisko iepirkumu sistēmas e-pasūtījumu apakšsistēmā veiktajām preču un pakalpojumu piegādēm. Pieejama: </w:t>
      </w:r>
      <w:hyperlink r:id="rId39" w:history="1">
        <w:r w:rsidRPr="00C14E55">
          <w:rPr>
            <w:rStyle w:val="Hyperlink"/>
            <w:rFonts w:cs="Times New Roman"/>
          </w:rPr>
          <w:t>https://data.gov.lv/dati/lv/dataset/piegazu-datu-grupa</w:t>
        </w:r>
      </w:hyperlink>
    </w:p>
  </w:footnote>
  <w:footnote w:id="78">
    <w:p w14:paraId="28917E43" w14:textId="77777777" w:rsidR="005E1561" w:rsidRPr="000E2507" w:rsidRDefault="005E1561" w:rsidP="00BA5347">
      <w:pPr>
        <w:pStyle w:val="FootnoteText"/>
      </w:pPr>
      <w:r w:rsidRPr="000E2507">
        <w:rPr>
          <w:rStyle w:val="FootnoteReference"/>
          <w:rFonts w:cs="Times New Roman"/>
        </w:rPr>
        <w:footnoteRef/>
      </w:r>
      <w:r w:rsidRPr="000E2507">
        <w:t xml:space="preserve"> MK 2020. gada 30. jūnija sēdes protokola Nr. 42 67.§</w:t>
      </w:r>
    </w:p>
  </w:footnote>
  <w:footnote w:id="79">
    <w:p w14:paraId="70A5956C" w14:textId="77777777" w:rsidR="005E1561" w:rsidRDefault="005E1561" w:rsidP="00BA5347">
      <w:pPr>
        <w:pStyle w:val="FootnoteText"/>
      </w:pPr>
      <w:r>
        <w:rPr>
          <w:rStyle w:val="FootnoteReference"/>
        </w:rPr>
        <w:footnoteRef/>
      </w:r>
      <w:r>
        <w:t xml:space="preserve"> Informatīvais ziņojums</w:t>
      </w:r>
      <w:r w:rsidRPr="00E8715D">
        <w:t xml:space="preserve"> “Par valsts budžeta izdevumu pārskatīšanas 2017., 2018. un 2019.gadam rezultātiem un priekšlikumi par šo rezultātu izmantošanu likumprojekta “Par vidēja termiņa budžeta 2017., 2018. un 2019.gadam” un likumprojekta “Par valsts budžetu 2017.gadam” izstrādes procesā”</w:t>
      </w:r>
    </w:p>
  </w:footnote>
  <w:footnote w:id="80">
    <w:p w14:paraId="1B623C35" w14:textId="77777777" w:rsidR="005E1561" w:rsidRDefault="005E1561" w:rsidP="00BA5347">
      <w:pPr>
        <w:pStyle w:val="FootnoteText"/>
      </w:pPr>
      <w:r>
        <w:rPr>
          <w:rStyle w:val="FootnoteReference"/>
        </w:rPr>
        <w:footnoteRef/>
      </w:r>
      <w:r>
        <w:t xml:space="preserve"> </w:t>
      </w:r>
      <w:hyperlink r:id="rId40" w:history="1">
        <w:r>
          <w:rPr>
            <w:rStyle w:val="Hyperlink"/>
          </w:rPr>
          <w:t>https://likumi.lv/doc.php?id=259999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23853"/>
    <w:multiLevelType w:val="hybridMultilevel"/>
    <w:tmpl w:val="26B673E6"/>
    <w:lvl w:ilvl="0" w:tplc="1A58E8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C5C47CD"/>
    <w:multiLevelType w:val="hybridMultilevel"/>
    <w:tmpl w:val="32D8D324"/>
    <w:lvl w:ilvl="0" w:tplc="E5080E8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10BC22D9"/>
    <w:multiLevelType w:val="hybridMultilevel"/>
    <w:tmpl w:val="546E7646"/>
    <w:lvl w:ilvl="0" w:tplc="C7F2163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3D6947"/>
    <w:multiLevelType w:val="hybridMultilevel"/>
    <w:tmpl w:val="D21286AA"/>
    <w:lvl w:ilvl="0" w:tplc="97808474">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AF65A3"/>
    <w:multiLevelType w:val="hybridMultilevel"/>
    <w:tmpl w:val="E3C4776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8372D9B"/>
    <w:multiLevelType w:val="hybridMultilevel"/>
    <w:tmpl w:val="C152EE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 w15:restartNumberingAfterBreak="0">
    <w:nsid w:val="192F44ED"/>
    <w:multiLevelType w:val="hybridMultilevel"/>
    <w:tmpl w:val="208292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397738"/>
    <w:multiLevelType w:val="hybridMultilevel"/>
    <w:tmpl w:val="F11C4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866539"/>
    <w:multiLevelType w:val="hybridMultilevel"/>
    <w:tmpl w:val="C15095AC"/>
    <w:lvl w:ilvl="0" w:tplc="8CC27FF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23D2DE5"/>
    <w:multiLevelType w:val="hybridMultilevel"/>
    <w:tmpl w:val="96664500"/>
    <w:lvl w:ilvl="0" w:tplc="F5EAB0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6432035"/>
    <w:multiLevelType w:val="hybridMultilevel"/>
    <w:tmpl w:val="2FA2DCBC"/>
    <w:lvl w:ilvl="0" w:tplc="402EBA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9264D37"/>
    <w:multiLevelType w:val="hybridMultilevel"/>
    <w:tmpl w:val="11AA21FC"/>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12" w15:restartNumberingAfterBreak="0">
    <w:nsid w:val="2ED85BEB"/>
    <w:multiLevelType w:val="hybridMultilevel"/>
    <w:tmpl w:val="4BAEE510"/>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016029D"/>
    <w:multiLevelType w:val="hybridMultilevel"/>
    <w:tmpl w:val="95BA662A"/>
    <w:lvl w:ilvl="0" w:tplc="07DAAE2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2A40238"/>
    <w:multiLevelType w:val="multilevel"/>
    <w:tmpl w:val="35F8BF40"/>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3172F9D"/>
    <w:multiLevelType w:val="hybridMultilevel"/>
    <w:tmpl w:val="71FC35B4"/>
    <w:lvl w:ilvl="0" w:tplc="03E49250">
      <w:start w:val="5"/>
      <w:numFmt w:val="bullet"/>
      <w:lvlText w:val=""/>
      <w:lvlJc w:val="left"/>
      <w:pPr>
        <w:ind w:left="1080" w:hanging="360"/>
      </w:pPr>
      <w:rPr>
        <w:rFonts w:ascii="Symbol" w:eastAsiaTheme="minorHAnsi" w:hAnsi="Symbol"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4E039B4"/>
    <w:multiLevelType w:val="hybridMultilevel"/>
    <w:tmpl w:val="4672FF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2C0B20"/>
    <w:multiLevelType w:val="hybridMultilevel"/>
    <w:tmpl w:val="DE9CA2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CF83135"/>
    <w:multiLevelType w:val="hybridMultilevel"/>
    <w:tmpl w:val="E3ACEC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855AF0"/>
    <w:multiLevelType w:val="hybridMultilevel"/>
    <w:tmpl w:val="90C09C74"/>
    <w:lvl w:ilvl="0" w:tplc="F7D8D6A2">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FE30C5A"/>
    <w:multiLevelType w:val="hybridMultilevel"/>
    <w:tmpl w:val="24C02E6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241611C"/>
    <w:multiLevelType w:val="hybridMultilevel"/>
    <w:tmpl w:val="A3709C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8E4E5E"/>
    <w:multiLevelType w:val="hybridMultilevel"/>
    <w:tmpl w:val="2D00D8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42971B2"/>
    <w:multiLevelType w:val="hybridMultilevel"/>
    <w:tmpl w:val="2E389E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7FE6691"/>
    <w:multiLevelType w:val="hybridMultilevel"/>
    <w:tmpl w:val="2A9ADA12"/>
    <w:lvl w:ilvl="0" w:tplc="04260001">
      <w:start w:val="1"/>
      <w:numFmt w:val="bullet"/>
      <w:lvlText w:val=""/>
      <w:lvlJc w:val="left"/>
      <w:pPr>
        <w:ind w:left="720" w:hanging="360"/>
      </w:pPr>
      <w:rPr>
        <w:rFonts w:ascii="Symbol" w:hAnsi="Symbo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0B01525"/>
    <w:multiLevelType w:val="hybridMultilevel"/>
    <w:tmpl w:val="8018C1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5192ED4"/>
    <w:multiLevelType w:val="hybridMultilevel"/>
    <w:tmpl w:val="F7A2CC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57512A2"/>
    <w:multiLevelType w:val="hybridMultilevel"/>
    <w:tmpl w:val="0888A5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929202C"/>
    <w:multiLevelType w:val="hybridMultilevel"/>
    <w:tmpl w:val="C8C6E6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94C5DE2"/>
    <w:multiLevelType w:val="hybridMultilevel"/>
    <w:tmpl w:val="E7149CC6"/>
    <w:lvl w:ilvl="0" w:tplc="D3D413E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A0B7EF1"/>
    <w:multiLevelType w:val="hybridMultilevel"/>
    <w:tmpl w:val="80DAA1B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1" w15:restartNumberingAfterBreak="0">
    <w:nsid w:val="6EA20C06"/>
    <w:multiLevelType w:val="hybridMultilevel"/>
    <w:tmpl w:val="D2AE03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F155866"/>
    <w:multiLevelType w:val="hybridMultilevel"/>
    <w:tmpl w:val="04AEF8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08193F"/>
    <w:multiLevelType w:val="hybridMultilevel"/>
    <w:tmpl w:val="5AF24E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9B60E3E"/>
    <w:multiLevelType w:val="hybridMultilevel"/>
    <w:tmpl w:val="1EC0166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5" w15:restartNumberingAfterBreak="0">
    <w:nsid w:val="79D1220F"/>
    <w:multiLevelType w:val="hybridMultilevel"/>
    <w:tmpl w:val="902EC66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6" w15:restartNumberingAfterBreak="0">
    <w:nsid w:val="7A795405"/>
    <w:multiLevelType w:val="hybridMultilevel"/>
    <w:tmpl w:val="F0489DC8"/>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7" w15:restartNumberingAfterBreak="0">
    <w:nsid w:val="7AF60FB4"/>
    <w:multiLevelType w:val="hybridMultilevel"/>
    <w:tmpl w:val="3782CD94"/>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CCD0AAB"/>
    <w:multiLevelType w:val="hybridMultilevel"/>
    <w:tmpl w:val="965A988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046006"/>
    <w:multiLevelType w:val="hybridMultilevel"/>
    <w:tmpl w:val="141E2CEA"/>
    <w:lvl w:ilvl="0" w:tplc="5D584E6E">
      <w:start w:val="1"/>
      <w:numFmt w:val="bullet"/>
      <w:lvlText w:val="-"/>
      <w:lvlJc w:val="left"/>
      <w:pPr>
        <w:tabs>
          <w:tab w:val="num" w:pos="720"/>
        </w:tabs>
        <w:ind w:left="720" w:hanging="360"/>
      </w:pPr>
      <w:rPr>
        <w:rFonts w:ascii="Times New Roman" w:hAnsi="Times New Roman" w:hint="default"/>
      </w:rPr>
    </w:lvl>
    <w:lvl w:ilvl="1" w:tplc="42C26AA4" w:tentative="1">
      <w:start w:val="1"/>
      <w:numFmt w:val="bullet"/>
      <w:lvlText w:val="-"/>
      <w:lvlJc w:val="left"/>
      <w:pPr>
        <w:tabs>
          <w:tab w:val="num" w:pos="1440"/>
        </w:tabs>
        <w:ind w:left="1440" w:hanging="360"/>
      </w:pPr>
      <w:rPr>
        <w:rFonts w:ascii="Times New Roman" w:hAnsi="Times New Roman" w:hint="default"/>
      </w:rPr>
    </w:lvl>
    <w:lvl w:ilvl="2" w:tplc="89B8FC46" w:tentative="1">
      <w:start w:val="1"/>
      <w:numFmt w:val="bullet"/>
      <w:lvlText w:val="-"/>
      <w:lvlJc w:val="left"/>
      <w:pPr>
        <w:tabs>
          <w:tab w:val="num" w:pos="2160"/>
        </w:tabs>
        <w:ind w:left="2160" w:hanging="360"/>
      </w:pPr>
      <w:rPr>
        <w:rFonts w:ascii="Times New Roman" w:hAnsi="Times New Roman" w:hint="default"/>
      </w:rPr>
    </w:lvl>
    <w:lvl w:ilvl="3" w:tplc="9F96B296" w:tentative="1">
      <w:start w:val="1"/>
      <w:numFmt w:val="bullet"/>
      <w:lvlText w:val="-"/>
      <w:lvlJc w:val="left"/>
      <w:pPr>
        <w:tabs>
          <w:tab w:val="num" w:pos="2880"/>
        </w:tabs>
        <w:ind w:left="2880" w:hanging="360"/>
      </w:pPr>
      <w:rPr>
        <w:rFonts w:ascii="Times New Roman" w:hAnsi="Times New Roman" w:hint="default"/>
      </w:rPr>
    </w:lvl>
    <w:lvl w:ilvl="4" w:tplc="ADB8184A" w:tentative="1">
      <w:start w:val="1"/>
      <w:numFmt w:val="bullet"/>
      <w:lvlText w:val="-"/>
      <w:lvlJc w:val="left"/>
      <w:pPr>
        <w:tabs>
          <w:tab w:val="num" w:pos="3600"/>
        </w:tabs>
        <w:ind w:left="3600" w:hanging="360"/>
      </w:pPr>
      <w:rPr>
        <w:rFonts w:ascii="Times New Roman" w:hAnsi="Times New Roman" w:hint="default"/>
      </w:rPr>
    </w:lvl>
    <w:lvl w:ilvl="5" w:tplc="2A3A5AE2" w:tentative="1">
      <w:start w:val="1"/>
      <w:numFmt w:val="bullet"/>
      <w:lvlText w:val="-"/>
      <w:lvlJc w:val="left"/>
      <w:pPr>
        <w:tabs>
          <w:tab w:val="num" w:pos="4320"/>
        </w:tabs>
        <w:ind w:left="4320" w:hanging="360"/>
      </w:pPr>
      <w:rPr>
        <w:rFonts w:ascii="Times New Roman" w:hAnsi="Times New Roman" w:hint="default"/>
      </w:rPr>
    </w:lvl>
    <w:lvl w:ilvl="6" w:tplc="F0626E5E" w:tentative="1">
      <w:start w:val="1"/>
      <w:numFmt w:val="bullet"/>
      <w:lvlText w:val="-"/>
      <w:lvlJc w:val="left"/>
      <w:pPr>
        <w:tabs>
          <w:tab w:val="num" w:pos="5040"/>
        </w:tabs>
        <w:ind w:left="5040" w:hanging="360"/>
      </w:pPr>
      <w:rPr>
        <w:rFonts w:ascii="Times New Roman" w:hAnsi="Times New Roman" w:hint="default"/>
      </w:rPr>
    </w:lvl>
    <w:lvl w:ilvl="7" w:tplc="6FDCCEFA" w:tentative="1">
      <w:start w:val="1"/>
      <w:numFmt w:val="bullet"/>
      <w:lvlText w:val="-"/>
      <w:lvlJc w:val="left"/>
      <w:pPr>
        <w:tabs>
          <w:tab w:val="num" w:pos="5760"/>
        </w:tabs>
        <w:ind w:left="5760" w:hanging="360"/>
      </w:pPr>
      <w:rPr>
        <w:rFonts w:ascii="Times New Roman" w:hAnsi="Times New Roman" w:hint="default"/>
      </w:rPr>
    </w:lvl>
    <w:lvl w:ilvl="8" w:tplc="0910066E"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D89380D"/>
    <w:multiLevelType w:val="hybridMultilevel"/>
    <w:tmpl w:val="38768A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7F286E45"/>
    <w:multiLevelType w:val="hybridMultilevel"/>
    <w:tmpl w:val="490EF9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6633CE"/>
    <w:multiLevelType w:val="hybridMultilevel"/>
    <w:tmpl w:val="56DA7E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5"/>
  </w:num>
  <w:num w:numId="4">
    <w:abstractNumId w:val="38"/>
  </w:num>
  <w:num w:numId="5">
    <w:abstractNumId w:val="9"/>
  </w:num>
  <w:num w:numId="6">
    <w:abstractNumId w:val="37"/>
  </w:num>
  <w:num w:numId="7">
    <w:abstractNumId w:val="19"/>
  </w:num>
  <w:num w:numId="8">
    <w:abstractNumId w:val="16"/>
  </w:num>
  <w:num w:numId="9">
    <w:abstractNumId w:val="22"/>
  </w:num>
  <w:num w:numId="10">
    <w:abstractNumId w:val="2"/>
  </w:num>
  <w:num w:numId="11">
    <w:abstractNumId w:val="11"/>
  </w:num>
  <w:num w:numId="12">
    <w:abstractNumId w:val="28"/>
  </w:num>
  <w:num w:numId="13">
    <w:abstractNumId w:val="32"/>
  </w:num>
  <w:num w:numId="14">
    <w:abstractNumId w:val="3"/>
  </w:num>
  <w:num w:numId="15">
    <w:abstractNumId w:val="12"/>
  </w:num>
  <w:num w:numId="16">
    <w:abstractNumId w:val="20"/>
  </w:num>
  <w:num w:numId="17">
    <w:abstractNumId w:val="0"/>
  </w:num>
  <w:num w:numId="18">
    <w:abstractNumId w:val="17"/>
  </w:num>
  <w:num w:numId="19">
    <w:abstractNumId w:val="39"/>
  </w:num>
  <w:num w:numId="20">
    <w:abstractNumId w:val="4"/>
  </w:num>
  <w:num w:numId="21">
    <w:abstractNumId w:val="27"/>
  </w:num>
  <w:num w:numId="22">
    <w:abstractNumId w:val="10"/>
  </w:num>
  <w:num w:numId="23">
    <w:abstractNumId w:val="26"/>
  </w:num>
  <w:num w:numId="24">
    <w:abstractNumId w:val="34"/>
  </w:num>
  <w:num w:numId="25">
    <w:abstractNumId w:val="8"/>
  </w:num>
  <w:num w:numId="26">
    <w:abstractNumId w:val="6"/>
  </w:num>
  <w:num w:numId="27">
    <w:abstractNumId w:val="42"/>
  </w:num>
  <w:num w:numId="28">
    <w:abstractNumId w:val="25"/>
  </w:num>
  <w:num w:numId="29">
    <w:abstractNumId w:val="36"/>
  </w:num>
  <w:num w:numId="30">
    <w:abstractNumId w:val="5"/>
  </w:num>
  <w:num w:numId="31">
    <w:abstractNumId w:val="1"/>
  </w:num>
  <w:num w:numId="32">
    <w:abstractNumId w:val="40"/>
  </w:num>
  <w:num w:numId="33">
    <w:abstractNumId w:val="31"/>
  </w:num>
  <w:num w:numId="34">
    <w:abstractNumId w:val="7"/>
  </w:num>
  <w:num w:numId="35">
    <w:abstractNumId w:val="33"/>
  </w:num>
  <w:num w:numId="36">
    <w:abstractNumId w:val="24"/>
  </w:num>
  <w:num w:numId="37">
    <w:abstractNumId w:val="21"/>
  </w:num>
  <w:num w:numId="38">
    <w:abstractNumId w:val="41"/>
  </w:num>
  <w:num w:numId="39">
    <w:abstractNumId w:val="30"/>
  </w:num>
  <w:num w:numId="40">
    <w:abstractNumId w:val="23"/>
  </w:num>
  <w:num w:numId="41">
    <w:abstractNumId w:val="18"/>
  </w:num>
  <w:num w:numId="42">
    <w:abstractNumId w:val="35"/>
  </w:num>
  <w:num w:numId="43">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C00"/>
    <w:rsid w:val="0000423C"/>
    <w:rsid w:val="00012871"/>
    <w:rsid w:val="0002222F"/>
    <w:rsid w:val="0003076D"/>
    <w:rsid w:val="00033863"/>
    <w:rsid w:val="00047287"/>
    <w:rsid w:val="00050F68"/>
    <w:rsid w:val="0005360F"/>
    <w:rsid w:val="000673C8"/>
    <w:rsid w:val="00070EB9"/>
    <w:rsid w:val="000723E3"/>
    <w:rsid w:val="0007536B"/>
    <w:rsid w:val="00080047"/>
    <w:rsid w:val="00083858"/>
    <w:rsid w:val="00085E4F"/>
    <w:rsid w:val="00085F20"/>
    <w:rsid w:val="00085FCF"/>
    <w:rsid w:val="00086CFB"/>
    <w:rsid w:val="00095F13"/>
    <w:rsid w:val="000965D4"/>
    <w:rsid w:val="000A0884"/>
    <w:rsid w:val="000A2072"/>
    <w:rsid w:val="000A37B1"/>
    <w:rsid w:val="000A698D"/>
    <w:rsid w:val="000B1E7B"/>
    <w:rsid w:val="000B5363"/>
    <w:rsid w:val="000B6294"/>
    <w:rsid w:val="000C061C"/>
    <w:rsid w:val="000C11A6"/>
    <w:rsid w:val="000C1A1F"/>
    <w:rsid w:val="000C258B"/>
    <w:rsid w:val="000C36DC"/>
    <w:rsid w:val="000D5D94"/>
    <w:rsid w:val="000E211B"/>
    <w:rsid w:val="000E4BCB"/>
    <w:rsid w:val="000E6B63"/>
    <w:rsid w:val="000F4160"/>
    <w:rsid w:val="000F7182"/>
    <w:rsid w:val="00101290"/>
    <w:rsid w:val="00106293"/>
    <w:rsid w:val="001110B1"/>
    <w:rsid w:val="00111AEA"/>
    <w:rsid w:val="001132A8"/>
    <w:rsid w:val="0011392E"/>
    <w:rsid w:val="00117054"/>
    <w:rsid w:val="00117495"/>
    <w:rsid w:val="00120598"/>
    <w:rsid w:val="00122B02"/>
    <w:rsid w:val="00130829"/>
    <w:rsid w:val="0013167A"/>
    <w:rsid w:val="00136CAF"/>
    <w:rsid w:val="00137A09"/>
    <w:rsid w:val="0014017A"/>
    <w:rsid w:val="00141A91"/>
    <w:rsid w:val="00156A6B"/>
    <w:rsid w:val="001602F9"/>
    <w:rsid w:val="001603DB"/>
    <w:rsid w:val="00163732"/>
    <w:rsid w:val="00166D5E"/>
    <w:rsid w:val="00174653"/>
    <w:rsid w:val="00180E3F"/>
    <w:rsid w:val="00186E55"/>
    <w:rsid w:val="00190FAD"/>
    <w:rsid w:val="00193FF8"/>
    <w:rsid w:val="001A0714"/>
    <w:rsid w:val="001A3DA2"/>
    <w:rsid w:val="001B00A4"/>
    <w:rsid w:val="001B02BC"/>
    <w:rsid w:val="001B56F3"/>
    <w:rsid w:val="001B7640"/>
    <w:rsid w:val="001D0360"/>
    <w:rsid w:val="001D1E19"/>
    <w:rsid w:val="001D5590"/>
    <w:rsid w:val="001E647F"/>
    <w:rsid w:val="001E7155"/>
    <w:rsid w:val="001F323F"/>
    <w:rsid w:val="00203DFE"/>
    <w:rsid w:val="00205AFF"/>
    <w:rsid w:val="0021262D"/>
    <w:rsid w:val="00212D35"/>
    <w:rsid w:val="0021601A"/>
    <w:rsid w:val="0021791C"/>
    <w:rsid w:val="002212E5"/>
    <w:rsid w:val="00222955"/>
    <w:rsid w:val="00231324"/>
    <w:rsid w:val="00231D8F"/>
    <w:rsid w:val="0023361D"/>
    <w:rsid w:val="00235102"/>
    <w:rsid w:val="00237B6A"/>
    <w:rsid w:val="00241959"/>
    <w:rsid w:val="00242139"/>
    <w:rsid w:val="00256B42"/>
    <w:rsid w:val="00261ED4"/>
    <w:rsid w:val="0026595E"/>
    <w:rsid w:val="002659F2"/>
    <w:rsid w:val="00270663"/>
    <w:rsid w:val="00270E0E"/>
    <w:rsid w:val="002745F4"/>
    <w:rsid w:val="0028118E"/>
    <w:rsid w:val="00282BA7"/>
    <w:rsid w:val="00282D02"/>
    <w:rsid w:val="00285686"/>
    <w:rsid w:val="00291425"/>
    <w:rsid w:val="00296937"/>
    <w:rsid w:val="002978EC"/>
    <w:rsid w:val="002A3882"/>
    <w:rsid w:val="002A416F"/>
    <w:rsid w:val="002A4E50"/>
    <w:rsid w:val="002C0613"/>
    <w:rsid w:val="002C34DA"/>
    <w:rsid w:val="002D1528"/>
    <w:rsid w:val="002D1CE0"/>
    <w:rsid w:val="002D230C"/>
    <w:rsid w:val="002D2EF3"/>
    <w:rsid w:val="002D57C1"/>
    <w:rsid w:val="002E0F43"/>
    <w:rsid w:val="002E7BE5"/>
    <w:rsid w:val="002F2CC1"/>
    <w:rsid w:val="002F4546"/>
    <w:rsid w:val="0030192C"/>
    <w:rsid w:val="00302182"/>
    <w:rsid w:val="00310195"/>
    <w:rsid w:val="00313EF6"/>
    <w:rsid w:val="00316D3C"/>
    <w:rsid w:val="00321DCC"/>
    <w:rsid w:val="003302F5"/>
    <w:rsid w:val="003340F0"/>
    <w:rsid w:val="00335EBE"/>
    <w:rsid w:val="00354828"/>
    <w:rsid w:val="003563A9"/>
    <w:rsid w:val="00360672"/>
    <w:rsid w:val="003651A6"/>
    <w:rsid w:val="00365DE8"/>
    <w:rsid w:val="00370115"/>
    <w:rsid w:val="00371B3E"/>
    <w:rsid w:val="003738E5"/>
    <w:rsid w:val="00373B4C"/>
    <w:rsid w:val="0037421C"/>
    <w:rsid w:val="0038523A"/>
    <w:rsid w:val="00387C00"/>
    <w:rsid w:val="003978C9"/>
    <w:rsid w:val="00397C2C"/>
    <w:rsid w:val="003A21C0"/>
    <w:rsid w:val="003A6A97"/>
    <w:rsid w:val="003B12F2"/>
    <w:rsid w:val="003B76F0"/>
    <w:rsid w:val="003C510F"/>
    <w:rsid w:val="003C7703"/>
    <w:rsid w:val="003D29F8"/>
    <w:rsid w:val="003D7900"/>
    <w:rsid w:val="003E501D"/>
    <w:rsid w:val="003F0E20"/>
    <w:rsid w:val="003F7ED5"/>
    <w:rsid w:val="00400BA5"/>
    <w:rsid w:val="00405BC0"/>
    <w:rsid w:val="00406D3B"/>
    <w:rsid w:val="00410AA2"/>
    <w:rsid w:val="00411AC1"/>
    <w:rsid w:val="004168B3"/>
    <w:rsid w:val="00431268"/>
    <w:rsid w:val="004322CA"/>
    <w:rsid w:val="00437F4F"/>
    <w:rsid w:val="004432B7"/>
    <w:rsid w:val="00450DBB"/>
    <w:rsid w:val="00455E1F"/>
    <w:rsid w:val="004611B5"/>
    <w:rsid w:val="00463FFA"/>
    <w:rsid w:val="00464044"/>
    <w:rsid w:val="00465B16"/>
    <w:rsid w:val="004773FC"/>
    <w:rsid w:val="00480CA5"/>
    <w:rsid w:val="00483024"/>
    <w:rsid w:val="00483B2D"/>
    <w:rsid w:val="00487BCE"/>
    <w:rsid w:val="004A2CC7"/>
    <w:rsid w:val="004B2029"/>
    <w:rsid w:val="004B28F2"/>
    <w:rsid w:val="004B71A5"/>
    <w:rsid w:val="004B7955"/>
    <w:rsid w:val="004B7D98"/>
    <w:rsid w:val="004C3697"/>
    <w:rsid w:val="004C5D58"/>
    <w:rsid w:val="004D28CD"/>
    <w:rsid w:val="004D40D6"/>
    <w:rsid w:val="004D4FE4"/>
    <w:rsid w:val="004E6A43"/>
    <w:rsid w:val="004F5FA6"/>
    <w:rsid w:val="004F7505"/>
    <w:rsid w:val="00500E5C"/>
    <w:rsid w:val="00501A9C"/>
    <w:rsid w:val="0050213D"/>
    <w:rsid w:val="00503F77"/>
    <w:rsid w:val="00510677"/>
    <w:rsid w:val="005131FD"/>
    <w:rsid w:val="00516F9B"/>
    <w:rsid w:val="00532669"/>
    <w:rsid w:val="00535A79"/>
    <w:rsid w:val="00544325"/>
    <w:rsid w:val="005462B3"/>
    <w:rsid w:val="005505D0"/>
    <w:rsid w:val="00551D2C"/>
    <w:rsid w:val="005605AA"/>
    <w:rsid w:val="00561855"/>
    <w:rsid w:val="00567FF4"/>
    <w:rsid w:val="00581260"/>
    <w:rsid w:val="00585442"/>
    <w:rsid w:val="00586F8A"/>
    <w:rsid w:val="00593019"/>
    <w:rsid w:val="00593F5F"/>
    <w:rsid w:val="005A42BE"/>
    <w:rsid w:val="005A4951"/>
    <w:rsid w:val="005B2C30"/>
    <w:rsid w:val="005B7BAE"/>
    <w:rsid w:val="005C559D"/>
    <w:rsid w:val="005D05A6"/>
    <w:rsid w:val="005D4D3C"/>
    <w:rsid w:val="005D78BB"/>
    <w:rsid w:val="005E1561"/>
    <w:rsid w:val="005E682E"/>
    <w:rsid w:val="005E683C"/>
    <w:rsid w:val="005E6A81"/>
    <w:rsid w:val="005F4E31"/>
    <w:rsid w:val="005F5317"/>
    <w:rsid w:val="006028C9"/>
    <w:rsid w:val="00605952"/>
    <w:rsid w:val="00605F2A"/>
    <w:rsid w:val="00614F8C"/>
    <w:rsid w:val="00615C60"/>
    <w:rsid w:val="006165D3"/>
    <w:rsid w:val="00623B55"/>
    <w:rsid w:val="0063174D"/>
    <w:rsid w:val="0063311B"/>
    <w:rsid w:val="006368C3"/>
    <w:rsid w:val="00636FAD"/>
    <w:rsid w:val="00643639"/>
    <w:rsid w:val="00647BD5"/>
    <w:rsid w:val="00647C1A"/>
    <w:rsid w:val="0066088A"/>
    <w:rsid w:val="00666E35"/>
    <w:rsid w:val="00684AA1"/>
    <w:rsid w:val="00691116"/>
    <w:rsid w:val="006A15ED"/>
    <w:rsid w:val="006A3AC2"/>
    <w:rsid w:val="006A5098"/>
    <w:rsid w:val="006A59E3"/>
    <w:rsid w:val="006B1D04"/>
    <w:rsid w:val="006B26B0"/>
    <w:rsid w:val="006B27BA"/>
    <w:rsid w:val="006B2E0C"/>
    <w:rsid w:val="006C0243"/>
    <w:rsid w:val="006C0D03"/>
    <w:rsid w:val="006C1255"/>
    <w:rsid w:val="006C6102"/>
    <w:rsid w:val="006D1103"/>
    <w:rsid w:val="006D24BB"/>
    <w:rsid w:val="006D763A"/>
    <w:rsid w:val="006E7DCE"/>
    <w:rsid w:val="006F193F"/>
    <w:rsid w:val="006F287C"/>
    <w:rsid w:val="006F5812"/>
    <w:rsid w:val="007028EB"/>
    <w:rsid w:val="00710715"/>
    <w:rsid w:val="0071213E"/>
    <w:rsid w:val="007204CF"/>
    <w:rsid w:val="0072287A"/>
    <w:rsid w:val="00733338"/>
    <w:rsid w:val="00735151"/>
    <w:rsid w:val="00755E6E"/>
    <w:rsid w:val="00757718"/>
    <w:rsid w:val="00760D51"/>
    <w:rsid w:val="0076301B"/>
    <w:rsid w:val="00763A63"/>
    <w:rsid w:val="00764A07"/>
    <w:rsid w:val="007663E9"/>
    <w:rsid w:val="007669DC"/>
    <w:rsid w:val="007700C0"/>
    <w:rsid w:val="00775A63"/>
    <w:rsid w:val="00782C49"/>
    <w:rsid w:val="00792ACE"/>
    <w:rsid w:val="007933CD"/>
    <w:rsid w:val="00797121"/>
    <w:rsid w:val="007A57B5"/>
    <w:rsid w:val="007B4F78"/>
    <w:rsid w:val="007B544C"/>
    <w:rsid w:val="007B55B0"/>
    <w:rsid w:val="007B7CBE"/>
    <w:rsid w:val="007D0CCF"/>
    <w:rsid w:val="007D1F03"/>
    <w:rsid w:val="007D74AC"/>
    <w:rsid w:val="007E15B0"/>
    <w:rsid w:val="007E5BA8"/>
    <w:rsid w:val="007F5E8F"/>
    <w:rsid w:val="008042E0"/>
    <w:rsid w:val="0081675E"/>
    <w:rsid w:val="00824A8B"/>
    <w:rsid w:val="00826005"/>
    <w:rsid w:val="0083148E"/>
    <w:rsid w:val="00831DF1"/>
    <w:rsid w:val="00835569"/>
    <w:rsid w:val="00842894"/>
    <w:rsid w:val="00843169"/>
    <w:rsid w:val="00845104"/>
    <w:rsid w:val="00852D79"/>
    <w:rsid w:val="00853D9F"/>
    <w:rsid w:val="00856FF9"/>
    <w:rsid w:val="008636F1"/>
    <w:rsid w:val="00863D18"/>
    <w:rsid w:val="008753F3"/>
    <w:rsid w:val="00882790"/>
    <w:rsid w:val="00885755"/>
    <w:rsid w:val="00892007"/>
    <w:rsid w:val="00894B6C"/>
    <w:rsid w:val="00895E21"/>
    <w:rsid w:val="008A5725"/>
    <w:rsid w:val="008A76C3"/>
    <w:rsid w:val="008B1C3D"/>
    <w:rsid w:val="008B2FB2"/>
    <w:rsid w:val="008B7BBD"/>
    <w:rsid w:val="008C308D"/>
    <w:rsid w:val="008D0275"/>
    <w:rsid w:val="008E3934"/>
    <w:rsid w:val="008E71A9"/>
    <w:rsid w:val="008E7AEE"/>
    <w:rsid w:val="008F56AD"/>
    <w:rsid w:val="008F7004"/>
    <w:rsid w:val="00904C00"/>
    <w:rsid w:val="00904F26"/>
    <w:rsid w:val="009062B0"/>
    <w:rsid w:val="00911783"/>
    <w:rsid w:val="00921982"/>
    <w:rsid w:val="009238F0"/>
    <w:rsid w:val="0092679D"/>
    <w:rsid w:val="009317E4"/>
    <w:rsid w:val="00932874"/>
    <w:rsid w:val="009414A8"/>
    <w:rsid w:val="009461FA"/>
    <w:rsid w:val="00962EB7"/>
    <w:rsid w:val="00965E8F"/>
    <w:rsid w:val="0097230A"/>
    <w:rsid w:val="00972659"/>
    <w:rsid w:val="00983DA0"/>
    <w:rsid w:val="009A1E9E"/>
    <w:rsid w:val="009A25BD"/>
    <w:rsid w:val="009A4E4C"/>
    <w:rsid w:val="009A6F33"/>
    <w:rsid w:val="009B1D06"/>
    <w:rsid w:val="009B72A6"/>
    <w:rsid w:val="009C57E3"/>
    <w:rsid w:val="009C6F37"/>
    <w:rsid w:val="009D2C05"/>
    <w:rsid w:val="009F6556"/>
    <w:rsid w:val="00A06344"/>
    <w:rsid w:val="00A074EA"/>
    <w:rsid w:val="00A150C2"/>
    <w:rsid w:val="00A17A95"/>
    <w:rsid w:val="00A23AB5"/>
    <w:rsid w:val="00A24096"/>
    <w:rsid w:val="00A2487A"/>
    <w:rsid w:val="00A4003C"/>
    <w:rsid w:val="00A400E0"/>
    <w:rsid w:val="00A42253"/>
    <w:rsid w:val="00A5227F"/>
    <w:rsid w:val="00A53FD1"/>
    <w:rsid w:val="00A57171"/>
    <w:rsid w:val="00A664D7"/>
    <w:rsid w:val="00A6713B"/>
    <w:rsid w:val="00A87EFF"/>
    <w:rsid w:val="00A91F7D"/>
    <w:rsid w:val="00A97BBA"/>
    <w:rsid w:val="00AA0637"/>
    <w:rsid w:val="00AB14B2"/>
    <w:rsid w:val="00AB5226"/>
    <w:rsid w:val="00AC49DC"/>
    <w:rsid w:val="00AE58B2"/>
    <w:rsid w:val="00AE72D1"/>
    <w:rsid w:val="00AF2419"/>
    <w:rsid w:val="00AF3EE5"/>
    <w:rsid w:val="00AF594F"/>
    <w:rsid w:val="00AF7274"/>
    <w:rsid w:val="00B032CF"/>
    <w:rsid w:val="00B037D3"/>
    <w:rsid w:val="00B15C01"/>
    <w:rsid w:val="00B22EE6"/>
    <w:rsid w:val="00B26C87"/>
    <w:rsid w:val="00B27399"/>
    <w:rsid w:val="00B40CFA"/>
    <w:rsid w:val="00B510C5"/>
    <w:rsid w:val="00B55165"/>
    <w:rsid w:val="00B63402"/>
    <w:rsid w:val="00B651E6"/>
    <w:rsid w:val="00B65534"/>
    <w:rsid w:val="00B71726"/>
    <w:rsid w:val="00B71EDD"/>
    <w:rsid w:val="00B74030"/>
    <w:rsid w:val="00B86D70"/>
    <w:rsid w:val="00B86ECC"/>
    <w:rsid w:val="00B914A1"/>
    <w:rsid w:val="00B91651"/>
    <w:rsid w:val="00BA356B"/>
    <w:rsid w:val="00BA5347"/>
    <w:rsid w:val="00BB6B9E"/>
    <w:rsid w:val="00BB7980"/>
    <w:rsid w:val="00BF066A"/>
    <w:rsid w:val="00BF1D9A"/>
    <w:rsid w:val="00BF6D43"/>
    <w:rsid w:val="00BF774E"/>
    <w:rsid w:val="00C22FE9"/>
    <w:rsid w:val="00C25633"/>
    <w:rsid w:val="00C25F34"/>
    <w:rsid w:val="00C338EB"/>
    <w:rsid w:val="00C36F40"/>
    <w:rsid w:val="00C37186"/>
    <w:rsid w:val="00C40A4D"/>
    <w:rsid w:val="00C4403E"/>
    <w:rsid w:val="00C446A7"/>
    <w:rsid w:val="00C44BDB"/>
    <w:rsid w:val="00C472A7"/>
    <w:rsid w:val="00C47F26"/>
    <w:rsid w:val="00C52D2D"/>
    <w:rsid w:val="00C550D5"/>
    <w:rsid w:val="00C556E4"/>
    <w:rsid w:val="00C561E7"/>
    <w:rsid w:val="00C625B2"/>
    <w:rsid w:val="00C6275F"/>
    <w:rsid w:val="00C64F37"/>
    <w:rsid w:val="00C73A5F"/>
    <w:rsid w:val="00C81E8B"/>
    <w:rsid w:val="00C83D51"/>
    <w:rsid w:val="00C90BDA"/>
    <w:rsid w:val="00C93791"/>
    <w:rsid w:val="00CB1CB7"/>
    <w:rsid w:val="00CB5D9B"/>
    <w:rsid w:val="00CB5DAB"/>
    <w:rsid w:val="00CB61C6"/>
    <w:rsid w:val="00CB68AD"/>
    <w:rsid w:val="00CB7F17"/>
    <w:rsid w:val="00CC268C"/>
    <w:rsid w:val="00CC6D99"/>
    <w:rsid w:val="00CC72FB"/>
    <w:rsid w:val="00CD32DC"/>
    <w:rsid w:val="00CD332B"/>
    <w:rsid w:val="00CD7FBC"/>
    <w:rsid w:val="00CE4775"/>
    <w:rsid w:val="00CE7E42"/>
    <w:rsid w:val="00CF206A"/>
    <w:rsid w:val="00CF3192"/>
    <w:rsid w:val="00CF53D0"/>
    <w:rsid w:val="00D006F5"/>
    <w:rsid w:val="00D05495"/>
    <w:rsid w:val="00D0745F"/>
    <w:rsid w:val="00D1111B"/>
    <w:rsid w:val="00D11BC5"/>
    <w:rsid w:val="00D12327"/>
    <w:rsid w:val="00D30CF0"/>
    <w:rsid w:val="00D31B0D"/>
    <w:rsid w:val="00D3569B"/>
    <w:rsid w:val="00D44FE6"/>
    <w:rsid w:val="00D5235A"/>
    <w:rsid w:val="00D53662"/>
    <w:rsid w:val="00D57E8E"/>
    <w:rsid w:val="00D76E10"/>
    <w:rsid w:val="00D815BE"/>
    <w:rsid w:val="00D87491"/>
    <w:rsid w:val="00D90DFF"/>
    <w:rsid w:val="00D923BD"/>
    <w:rsid w:val="00D9445D"/>
    <w:rsid w:val="00D96F20"/>
    <w:rsid w:val="00DA09BF"/>
    <w:rsid w:val="00DA0B7A"/>
    <w:rsid w:val="00DA6C88"/>
    <w:rsid w:val="00DB061E"/>
    <w:rsid w:val="00DB45EE"/>
    <w:rsid w:val="00DB6B8E"/>
    <w:rsid w:val="00DC3122"/>
    <w:rsid w:val="00DC713F"/>
    <w:rsid w:val="00DD2F6C"/>
    <w:rsid w:val="00DD3352"/>
    <w:rsid w:val="00DE6DF2"/>
    <w:rsid w:val="00DF0A9B"/>
    <w:rsid w:val="00E03708"/>
    <w:rsid w:val="00E04938"/>
    <w:rsid w:val="00E158D6"/>
    <w:rsid w:val="00E173DF"/>
    <w:rsid w:val="00E176F0"/>
    <w:rsid w:val="00E257D8"/>
    <w:rsid w:val="00E34052"/>
    <w:rsid w:val="00E413F7"/>
    <w:rsid w:val="00E41AC4"/>
    <w:rsid w:val="00E43AC3"/>
    <w:rsid w:val="00E45AF3"/>
    <w:rsid w:val="00E46A09"/>
    <w:rsid w:val="00E55892"/>
    <w:rsid w:val="00E56065"/>
    <w:rsid w:val="00E63584"/>
    <w:rsid w:val="00E67E46"/>
    <w:rsid w:val="00E754A1"/>
    <w:rsid w:val="00E80A08"/>
    <w:rsid w:val="00E84533"/>
    <w:rsid w:val="00E869B3"/>
    <w:rsid w:val="00EA2024"/>
    <w:rsid w:val="00EA241D"/>
    <w:rsid w:val="00EA3721"/>
    <w:rsid w:val="00EA5FF4"/>
    <w:rsid w:val="00EA73A2"/>
    <w:rsid w:val="00EA7971"/>
    <w:rsid w:val="00EB50F6"/>
    <w:rsid w:val="00EB5FF6"/>
    <w:rsid w:val="00EB7759"/>
    <w:rsid w:val="00EC52FF"/>
    <w:rsid w:val="00EC7DCD"/>
    <w:rsid w:val="00ED146F"/>
    <w:rsid w:val="00ED3BA3"/>
    <w:rsid w:val="00EE12F5"/>
    <w:rsid w:val="00EE2B20"/>
    <w:rsid w:val="00EE65A8"/>
    <w:rsid w:val="00EE660D"/>
    <w:rsid w:val="00EE7DCE"/>
    <w:rsid w:val="00EF3CE9"/>
    <w:rsid w:val="00EF5020"/>
    <w:rsid w:val="00EF5FA0"/>
    <w:rsid w:val="00EF7242"/>
    <w:rsid w:val="00F02206"/>
    <w:rsid w:val="00F04745"/>
    <w:rsid w:val="00F05913"/>
    <w:rsid w:val="00F130C6"/>
    <w:rsid w:val="00F17C94"/>
    <w:rsid w:val="00F23631"/>
    <w:rsid w:val="00F302CC"/>
    <w:rsid w:val="00F43880"/>
    <w:rsid w:val="00F45A8D"/>
    <w:rsid w:val="00F47A69"/>
    <w:rsid w:val="00F51EFB"/>
    <w:rsid w:val="00F557D2"/>
    <w:rsid w:val="00F5680B"/>
    <w:rsid w:val="00F615A6"/>
    <w:rsid w:val="00F63ABC"/>
    <w:rsid w:val="00F664D8"/>
    <w:rsid w:val="00F66A39"/>
    <w:rsid w:val="00F71AE9"/>
    <w:rsid w:val="00F7492F"/>
    <w:rsid w:val="00F82779"/>
    <w:rsid w:val="00F8769B"/>
    <w:rsid w:val="00F87EF0"/>
    <w:rsid w:val="00F95D0D"/>
    <w:rsid w:val="00FA19E4"/>
    <w:rsid w:val="00FA3119"/>
    <w:rsid w:val="00FB17BB"/>
    <w:rsid w:val="00FB3B36"/>
    <w:rsid w:val="00FC03C7"/>
    <w:rsid w:val="00FC466B"/>
    <w:rsid w:val="00FC5E68"/>
    <w:rsid w:val="00FD0D82"/>
    <w:rsid w:val="00FD32E2"/>
    <w:rsid w:val="00FD32F1"/>
    <w:rsid w:val="00FD44D5"/>
    <w:rsid w:val="00FD7D37"/>
    <w:rsid w:val="00FE0C3C"/>
    <w:rsid w:val="00FE3050"/>
    <w:rsid w:val="00FE3A2C"/>
    <w:rsid w:val="00FF369C"/>
    <w:rsid w:val="00FF5F50"/>
    <w:rsid w:val="00FF6496"/>
    <w:rsid w:val="00FF75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1CA5E0"/>
  <w15:chartTrackingRefBased/>
  <w15:docId w15:val="{78C83439-7700-44EF-BB3F-2B3C9D68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534"/>
  </w:style>
  <w:style w:type="paragraph" w:styleId="Heading1">
    <w:name w:val="heading 1"/>
    <w:basedOn w:val="Normal"/>
    <w:next w:val="Normal"/>
    <w:link w:val="Heading1Char"/>
    <w:uiPriority w:val="9"/>
    <w:qFormat/>
    <w:rsid w:val="000B1E7B"/>
    <w:pPr>
      <w:keepNext/>
      <w:keepLines/>
      <w:numPr>
        <w:numId w:val="2"/>
      </w:numPr>
      <w:spacing w:after="240" w:line="240" w:lineRule="auto"/>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544325"/>
    <w:pPr>
      <w:keepNext/>
      <w:keepLines/>
      <w:spacing w:before="120" w:after="240" w:line="240" w:lineRule="auto"/>
      <w:jc w:val="center"/>
      <w:outlineLvl w:val="1"/>
    </w:pPr>
    <w:rPr>
      <w:rFonts w:eastAsiaTheme="majorEastAsia" w:cstheme="majorBidi"/>
      <w:sz w:val="32"/>
      <w:szCs w:val="26"/>
    </w:rPr>
  </w:style>
  <w:style w:type="paragraph" w:styleId="Heading3">
    <w:name w:val="heading 3"/>
    <w:basedOn w:val="Normal"/>
    <w:next w:val="Normal"/>
    <w:link w:val="Heading3Char"/>
    <w:uiPriority w:val="9"/>
    <w:unhideWhenUsed/>
    <w:qFormat/>
    <w:rsid w:val="00FA3119"/>
    <w:pPr>
      <w:keepNext/>
      <w:keepLines/>
      <w:spacing w:after="24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7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A3721"/>
  </w:style>
  <w:style w:type="paragraph" w:styleId="Footer">
    <w:name w:val="footer"/>
    <w:basedOn w:val="Normal"/>
    <w:link w:val="FooterChar"/>
    <w:uiPriority w:val="99"/>
    <w:unhideWhenUsed/>
    <w:rsid w:val="00EA3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A3721"/>
  </w:style>
  <w:style w:type="character" w:customStyle="1" w:styleId="Heading1Char">
    <w:name w:val="Heading 1 Char"/>
    <w:basedOn w:val="DefaultParagraphFont"/>
    <w:link w:val="Heading1"/>
    <w:uiPriority w:val="9"/>
    <w:rsid w:val="000B1E7B"/>
    <w:rPr>
      <w:rFonts w:eastAsiaTheme="majorEastAsia" w:cstheme="majorBidi"/>
      <w:sz w:val="32"/>
      <w:szCs w:val="32"/>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autoRedefine/>
    <w:uiPriority w:val="99"/>
    <w:unhideWhenUsed/>
    <w:qFormat/>
    <w:rsid w:val="00BA5347"/>
    <w:pPr>
      <w:spacing w:after="0" w:line="240" w:lineRule="auto"/>
      <w:jc w:val="both"/>
    </w:pPr>
    <w:rPr>
      <w:sz w:val="20"/>
      <w:szCs w:val="20"/>
    </w:rPr>
  </w:style>
  <w:style w:type="character" w:customStyle="1" w:styleId="FootnoteTextChar">
    <w:name w:val="Footnote Text Char"/>
    <w:aliases w:val="Footnote Char1,Fußnote Char1,single space Char1,ft Rakstz. Rakstz. Char1,ft Rakstz. Char1,ft Char1,-E Fußnotentext Char1,Fußnotentext Ursprung Char1,Vēres teksts Char Char Char Char Char Char1,Vēres teksts Char Char Char Char1"/>
    <w:basedOn w:val="DefaultParagraphFont"/>
    <w:link w:val="FootnoteText"/>
    <w:uiPriority w:val="99"/>
    <w:rsid w:val="00BA5347"/>
    <w:rPr>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link w:val="Char2"/>
    <w:uiPriority w:val="99"/>
    <w:unhideWhenUsed/>
    <w:qFormat/>
    <w:rsid w:val="00B55165"/>
    <w:rPr>
      <w:sz w:val="20"/>
      <w:vertAlign w:val="superscript"/>
    </w:rPr>
  </w:style>
  <w:style w:type="table" w:styleId="TableGrid">
    <w:name w:val="Table Grid"/>
    <w:basedOn w:val="TableNormal"/>
    <w:uiPriority w:val="39"/>
    <w:rsid w:val="008B1C3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0F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FAD"/>
    <w:rPr>
      <w:rFonts w:ascii="Segoe UI" w:hAnsi="Segoe UI" w:cs="Segoe UI"/>
      <w:sz w:val="18"/>
      <w:szCs w:val="18"/>
    </w:rPr>
  </w:style>
  <w:style w:type="character" w:customStyle="1" w:styleId="Heading2Char">
    <w:name w:val="Heading 2 Char"/>
    <w:basedOn w:val="DefaultParagraphFont"/>
    <w:link w:val="Heading2"/>
    <w:uiPriority w:val="9"/>
    <w:rsid w:val="00544325"/>
    <w:rPr>
      <w:rFonts w:eastAsiaTheme="majorEastAsia" w:cstheme="majorBidi"/>
      <w:sz w:val="32"/>
      <w:szCs w:val="26"/>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D44FE6"/>
    <w:pPr>
      <w:ind w:left="720"/>
      <w:contextualSpacing/>
    </w:pPr>
  </w:style>
  <w:style w:type="paragraph" w:styleId="TOC1">
    <w:name w:val="toc 1"/>
    <w:basedOn w:val="Normal"/>
    <w:next w:val="Normal"/>
    <w:autoRedefine/>
    <w:uiPriority w:val="39"/>
    <w:unhideWhenUsed/>
    <w:rsid w:val="00D44FE6"/>
    <w:pPr>
      <w:tabs>
        <w:tab w:val="left" w:pos="390"/>
        <w:tab w:val="right" w:pos="9061"/>
      </w:tabs>
      <w:spacing w:before="360" w:after="360"/>
    </w:pPr>
    <w:rPr>
      <w:rFonts w:cstheme="minorHAnsi"/>
      <w:b/>
      <w:bCs/>
      <w:caps/>
      <w:noProof/>
      <w:u w:val="single"/>
    </w:rPr>
  </w:style>
  <w:style w:type="paragraph" w:styleId="TOC2">
    <w:name w:val="toc 2"/>
    <w:basedOn w:val="Normal"/>
    <w:next w:val="Normal"/>
    <w:autoRedefine/>
    <w:uiPriority w:val="39"/>
    <w:unhideWhenUsed/>
    <w:rsid w:val="00C25F34"/>
    <w:pPr>
      <w:tabs>
        <w:tab w:val="left" w:pos="1134"/>
        <w:tab w:val="right" w:pos="9061"/>
      </w:tabs>
      <w:spacing w:after="0"/>
    </w:pPr>
    <w:rPr>
      <w:rFonts w:cstheme="minorHAnsi"/>
      <w:bCs/>
      <w:smallCaps/>
    </w:rPr>
  </w:style>
  <w:style w:type="paragraph" w:styleId="TOC3">
    <w:name w:val="toc 3"/>
    <w:basedOn w:val="Normal"/>
    <w:next w:val="Normal"/>
    <w:autoRedefine/>
    <w:uiPriority w:val="39"/>
    <w:unhideWhenUsed/>
    <w:rsid w:val="009A4E4C"/>
    <w:pPr>
      <w:tabs>
        <w:tab w:val="left" w:pos="709"/>
        <w:tab w:val="right" w:pos="9061"/>
      </w:tabs>
      <w:spacing w:after="0"/>
    </w:pPr>
    <w:rPr>
      <w:rFonts w:cstheme="minorHAnsi"/>
    </w:rPr>
  </w:style>
  <w:style w:type="paragraph" w:styleId="TOC4">
    <w:name w:val="toc 4"/>
    <w:basedOn w:val="Normal"/>
    <w:next w:val="Normal"/>
    <w:autoRedefine/>
    <w:uiPriority w:val="39"/>
    <w:unhideWhenUsed/>
    <w:rsid w:val="00D44FE6"/>
    <w:pPr>
      <w:spacing w:after="0"/>
    </w:pPr>
    <w:rPr>
      <w:rFonts w:asciiTheme="minorHAnsi" w:hAnsiTheme="minorHAnsi" w:cstheme="minorHAnsi"/>
      <w:sz w:val="22"/>
    </w:rPr>
  </w:style>
  <w:style w:type="paragraph" w:styleId="TOC5">
    <w:name w:val="toc 5"/>
    <w:basedOn w:val="Normal"/>
    <w:next w:val="Normal"/>
    <w:autoRedefine/>
    <w:uiPriority w:val="39"/>
    <w:unhideWhenUsed/>
    <w:rsid w:val="00D44FE6"/>
    <w:pPr>
      <w:spacing w:after="0"/>
    </w:pPr>
    <w:rPr>
      <w:rFonts w:asciiTheme="minorHAnsi" w:hAnsiTheme="minorHAnsi" w:cstheme="minorHAnsi"/>
      <w:sz w:val="22"/>
    </w:rPr>
  </w:style>
  <w:style w:type="paragraph" w:styleId="TOC6">
    <w:name w:val="toc 6"/>
    <w:basedOn w:val="Normal"/>
    <w:next w:val="Normal"/>
    <w:autoRedefine/>
    <w:uiPriority w:val="39"/>
    <w:unhideWhenUsed/>
    <w:rsid w:val="00D44FE6"/>
    <w:pPr>
      <w:spacing w:after="0"/>
    </w:pPr>
    <w:rPr>
      <w:rFonts w:asciiTheme="minorHAnsi" w:hAnsiTheme="minorHAnsi" w:cstheme="minorHAnsi"/>
      <w:sz w:val="22"/>
    </w:rPr>
  </w:style>
  <w:style w:type="paragraph" w:styleId="TOC7">
    <w:name w:val="toc 7"/>
    <w:basedOn w:val="Normal"/>
    <w:next w:val="Normal"/>
    <w:autoRedefine/>
    <w:uiPriority w:val="39"/>
    <w:unhideWhenUsed/>
    <w:rsid w:val="00D44FE6"/>
    <w:pPr>
      <w:spacing w:after="0"/>
    </w:pPr>
    <w:rPr>
      <w:rFonts w:asciiTheme="minorHAnsi" w:hAnsiTheme="minorHAnsi" w:cstheme="minorHAnsi"/>
      <w:sz w:val="22"/>
    </w:rPr>
  </w:style>
  <w:style w:type="paragraph" w:styleId="TOC8">
    <w:name w:val="toc 8"/>
    <w:basedOn w:val="Normal"/>
    <w:next w:val="Normal"/>
    <w:autoRedefine/>
    <w:uiPriority w:val="39"/>
    <w:unhideWhenUsed/>
    <w:rsid w:val="00D44FE6"/>
    <w:pPr>
      <w:spacing w:after="0"/>
    </w:pPr>
    <w:rPr>
      <w:rFonts w:asciiTheme="minorHAnsi" w:hAnsiTheme="minorHAnsi" w:cstheme="minorHAnsi"/>
      <w:sz w:val="22"/>
    </w:rPr>
  </w:style>
  <w:style w:type="paragraph" w:styleId="TOC9">
    <w:name w:val="toc 9"/>
    <w:basedOn w:val="Normal"/>
    <w:next w:val="Normal"/>
    <w:autoRedefine/>
    <w:uiPriority w:val="39"/>
    <w:unhideWhenUsed/>
    <w:rsid w:val="00D44FE6"/>
    <w:pPr>
      <w:spacing w:after="0"/>
    </w:pPr>
    <w:rPr>
      <w:rFonts w:asciiTheme="minorHAnsi" w:hAnsiTheme="minorHAnsi" w:cstheme="minorHAnsi"/>
      <w:sz w:val="22"/>
    </w:rPr>
  </w:style>
  <w:style w:type="character" w:styleId="Hyperlink">
    <w:name w:val="Hyperlink"/>
    <w:basedOn w:val="DefaultParagraphFont"/>
    <w:uiPriority w:val="99"/>
    <w:unhideWhenUsed/>
    <w:rsid w:val="00D44FE6"/>
    <w:rPr>
      <w:color w:val="0563C1" w:themeColor="hyperlink"/>
      <w:u w:val="single"/>
    </w:rPr>
  </w:style>
  <w:style w:type="character" w:customStyle="1" w:styleId="Heading3Char">
    <w:name w:val="Heading 3 Char"/>
    <w:basedOn w:val="DefaultParagraphFont"/>
    <w:link w:val="Heading3"/>
    <w:uiPriority w:val="9"/>
    <w:rsid w:val="00FA3119"/>
    <w:rPr>
      <w:rFonts w:eastAsiaTheme="majorEastAsia" w:cstheme="majorBidi"/>
      <w:b/>
      <w:sz w:val="28"/>
    </w:rPr>
  </w:style>
  <w:style w:type="paragraph" w:styleId="CommentText">
    <w:name w:val="annotation text"/>
    <w:aliases w:val=" Char,Char"/>
    <w:basedOn w:val="Normal"/>
    <w:link w:val="CommentTextChar"/>
    <w:uiPriority w:val="99"/>
    <w:unhideWhenUsed/>
    <w:rsid w:val="00BF6D43"/>
    <w:pPr>
      <w:spacing w:line="240" w:lineRule="auto"/>
    </w:pPr>
    <w:rPr>
      <w:rFonts w:cs="Times New Roman"/>
      <w:sz w:val="20"/>
      <w:szCs w:val="20"/>
    </w:rPr>
  </w:style>
  <w:style w:type="character" w:customStyle="1" w:styleId="CommentTextChar">
    <w:name w:val="Comment Text Char"/>
    <w:aliases w:val=" Char Char,Char Char"/>
    <w:basedOn w:val="DefaultParagraphFont"/>
    <w:link w:val="CommentText"/>
    <w:uiPriority w:val="99"/>
    <w:rsid w:val="00BF6D43"/>
    <w:rPr>
      <w:rFonts w:cs="Times New Roman"/>
      <w:sz w:val="20"/>
      <w:szCs w:val="20"/>
    </w:rPr>
  </w:style>
  <w:style w:type="character" w:styleId="FollowedHyperlink">
    <w:name w:val="FollowedHyperlink"/>
    <w:basedOn w:val="DefaultParagraphFont"/>
    <w:uiPriority w:val="99"/>
    <w:semiHidden/>
    <w:unhideWhenUsed/>
    <w:rsid w:val="00A87EFF"/>
    <w:rPr>
      <w:color w:val="954F72" w:themeColor="followedHyperlink"/>
      <w:u w:val="single"/>
    </w:rPr>
  </w:style>
  <w:style w:type="paragraph" w:styleId="Caption">
    <w:name w:val="caption"/>
    <w:basedOn w:val="Normal"/>
    <w:next w:val="Normal"/>
    <w:uiPriority w:val="35"/>
    <w:unhideWhenUsed/>
    <w:qFormat/>
    <w:rsid w:val="00B65534"/>
    <w:pPr>
      <w:spacing w:before="120" w:after="120" w:line="240" w:lineRule="auto"/>
      <w:jc w:val="right"/>
    </w:pPr>
    <w:rPr>
      <w:iCs/>
      <w:szCs w:val="18"/>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uiPriority w:val="99"/>
    <w:locked/>
    <w:rsid w:val="00EC52FF"/>
    <w:rPr>
      <w:rFonts w:ascii="Calibri" w:eastAsia="Calibri" w:hAnsi="Calibri"/>
      <w:sz w:val="20"/>
      <w:szCs w:val="20"/>
      <w:lang w:eastAsia="x-none"/>
    </w:rPr>
  </w:style>
  <w:style w:type="character" w:styleId="CommentReference">
    <w:name w:val="annotation reference"/>
    <w:basedOn w:val="DefaultParagraphFont"/>
    <w:uiPriority w:val="99"/>
    <w:semiHidden/>
    <w:unhideWhenUsed/>
    <w:rsid w:val="00EC52FF"/>
    <w:rPr>
      <w:sz w:val="16"/>
      <w:szCs w:val="16"/>
    </w:rPr>
  </w:style>
  <w:style w:type="paragraph" w:customStyle="1" w:styleId="Char2">
    <w:name w:val="Char2"/>
    <w:aliases w:val="Char Char Char Char"/>
    <w:basedOn w:val="Normal"/>
    <w:next w:val="Normal"/>
    <w:link w:val="FootnoteReference"/>
    <w:autoRedefine/>
    <w:uiPriority w:val="99"/>
    <w:rsid w:val="00B55165"/>
    <w:pPr>
      <w:spacing w:after="0" w:line="240" w:lineRule="auto"/>
      <w:jc w:val="both"/>
      <w:textAlignment w:val="baseline"/>
    </w:pPr>
    <w:rPr>
      <w:sz w:val="20"/>
      <w:vertAlign w:val="superscript"/>
    </w:rPr>
  </w:style>
  <w:style w:type="paragraph" w:styleId="CommentSubject">
    <w:name w:val="annotation subject"/>
    <w:basedOn w:val="CommentText"/>
    <w:next w:val="CommentText"/>
    <w:link w:val="CommentSubjectChar"/>
    <w:uiPriority w:val="99"/>
    <w:semiHidden/>
    <w:unhideWhenUsed/>
    <w:rsid w:val="00EC52FF"/>
    <w:rPr>
      <w:b/>
      <w:bCs/>
    </w:rPr>
  </w:style>
  <w:style w:type="character" w:customStyle="1" w:styleId="CommentSubjectChar">
    <w:name w:val="Comment Subject Char"/>
    <w:basedOn w:val="CommentTextChar"/>
    <w:link w:val="CommentSubject"/>
    <w:uiPriority w:val="99"/>
    <w:semiHidden/>
    <w:rsid w:val="00EC52FF"/>
    <w:rPr>
      <w:rFonts w:cs="Times New Roman"/>
      <w:b/>
      <w:bCs/>
      <w:sz w:val="20"/>
      <w:szCs w:val="20"/>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EC52FF"/>
  </w:style>
  <w:style w:type="paragraph" w:styleId="EndnoteText">
    <w:name w:val="endnote text"/>
    <w:basedOn w:val="Normal"/>
    <w:link w:val="EndnoteTextChar"/>
    <w:uiPriority w:val="99"/>
    <w:semiHidden/>
    <w:unhideWhenUsed/>
    <w:rsid w:val="00EC52FF"/>
    <w:pPr>
      <w:spacing w:after="0" w:line="240" w:lineRule="auto"/>
    </w:pPr>
    <w:rPr>
      <w:rFonts w:cs="Times New Roman"/>
      <w:sz w:val="20"/>
      <w:szCs w:val="20"/>
    </w:rPr>
  </w:style>
  <w:style w:type="character" w:customStyle="1" w:styleId="EndnoteTextChar">
    <w:name w:val="Endnote Text Char"/>
    <w:basedOn w:val="DefaultParagraphFont"/>
    <w:link w:val="EndnoteText"/>
    <w:uiPriority w:val="99"/>
    <w:semiHidden/>
    <w:rsid w:val="00EC52FF"/>
    <w:rPr>
      <w:rFonts w:cs="Times New Roman"/>
      <w:sz w:val="20"/>
      <w:szCs w:val="20"/>
    </w:rPr>
  </w:style>
  <w:style w:type="character" w:styleId="EndnoteReference">
    <w:name w:val="endnote reference"/>
    <w:basedOn w:val="DefaultParagraphFont"/>
    <w:uiPriority w:val="99"/>
    <w:semiHidden/>
    <w:unhideWhenUsed/>
    <w:rsid w:val="00EC52FF"/>
    <w:rPr>
      <w:vertAlign w:val="superscript"/>
    </w:rPr>
  </w:style>
  <w:style w:type="paragraph" w:styleId="NormalWeb">
    <w:name w:val="Normal (Web)"/>
    <w:basedOn w:val="Normal"/>
    <w:uiPriority w:val="99"/>
    <w:unhideWhenUsed/>
    <w:rsid w:val="00EC52FF"/>
    <w:pPr>
      <w:spacing w:before="100" w:beforeAutospacing="1" w:after="100" w:afterAutospacing="1" w:line="240" w:lineRule="auto"/>
    </w:pPr>
    <w:rPr>
      <w:rFonts w:eastAsia="Times New Roman" w:cs="Times New Roman"/>
      <w:lang w:eastAsia="lv-LV"/>
    </w:rPr>
  </w:style>
  <w:style w:type="character" w:styleId="Strong">
    <w:name w:val="Strong"/>
    <w:basedOn w:val="DefaultParagraphFont"/>
    <w:uiPriority w:val="22"/>
    <w:qFormat/>
    <w:rsid w:val="00EC52FF"/>
    <w:rPr>
      <w:b/>
      <w:bCs/>
    </w:rPr>
  </w:style>
  <w:style w:type="paragraph" w:customStyle="1" w:styleId="Default">
    <w:name w:val="Default"/>
    <w:rsid w:val="00EC52FF"/>
    <w:pPr>
      <w:autoSpaceDE w:val="0"/>
      <w:autoSpaceDN w:val="0"/>
      <w:adjustRightInd w:val="0"/>
      <w:spacing w:after="0" w:line="240" w:lineRule="auto"/>
    </w:pPr>
    <w:rPr>
      <w:rFonts w:cs="Times New Roman"/>
      <w:color w:val="000000"/>
    </w:rPr>
  </w:style>
  <w:style w:type="character" w:customStyle="1" w:styleId="normaltextrun">
    <w:name w:val="normaltextrun"/>
    <w:basedOn w:val="DefaultParagraphFont"/>
    <w:rsid w:val="00EC52FF"/>
  </w:style>
  <w:style w:type="character" w:customStyle="1" w:styleId="spellingerror">
    <w:name w:val="spellingerror"/>
    <w:basedOn w:val="DefaultParagraphFont"/>
    <w:rsid w:val="00EC52FF"/>
  </w:style>
  <w:style w:type="paragraph" w:styleId="TableofFigures">
    <w:name w:val="table of figures"/>
    <w:basedOn w:val="Normal"/>
    <w:next w:val="Normal"/>
    <w:uiPriority w:val="99"/>
    <w:unhideWhenUsed/>
    <w:rsid w:val="00EC52FF"/>
    <w:pPr>
      <w:spacing w:after="0"/>
    </w:pPr>
  </w:style>
  <w:style w:type="character" w:styleId="PlaceholderText">
    <w:name w:val="Placeholder Text"/>
    <w:basedOn w:val="DefaultParagraphFont"/>
    <w:uiPriority w:val="99"/>
    <w:semiHidden/>
    <w:rsid w:val="005D78BB"/>
    <w:rPr>
      <w:color w:val="808080"/>
    </w:rPr>
  </w:style>
  <w:style w:type="paragraph" w:styleId="TOCHeading">
    <w:name w:val="TOC Heading"/>
    <w:basedOn w:val="Heading1"/>
    <w:next w:val="Normal"/>
    <w:uiPriority w:val="39"/>
    <w:unhideWhenUsed/>
    <w:qFormat/>
    <w:rsid w:val="00643639"/>
    <w:pPr>
      <w:numPr>
        <w:numId w:val="0"/>
      </w:numPr>
      <w:spacing w:before="240" w:after="0" w:line="259" w:lineRule="auto"/>
      <w:jc w:val="left"/>
      <w:outlineLvl w:val="9"/>
    </w:pPr>
    <w:rPr>
      <w:rFonts w:asciiTheme="majorHAnsi" w:hAnsiTheme="majorHAnsi"/>
      <w:color w:val="2E74B5" w:themeColor="accent1" w:themeShade="BF"/>
      <w:lang w:val="en-US"/>
    </w:rPr>
  </w:style>
  <w:style w:type="paragraph" w:styleId="NoSpacing">
    <w:name w:val="No Spacing"/>
    <w:uiPriority w:val="1"/>
    <w:qFormat/>
    <w:rsid w:val="00DF0A9B"/>
    <w:pPr>
      <w:spacing w:after="0" w:line="240" w:lineRule="auto"/>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5967">
      <w:bodyDiv w:val="1"/>
      <w:marLeft w:val="0"/>
      <w:marRight w:val="0"/>
      <w:marTop w:val="0"/>
      <w:marBottom w:val="0"/>
      <w:divBdr>
        <w:top w:val="none" w:sz="0" w:space="0" w:color="auto"/>
        <w:left w:val="none" w:sz="0" w:space="0" w:color="auto"/>
        <w:bottom w:val="none" w:sz="0" w:space="0" w:color="auto"/>
        <w:right w:val="none" w:sz="0" w:space="0" w:color="auto"/>
      </w:divBdr>
    </w:div>
    <w:div w:id="381514541">
      <w:bodyDiv w:val="1"/>
      <w:marLeft w:val="0"/>
      <w:marRight w:val="0"/>
      <w:marTop w:val="0"/>
      <w:marBottom w:val="0"/>
      <w:divBdr>
        <w:top w:val="none" w:sz="0" w:space="0" w:color="auto"/>
        <w:left w:val="none" w:sz="0" w:space="0" w:color="auto"/>
        <w:bottom w:val="none" w:sz="0" w:space="0" w:color="auto"/>
        <w:right w:val="none" w:sz="0" w:space="0" w:color="auto"/>
      </w:divBdr>
    </w:div>
    <w:div w:id="436877058">
      <w:bodyDiv w:val="1"/>
      <w:marLeft w:val="0"/>
      <w:marRight w:val="0"/>
      <w:marTop w:val="0"/>
      <w:marBottom w:val="0"/>
      <w:divBdr>
        <w:top w:val="none" w:sz="0" w:space="0" w:color="auto"/>
        <w:left w:val="none" w:sz="0" w:space="0" w:color="auto"/>
        <w:bottom w:val="none" w:sz="0" w:space="0" w:color="auto"/>
        <w:right w:val="none" w:sz="0" w:space="0" w:color="auto"/>
      </w:divBdr>
    </w:div>
    <w:div w:id="589432089">
      <w:bodyDiv w:val="1"/>
      <w:marLeft w:val="0"/>
      <w:marRight w:val="0"/>
      <w:marTop w:val="0"/>
      <w:marBottom w:val="0"/>
      <w:divBdr>
        <w:top w:val="none" w:sz="0" w:space="0" w:color="auto"/>
        <w:left w:val="none" w:sz="0" w:space="0" w:color="auto"/>
        <w:bottom w:val="none" w:sz="0" w:space="0" w:color="auto"/>
        <w:right w:val="none" w:sz="0" w:space="0" w:color="auto"/>
      </w:divBdr>
    </w:div>
    <w:div w:id="2042509430">
      <w:bodyDiv w:val="1"/>
      <w:marLeft w:val="0"/>
      <w:marRight w:val="0"/>
      <w:marTop w:val="0"/>
      <w:marBottom w:val="0"/>
      <w:divBdr>
        <w:top w:val="none" w:sz="0" w:space="0" w:color="auto"/>
        <w:left w:val="none" w:sz="0" w:space="0" w:color="auto"/>
        <w:bottom w:val="none" w:sz="0" w:space="0" w:color="auto"/>
        <w:right w:val="none" w:sz="0" w:space="0" w:color="auto"/>
      </w:divBdr>
      <w:divsChild>
        <w:div w:id="1422680357">
          <w:marLeft w:val="0"/>
          <w:marRight w:val="0"/>
          <w:marTop w:val="0"/>
          <w:marBottom w:val="0"/>
          <w:divBdr>
            <w:top w:val="none" w:sz="0" w:space="0" w:color="auto"/>
            <w:left w:val="none" w:sz="0" w:space="0" w:color="auto"/>
            <w:bottom w:val="none" w:sz="0" w:space="0" w:color="auto"/>
            <w:right w:val="none" w:sz="0" w:space="0" w:color="auto"/>
          </w:divBdr>
          <w:divsChild>
            <w:div w:id="268120947">
              <w:marLeft w:val="0"/>
              <w:marRight w:val="0"/>
              <w:marTop w:val="0"/>
              <w:marBottom w:val="0"/>
              <w:divBdr>
                <w:top w:val="none" w:sz="0" w:space="0" w:color="auto"/>
                <w:left w:val="none" w:sz="0" w:space="0" w:color="auto"/>
                <w:bottom w:val="none" w:sz="0" w:space="0" w:color="auto"/>
                <w:right w:val="none" w:sz="0" w:space="0" w:color="auto"/>
              </w:divBdr>
              <w:divsChild>
                <w:div w:id="1603563485">
                  <w:marLeft w:val="0"/>
                  <w:marRight w:val="0"/>
                  <w:marTop w:val="0"/>
                  <w:marBottom w:val="0"/>
                  <w:divBdr>
                    <w:top w:val="none" w:sz="0" w:space="0" w:color="auto"/>
                    <w:left w:val="none" w:sz="0" w:space="0" w:color="auto"/>
                    <w:bottom w:val="none" w:sz="0" w:space="0" w:color="auto"/>
                    <w:right w:val="none" w:sz="0" w:space="0" w:color="auto"/>
                  </w:divBdr>
                  <w:divsChild>
                    <w:div w:id="91433909">
                      <w:marLeft w:val="0"/>
                      <w:marRight w:val="0"/>
                      <w:marTop w:val="0"/>
                      <w:marBottom w:val="0"/>
                      <w:divBdr>
                        <w:top w:val="none" w:sz="0" w:space="0" w:color="auto"/>
                        <w:left w:val="none" w:sz="0" w:space="0" w:color="auto"/>
                        <w:bottom w:val="none" w:sz="0" w:space="0" w:color="auto"/>
                        <w:right w:val="none" w:sz="0" w:space="0" w:color="auto"/>
                      </w:divBdr>
                      <w:divsChild>
                        <w:div w:id="2095976635">
                          <w:marLeft w:val="0"/>
                          <w:marRight w:val="0"/>
                          <w:marTop w:val="0"/>
                          <w:marBottom w:val="0"/>
                          <w:divBdr>
                            <w:top w:val="none" w:sz="0" w:space="0" w:color="auto"/>
                            <w:left w:val="none" w:sz="0" w:space="0" w:color="auto"/>
                            <w:bottom w:val="none" w:sz="0" w:space="0" w:color="auto"/>
                            <w:right w:val="none" w:sz="0" w:space="0" w:color="auto"/>
                          </w:divBdr>
                          <w:divsChild>
                            <w:div w:id="55516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21" Type="http://schemas.openxmlformats.org/officeDocument/2006/relationships/image" Target="media/image9.png"/><Relationship Id="rId42" Type="http://schemas.openxmlformats.org/officeDocument/2006/relationships/image" Target="media/image14.emf"/><Relationship Id="rId47" Type="http://schemas.openxmlformats.org/officeDocument/2006/relationships/image" Target="media/image19.png"/><Relationship Id="rId63" Type="http://schemas.openxmlformats.org/officeDocument/2006/relationships/image" Target="media/image34.png"/><Relationship Id="rId68" Type="http://schemas.openxmlformats.org/officeDocument/2006/relationships/chart" Target="charts/chart24.xml"/><Relationship Id="rId84" Type="http://schemas.openxmlformats.org/officeDocument/2006/relationships/diagramQuickStyle" Target="diagrams/quickStyle1.xml"/><Relationship Id="rId89" Type="http://schemas.openxmlformats.org/officeDocument/2006/relationships/image" Target="media/image41.png"/><Relationship Id="rId16" Type="http://schemas.openxmlformats.org/officeDocument/2006/relationships/image" Target="media/image6.png"/><Relationship Id="rId107" Type="http://schemas.openxmlformats.org/officeDocument/2006/relationships/fontTable" Target="fontTable.xml"/><Relationship Id="rId11" Type="http://schemas.openxmlformats.org/officeDocument/2006/relationships/image" Target="media/image4.png"/><Relationship Id="rId32" Type="http://schemas.openxmlformats.org/officeDocument/2006/relationships/chart" Target="charts/chart15.xml"/><Relationship Id="rId37" Type="http://schemas.openxmlformats.org/officeDocument/2006/relationships/chart" Target="charts/chart19.xml"/><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chart" Target="charts/chart29.xml"/><Relationship Id="rId79" Type="http://schemas.openxmlformats.org/officeDocument/2006/relationships/chart" Target="charts/chart32.xml"/><Relationship Id="rId102" Type="http://schemas.openxmlformats.org/officeDocument/2006/relationships/image" Target="media/image49.png"/><Relationship Id="rId5" Type="http://schemas.openxmlformats.org/officeDocument/2006/relationships/webSettings" Target="webSettings.xml"/><Relationship Id="rId90" Type="http://schemas.openxmlformats.org/officeDocument/2006/relationships/image" Target="media/image42.png"/><Relationship Id="rId95" Type="http://schemas.openxmlformats.org/officeDocument/2006/relationships/chart" Target="charts/chart37.xml"/><Relationship Id="rId22" Type="http://schemas.openxmlformats.org/officeDocument/2006/relationships/chart" Target="charts/chart5.xml"/><Relationship Id="rId27" Type="http://schemas.openxmlformats.org/officeDocument/2006/relationships/chart" Target="charts/chart10.xml"/><Relationship Id="rId43" Type="http://schemas.openxmlformats.org/officeDocument/2006/relationships/image" Target="media/image15.emf"/><Relationship Id="rId48" Type="http://schemas.openxmlformats.org/officeDocument/2006/relationships/image" Target="media/image20.png"/><Relationship Id="rId64" Type="http://schemas.openxmlformats.org/officeDocument/2006/relationships/chart" Target="charts/chart21.xml"/><Relationship Id="rId69" Type="http://schemas.openxmlformats.org/officeDocument/2006/relationships/chart" Target="charts/chart25.xml"/><Relationship Id="rId80" Type="http://schemas.openxmlformats.org/officeDocument/2006/relationships/chart" Target="charts/chart33.xml"/><Relationship Id="rId85" Type="http://schemas.openxmlformats.org/officeDocument/2006/relationships/diagramColors" Target="diagrams/colors1.xml"/><Relationship Id="rId12" Type="http://schemas.openxmlformats.org/officeDocument/2006/relationships/chart" Target="charts/chart1.xml"/><Relationship Id="rId17" Type="http://schemas.openxmlformats.org/officeDocument/2006/relationships/chart" Target="charts/chart3.xml"/><Relationship Id="rId33" Type="http://schemas.openxmlformats.org/officeDocument/2006/relationships/image" Target="media/image10.png"/><Relationship Id="rId38" Type="http://schemas.openxmlformats.org/officeDocument/2006/relationships/image" Target="media/image11.png"/><Relationship Id="rId59" Type="http://schemas.openxmlformats.org/officeDocument/2006/relationships/footer" Target="footer1.xml"/><Relationship Id="rId103" Type="http://schemas.openxmlformats.org/officeDocument/2006/relationships/image" Target="media/image50.png"/><Relationship Id="rId108" Type="http://schemas.openxmlformats.org/officeDocument/2006/relationships/theme" Target="theme/theme1.xml"/><Relationship Id="rId20" Type="http://schemas.openxmlformats.org/officeDocument/2006/relationships/chart" Target="charts/chart4.xml"/><Relationship Id="rId41" Type="http://schemas.openxmlformats.org/officeDocument/2006/relationships/image" Target="media/image13.png"/><Relationship Id="rId54" Type="http://schemas.openxmlformats.org/officeDocument/2006/relationships/image" Target="media/image26.png"/><Relationship Id="rId62" Type="http://schemas.openxmlformats.org/officeDocument/2006/relationships/image" Target="media/image33.png"/><Relationship Id="rId70" Type="http://schemas.openxmlformats.org/officeDocument/2006/relationships/chart" Target="charts/chart26.xml"/><Relationship Id="rId75" Type="http://schemas.openxmlformats.org/officeDocument/2006/relationships/image" Target="media/image37.png"/><Relationship Id="rId83" Type="http://schemas.openxmlformats.org/officeDocument/2006/relationships/diagramLayout" Target="diagrams/layout1.xml"/><Relationship Id="rId88" Type="http://schemas.openxmlformats.org/officeDocument/2006/relationships/image" Target="media/image40.png"/><Relationship Id="rId91" Type="http://schemas.openxmlformats.org/officeDocument/2006/relationships/chart" Target="charts/chart35.xml"/><Relationship Id="rId96" Type="http://schemas.openxmlformats.org/officeDocument/2006/relationships/chart" Target="charts/chart3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8.xml"/><Relationship Id="rId49" Type="http://schemas.openxmlformats.org/officeDocument/2006/relationships/image" Target="media/image21.png"/><Relationship Id="rId57" Type="http://schemas.openxmlformats.org/officeDocument/2006/relationships/image" Target="media/image29.png"/><Relationship Id="rId106" Type="http://schemas.openxmlformats.org/officeDocument/2006/relationships/footer" Target="footer2.xml"/><Relationship Id="rId10" Type="http://schemas.openxmlformats.org/officeDocument/2006/relationships/image" Target="media/image3.jpeg"/><Relationship Id="rId31" Type="http://schemas.openxmlformats.org/officeDocument/2006/relationships/chart" Target="charts/chart14.xml"/><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1.png"/><Relationship Id="rId65" Type="http://schemas.openxmlformats.org/officeDocument/2006/relationships/chart" Target="charts/chart22.xml"/><Relationship Id="rId73" Type="http://schemas.openxmlformats.org/officeDocument/2006/relationships/chart" Target="charts/chart28.xml"/><Relationship Id="rId78" Type="http://schemas.openxmlformats.org/officeDocument/2006/relationships/image" Target="media/image38.png"/><Relationship Id="rId81" Type="http://schemas.openxmlformats.org/officeDocument/2006/relationships/chart" Target="charts/chart34.xml"/><Relationship Id="rId86" Type="http://schemas.microsoft.com/office/2007/relationships/diagramDrawing" Target="diagrams/drawing1.xml"/><Relationship Id="rId94" Type="http://schemas.openxmlformats.org/officeDocument/2006/relationships/chart" Target="charts/chart36.xml"/><Relationship Id="rId99" Type="http://schemas.openxmlformats.org/officeDocument/2006/relationships/image" Target="media/image46.png"/><Relationship Id="rId101" Type="http://schemas.openxmlformats.org/officeDocument/2006/relationships/image" Target="media/image48.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2.xml"/><Relationship Id="rId18" Type="http://schemas.openxmlformats.org/officeDocument/2006/relationships/image" Target="media/image7.png"/><Relationship Id="rId39" Type="http://schemas.openxmlformats.org/officeDocument/2006/relationships/image" Target="media/image12.png"/><Relationship Id="rId34" Type="http://schemas.openxmlformats.org/officeDocument/2006/relationships/chart" Target="charts/chart16.xml"/><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chart" Target="charts/chart30.xml"/><Relationship Id="rId97" Type="http://schemas.openxmlformats.org/officeDocument/2006/relationships/chart" Target="charts/chart39.xml"/><Relationship Id="rId104" Type="http://schemas.openxmlformats.org/officeDocument/2006/relationships/chart" Target="charts/chart40.xml"/><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7.xml"/><Relationship Id="rId40" Type="http://schemas.openxmlformats.org/officeDocument/2006/relationships/chart" Target="charts/chart20.xml"/><Relationship Id="rId45" Type="http://schemas.openxmlformats.org/officeDocument/2006/relationships/image" Target="media/image17.png"/><Relationship Id="rId66" Type="http://schemas.openxmlformats.org/officeDocument/2006/relationships/chart" Target="charts/chart23.xml"/><Relationship Id="rId87" Type="http://schemas.openxmlformats.org/officeDocument/2006/relationships/image" Target="media/image39.png"/><Relationship Id="rId61" Type="http://schemas.openxmlformats.org/officeDocument/2006/relationships/image" Target="media/image32.png"/><Relationship Id="rId82" Type="http://schemas.openxmlformats.org/officeDocument/2006/relationships/diagramData" Target="diagrams/data1.xml"/><Relationship Id="rId19" Type="http://schemas.openxmlformats.org/officeDocument/2006/relationships/image" Target="media/image8.png"/><Relationship Id="rId14" Type="http://schemas.openxmlformats.org/officeDocument/2006/relationships/hyperlink" Target="http://tap.mk.gov.lv/lv/mk/tap/?pid=40488989&amp;mode=mk&amp;date=2020-07-14" TargetMode="External"/><Relationship Id="rId30" Type="http://schemas.openxmlformats.org/officeDocument/2006/relationships/chart" Target="charts/chart13.xml"/><Relationship Id="rId35" Type="http://schemas.openxmlformats.org/officeDocument/2006/relationships/chart" Target="charts/chart17.xml"/><Relationship Id="rId56" Type="http://schemas.openxmlformats.org/officeDocument/2006/relationships/image" Target="media/image28.png"/><Relationship Id="rId77" Type="http://schemas.openxmlformats.org/officeDocument/2006/relationships/chart" Target="charts/chart31.xml"/><Relationship Id="rId100" Type="http://schemas.openxmlformats.org/officeDocument/2006/relationships/image" Target="media/image47.png"/><Relationship Id="rId105" Type="http://schemas.openxmlformats.org/officeDocument/2006/relationships/hyperlink" Target="mailto:mara.allena@fm.gov.lv" TargetMode="External"/><Relationship Id="rId8" Type="http://schemas.openxmlformats.org/officeDocument/2006/relationships/image" Target="media/image1.jpeg"/><Relationship Id="rId51" Type="http://schemas.openxmlformats.org/officeDocument/2006/relationships/image" Target="media/image23.png"/><Relationship Id="rId72" Type="http://schemas.openxmlformats.org/officeDocument/2006/relationships/chart" Target="charts/chart27.xml"/><Relationship Id="rId93" Type="http://schemas.openxmlformats.org/officeDocument/2006/relationships/image" Target="media/image44.jpeg"/><Relationship Id="rId98" Type="http://schemas.openxmlformats.org/officeDocument/2006/relationships/image" Target="media/image45.png"/><Relationship Id="rId3" Type="http://schemas.openxmlformats.org/officeDocument/2006/relationships/styles" Target="styles.xml"/><Relationship Id="rId25" Type="http://schemas.openxmlformats.org/officeDocument/2006/relationships/chart" Target="charts/chart8.xml"/><Relationship Id="rId46" Type="http://schemas.openxmlformats.org/officeDocument/2006/relationships/image" Target="media/image18.png"/><Relationship Id="rId67" Type="http://schemas.openxmlformats.org/officeDocument/2006/relationships/image" Target="media/image35.png"/></Relationships>
</file>

<file path=word/_rels/footnotes.xml.rels><?xml version="1.0" encoding="UTF-8" standalone="yes"?>
<Relationships xmlns="http://schemas.openxmlformats.org/package/2006/relationships"><Relationship Id="rId13" Type="http://schemas.openxmlformats.org/officeDocument/2006/relationships/hyperlink" Target="https://www.fm.gov.lv/lv/sadalas/ppp/ppp_ligumi/" TargetMode="External"/><Relationship Id="rId18" Type="http://schemas.openxmlformats.org/officeDocument/2006/relationships/hyperlink" Target="https://www.fm.gov.lv/lv/sadalas/ppp/ppp_ligumi/" TargetMode="External"/><Relationship Id="rId26" Type="http://schemas.openxmlformats.org/officeDocument/2006/relationships/hyperlink" Target="https://www.ppplietuva.lt/en/" TargetMode="External"/><Relationship Id="rId39" Type="http://schemas.openxmlformats.org/officeDocument/2006/relationships/hyperlink" Target="https://data.gov.lv/dati/lv/dataset/piegazu-datu-grupa" TargetMode="External"/><Relationship Id="rId21" Type="http://schemas.openxmlformats.org/officeDocument/2006/relationships/hyperlink" Target="https://lvceli.lv/projekti/kekavas-apvedcela-ppp-projekts/" TargetMode="External"/><Relationship Id="rId34" Type="http://schemas.openxmlformats.org/officeDocument/2006/relationships/hyperlink" Target="https://www.ppp.gov.pl/media/system/slowniki/Raport-z-rynku-PPP-2019-FIN_1.pdf" TargetMode="External"/><Relationship Id="rId7" Type="http://schemas.openxmlformats.org/officeDocument/2006/relationships/hyperlink" Target="https://www.lrvk.gov.lv/lv/revizijas/revizijas/noslegtas-revizijas/starpzinojums-vai-ambulatora-veselibas-aprupes-sistema-latvija-ir-pilnveidojama" TargetMode="External"/><Relationship Id="rId12" Type="http://schemas.openxmlformats.org/officeDocument/2006/relationships/hyperlink" Target="https://www.tm.gov.lv/lv/jaunums/bordans-pirmas-instances-tiesas-videokonferencu-skaits-ir-pieaudzis-sesas-reizes-0" TargetMode="External"/><Relationship Id="rId17" Type="http://schemas.openxmlformats.org/officeDocument/2006/relationships/hyperlink" Target="https://www.cfla.gov.lv/lv/citas-programmas/publiska-un-privata-partneriba/finansu-un-ekonomisko-aprekinu-vadlinijas" TargetMode="External"/><Relationship Id="rId25" Type="http://schemas.openxmlformats.org/officeDocument/2006/relationships/hyperlink" Target="https://www.eca.europa.eu/Lists/ECADocuments/SR18_09/SR_PPP_LV.pdf" TargetMode="External"/><Relationship Id="rId33" Type="http://schemas.openxmlformats.org/officeDocument/2006/relationships/hyperlink" Target="https://www.gov.pl/web/fundusze-regiony/partnerstwo-publiczno-prywatne" TargetMode="External"/><Relationship Id="rId38" Type="http://schemas.openxmlformats.org/officeDocument/2006/relationships/hyperlink" Target="https://data.gov.lv/dati/lv/dataset/statistika-par-viss-datu-apmainam" TargetMode="External"/><Relationship Id="rId2" Type="http://schemas.openxmlformats.org/officeDocument/2006/relationships/hyperlink" Target="https://spkc.gov.lv/lv/statistika-un-petijumi/statistika/latvijas-veselibas-aprupes-sta1/get/nid/12" TargetMode="External"/><Relationship Id="rId16" Type="http://schemas.openxmlformats.org/officeDocument/2006/relationships/hyperlink" Target="https://www.cfla.gov.lv/lv/citas-programmas/publiska-un-privata-partneriba/infografikas-un-skaidrojumi/ppp-projekta-cikls" TargetMode="External"/><Relationship Id="rId20" Type="http://schemas.openxmlformats.org/officeDocument/2006/relationships/hyperlink" Target="https://cfla.gov.lv/lv/citas-programmas/publiska-un-privata-partneriba/finansu-un-ekonomisko-aprekinu-sagatavosanas-lemumi" TargetMode="External"/><Relationship Id="rId29" Type="http://schemas.openxmlformats.org/officeDocument/2006/relationships/hyperlink" Target="https://ppplietuva.lt/lt/viesojo-ir-privataus-sektoriu-partneryste/projektai/palangos-aplinkkelio-tiesimo-ir-eksploatacines-prieziuros-vykdymo-projektas" TargetMode="External"/><Relationship Id="rId1" Type="http://schemas.openxmlformats.org/officeDocument/2006/relationships/hyperlink" Target="https://ec.europa.eu/eurostat/statistics-explained/index.php/Healthy_life_years_statistics" TargetMode="External"/><Relationship Id="rId6" Type="http://schemas.openxmlformats.org/officeDocument/2006/relationships/hyperlink" Target="https://spkc.gov.lv/lv/statistika-un-petijumi/statistika/veselibas-aprupes-statistika1" TargetMode="External"/><Relationship Id="rId11" Type="http://schemas.openxmlformats.org/officeDocument/2006/relationships/hyperlink" Target="http://www.lkssa.lv/lv/par-mums" TargetMode="External"/><Relationship Id="rId24" Type="http://schemas.openxmlformats.org/officeDocument/2006/relationships/hyperlink" Target="http://lvceli.lv/wp-content/uploads/2017/10/Open_Day_QA_4-7.09.2018.pdf" TargetMode="External"/><Relationship Id="rId32" Type="http://schemas.openxmlformats.org/officeDocument/2006/relationships/hyperlink" Target="https://www.err.ee/1021026/aasa-hinnangul-voibki-maanteede-neljarajaliseks-ehitamisele-kuluda-15-aastat" TargetMode="External"/><Relationship Id="rId37" Type="http://schemas.openxmlformats.org/officeDocument/2006/relationships/hyperlink" Target="https://www.oecd-ilibrary.org/governance/2015-oecd-recommendation-of-the-council-on-gender-equality-in-public-life_9789264252820-en" TargetMode="External"/><Relationship Id="rId40" Type="http://schemas.openxmlformats.org/officeDocument/2006/relationships/hyperlink" Target="https://likumi.lv/doc.php?id=259999" TargetMode="External"/><Relationship Id="rId5" Type="http://schemas.openxmlformats.org/officeDocument/2006/relationships/hyperlink" Target="https://spkc.gov.lv/lv/statistika-un-petijumi/statistika/veselibas-aprupes-statistika1" TargetMode="External"/><Relationship Id="rId15" Type="http://schemas.openxmlformats.org/officeDocument/2006/relationships/hyperlink" Target="http://ec.europa.eu/eurostat/web/products-manuals-and-guidelines/-/KS-GQ-16-001" TargetMode="External"/><Relationship Id="rId23" Type="http://schemas.openxmlformats.org/officeDocument/2006/relationships/hyperlink" Target="http://lvceli.lv/wp-content/uploads/2017/10/Open_Day2_Info_material_31_08_2018.pdf" TargetMode="External"/><Relationship Id="rId28" Type="http://schemas.openxmlformats.org/officeDocument/2006/relationships/hyperlink" Target="https://ppplietuva.lt/lt/viesojo-ir-privataus-sektoriu-partneryste/projektai/vilniaus-miesto-balsiu-mokyklos-statybos-ir-ukio-prieziuros-vykdymo-projektas" TargetMode="External"/><Relationship Id="rId36" Type="http://schemas.openxmlformats.org/officeDocument/2006/relationships/hyperlink" Target="http://www.oecd.org/gov/oecd-good-practices-for-performance-budgeting-c90b0305-en.htm" TargetMode="External"/><Relationship Id="rId10" Type="http://schemas.openxmlformats.org/officeDocument/2006/relationships/hyperlink" Target="https://www.izm.gov.lv/images/sports/LNSP_protokols_1_2020.pdf" TargetMode="External"/><Relationship Id="rId19" Type="http://schemas.openxmlformats.org/officeDocument/2006/relationships/hyperlink" Target="https://www.fm.gov.lv/lv/sadalas/ppp/ppp_ligumi/" TargetMode="External"/><Relationship Id="rId31" Type="http://schemas.openxmlformats.org/officeDocument/2006/relationships/hyperlink" Target="https://www.err.ee/1016118/valitsus-kiitis-heaks-ppp-projektide-pohimotted-ja-juhised" TargetMode="External"/><Relationship Id="rId4" Type="http://schemas.openxmlformats.org/officeDocument/2006/relationships/hyperlink" Target="http://tap.mk.gov.lv/lv/mk/tap/?pid=40488128" TargetMode="External"/><Relationship Id="rId9" Type="http://schemas.openxmlformats.org/officeDocument/2006/relationships/hyperlink" Target="https://www.izm.gov.lv/lv/nozares/sports/sporta-nozares-struktura" TargetMode="External"/><Relationship Id="rId14" Type="http://schemas.openxmlformats.org/officeDocument/2006/relationships/hyperlink" Target="https://www.cfla.gov.lv/lv/citas-programmas/publiska-un-privata-partneriba/normativie-dokumenti" TargetMode="External"/><Relationship Id="rId22" Type="http://schemas.openxmlformats.org/officeDocument/2006/relationships/hyperlink" Target="https://lvceli.lv/projekti/kekavas-apvedcela-ppp-projekts/" TargetMode="External"/><Relationship Id="rId27" Type="http://schemas.openxmlformats.org/officeDocument/2006/relationships/hyperlink" Target="https://ppplietuva.lt/" TargetMode="External"/><Relationship Id="rId30" Type="http://schemas.openxmlformats.org/officeDocument/2006/relationships/hyperlink" Target="https://ppplietuva.lt/lt/viesojo-ir-privataus-sektoriu-partneryste/projektai/policijos-departamento-prie-vrm-vilniaus-apskrities-vyriausiojo-policijos-komisariato-projektas" TargetMode="External"/><Relationship Id="rId35" Type="http://schemas.openxmlformats.org/officeDocument/2006/relationships/hyperlink" Target="https://www.ppp.gov.pl/baza-zawartych-umow-ppp/" TargetMode="External"/><Relationship Id="rId8" Type="http://schemas.openxmlformats.org/officeDocument/2006/relationships/hyperlink" Target="https://www.lrvk.gov.lv/lv/revizijas/revizijas/noslegtas-revizijas/stipendiju-pieskirsanas-sistema-profesionalo-izglitibas-iestazu-segmenta" TargetMode="External"/><Relationship Id="rId3" Type="http://schemas.openxmlformats.org/officeDocument/2006/relationships/hyperlink" Target="https://spkc.gov.lv/lv/statistika-un-petijumi/statistika/latvijas-veselibas-aprupes-sta1/get/nid/12"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2._Vesel&#299;ba\Datortomogr&#257;fija_Rentgenolo&#291;ija_anal&#299;ze\Rentgenolo&#291;ija_izdevumi_skaits_re&#291;ioni_slimn&#299;cas_01042020.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4.xml"/></Relationships>
</file>

<file path=word/charts/_rels/chart11.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2._Vesel&#299;ba\Datortomogr&#257;fija_Rentgenolo&#291;ija_anal&#299;ze\Rentgenolo&#291;ija_izdevumi_skaits_re&#291;ioni_slimn&#299;cas_01042020.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5.xml"/></Relationships>
</file>

<file path=word/charts/_rels/chart12.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2._Vesel&#299;ba\Rindas_Atk&#257;pe\anal&#299;zei_%20Ambulatoras_rindas_2016_2020_nomain&#299;ts.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2._Vesel&#299;ba\OFTAL.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6.xml"/></Relationships>
</file>

<file path=word/charts/_rels/chart14.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2._Vesel&#299;ba\OFTAL.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7.xml"/></Relationships>
</file>

<file path=word/charts/_rels/chart1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1._Ieprieksejas_izd_parsk_rez\2_MK%20s&#275;&#382;u%20protokola%20punkti\Dati.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8.xml"/><Relationship Id="rId4" Type="http://schemas.openxmlformats.org/officeDocument/2006/relationships/package" Target="../embeddings/Microsoft_Excel_Worksheet8.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9.xlsx"/></Relationships>
</file>

<file path=word/charts/_rels/chart23.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4._Iek&#353;lietu%20ministrija\4._IeM%20bud&#382;eta%20anal&#299;ze\Grafiki1.xlsx"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4._Iek&#353;lietu%20ministrija\4._IeM%20bud&#382;eta%20anal&#299;ze\Grafiki1.xlsx"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embeddings/oleObject1.bin"/></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4.xml"/><Relationship Id="rId1" Type="http://schemas.microsoft.com/office/2011/relationships/chartStyle" Target="style24.xml"/><Relationship Id="rId5" Type="http://schemas.openxmlformats.org/officeDocument/2006/relationships/chartUserShapes" Target="../drawings/drawing10.xml"/><Relationship Id="rId4" Type="http://schemas.openxmlformats.org/officeDocument/2006/relationships/oleObject" Target="file:///\\fk\bpad\Bud&#382;eta_att&#299;st&#299;bas_noda&#316;a\IZDEVUMU_PARSKATISANA\2020\2_T&#275;mas\3.4._Iek&#353;lietu%20ministrija\4._IeM%20bud&#382;eta%20anal&#299;ze\apak&#353;programmu%20dinamika.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embeddings/oleObject2.bin"/></Relationships>
</file>

<file path=word/charts/_rels/chart28.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4._Iek&#353;lietu%20ministrija\4._IeM%20bud&#382;eta%20anal&#299;ze\Dati_270520.xlsx" TargetMode="External"/><Relationship Id="rId2" Type="http://schemas.microsoft.com/office/2011/relationships/chartColorStyle" Target="colors26.xml"/><Relationship Id="rId1" Type="http://schemas.microsoft.com/office/2011/relationships/chartStyle" Target="style26.xml"/></Relationships>
</file>

<file path=word/charts/_rels/chart29.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embeddings/oleObject4.bin"/></Relationships>
</file>

<file path=word/charts/_rels/chart31.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4._Iek&#353;lietu%20ministrija\4._IeM%20bud&#382;eta%20anal&#299;ze\apak&#353;programmu%20dinamika.xlsx" TargetMode="Externa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chartUserShapes" Target="../drawings/drawing11.xml"/></Relationships>
</file>

<file path=word/charts/_rels/chart32.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4._Iek&#353;lietu%20ministrija\4._IeM%20bud&#382;eta%20anal&#299;ze\Dati_270520.xlsx" TargetMode="External"/><Relationship Id="rId2" Type="http://schemas.microsoft.com/office/2011/relationships/chartColorStyle" Target="colors30.xml"/><Relationship Id="rId1" Type="http://schemas.microsoft.com/office/2011/relationships/chartStyle" Target="style30.xml"/></Relationships>
</file>

<file path=word/charts/_rels/chart33.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4._Iek&#353;lietu%20ministrija\4._IeM%20bud&#382;eta%20anal&#299;ze\Dati_270520.xlsx" TargetMode="External"/><Relationship Id="rId2" Type="http://schemas.microsoft.com/office/2011/relationships/chartColorStyle" Target="colors31.xml"/><Relationship Id="rId1" Type="http://schemas.microsoft.com/office/2011/relationships/chartStyle" Target="style31.xm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fk\bpad\Bud&#382;eta_att&#299;st&#299;bas_noda&#316;a\IZDEVUMU_PARSKATISANA\2020\2_T&#275;mas\3.4._Iek&#353;lietu%20ministrija\4._IeM%20bud&#382;eta%20anal&#299;ze\Grafiki1.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10.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34.xml"/><Relationship Id="rId1" Type="http://schemas.microsoft.com/office/2011/relationships/chartStyle" Target="style34.xml"/><Relationship Id="rId5" Type="http://schemas.openxmlformats.org/officeDocument/2006/relationships/chartUserShapes" Target="../drawings/drawing12.xml"/><Relationship Id="rId4" Type="http://schemas.openxmlformats.org/officeDocument/2006/relationships/package" Target="../embeddings/Microsoft_Excel_Worksheet11.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35.xml"/><Relationship Id="rId1" Type="http://schemas.microsoft.com/office/2011/relationships/chartStyle" Target="style35.xml"/><Relationship Id="rId5" Type="http://schemas.openxmlformats.org/officeDocument/2006/relationships/chartUserShapes" Target="../drawings/drawing13.xml"/><Relationship Id="rId4" Type="http://schemas.openxmlformats.org/officeDocument/2006/relationships/package" Target="../embeddings/Microsoft_Excel_Worksheet12.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36.xml"/><Relationship Id="rId1" Type="http://schemas.microsoft.com/office/2011/relationships/chartStyle" Target="style36.xml"/><Relationship Id="rId5" Type="http://schemas.openxmlformats.org/officeDocument/2006/relationships/chartUserShapes" Target="../drawings/drawing14.xml"/><Relationship Id="rId4" Type="http://schemas.openxmlformats.org/officeDocument/2006/relationships/package" Target="../embeddings/Microsoft_Excel_Worksheet13.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37.xml"/><Relationship Id="rId1" Type="http://schemas.microsoft.com/office/2011/relationships/chartStyle" Target="style37.xml"/><Relationship Id="rId5" Type="http://schemas.openxmlformats.org/officeDocument/2006/relationships/chartUserShapes" Target="../drawings/drawing15.xml"/><Relationship Id="rId4" Type="http://schemas.openxmlformats.org/officeDocument/2006/relationships/package" Target="../embeddings/Microsoft_Excel_Worksheet1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0.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4.4._Izdevumu_sasaiste_ar_resursu_avotu\dati\Radari\Naudas%20sodi\Naudas%20sodi.xlsx" TargetMode="External"/><Relationship Id="rId2" Type="http://schemas.microsoft.com/office/2011/relationships/chartColorStyle" Target="colors38.xml"/><Relationship Id="rId1" Type="http://schemas.microsoft.com/office/2011/relationships/chartStyle" Target="style38.xml"/></Relationships>
</file>

<file path=word/charts/_rels/chart5.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2._Vesel&#299;ba\ambulatorie_pakalpojumi.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2._Vesel&#299;ba\Rindas_Atk&#257;pe\anal&#299;zei_%20Ambulatoras_rindas_2016_2020_nomain&#299;ts.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2._Vesel&#299;ba\Datortomogr&#257;fija_Rentgenolo&#291;ija_anal&#299;ze\Datortomogr&#257;fija_izdevumi_skaits_re&#291;ioni_slimn&#299;cas.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2._Vesel&#299;ba\Datortomogr&#257;fija_Rentgenolo&#291;ija_anal&#299;ze\Datortomogr&#257;fija_izdevumi_skaits_re&#291;ioni_slimn&#299;cas.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3.xml"/></Relationships>
</file>

<file path=word/charts/_rels/chart9.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3.2._Vesel&#299;ba\Rindas_Atk&#257;pe\anal&#299;zei_%20Ambulatoras_rindas_2016_2020_nomain&#299;t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Sheet1!$A$4</c:f>
              <c:strCache>
                <c:ptCount val="1"/>
                <c:pt idx="0">
                  <c:v>Iekšējie resursi prioritātēm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Sheet1!$B$2:$E$3</c:f>
              <c:multiLvlStrCache>
                <c:ptCount val="4"/>
                <c:lvl>
                  <c:pt idx="0">
                    <c:v>Konstatēts</c:v>
                  </c:pt>
                  <c:pt idx="1">
                    <c:v>Ieviests</c:v>
                  </c:pt>
                  <c:pt idx="2">
                    <c:v>Konstatēts</c:v>
                  </c:pt>
                  <c:pt idx="3">
                    <c:v>Ieviests</c:v>
                  </c:pt>
                </c:lvl>
                <c:lvl>
                  <c:pt idx="0">
                    <c:v>2020</c:v>
                  </c:pt>
                  <c:pt idx="2">
                    <c:v>2021</c:v>
                  </c:pt>
                </c:lvl>
              </c:multiLvlStrCache>
            </c:multiLvlStrRef>
          </c:cat>
          <c:val>
            <c:numRef>
              <c:f>Sheet1!$B$4:$E$4</c:f>
              <c:numCache>
                <c:formatCode>#\ ##0.0</c:formatCode>
                <c:ptCount val="4"/>
                <c:pt idx="0">
                  <c:v>45.732177999999998</c:v>
                </c:pt>
                <c:pt idx="1">
                  <c:v>47.497399358229998</c:v>
                </c:pt>
                <c:pt idx="2">
                  <c:v>17.238902449999998</c:v>
                </c:pt>
                <c:pt idx="3">
                  <c:v>20.337431838230003</c:v>
                </c:pt>
              </c:numCache>
            </c:numRef>
          </c:val>
          <c:extLst>
            <c:ext xmlns:c16="http://schemas.microsoft.com/office/drawing/2014/chart" uri="{C3380CC4-5D6E-409C-BE32-E72D297353CC}">
              <c16:uniqueId val="{00000000-7C61-4C1C-A93E-A5A31B1A1819}"/>
            </c:ext>
          </c:extLst>
        </c:ser>
        <c:ser>
          <c:idx val="1"/>
          <c:order val="1"/>
          <c:tx>
            <c:strRef>
              <c:f>Sheet1!$A$5</c:f>
              <c:strCache>
                <c:ptCount val="1"/>
                <c:pt idx="0">
                  <c:v>Kopējām valsts prioritātēm</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Sheet1!$B$2:$E$3</c:f>
              <c:multiLvlStrCache>
                <c:ptCount val="4"/>
                <c:lvl>
                  <c:pt idx="0">
                    <c:v>Konstatēts</c:v>
                  </c:pt>
                  <c:pt idx="1">
                    <c:v>Ieviests</c:v>
                  </c:pt>
                  <c:pt idx="2">
                    <c:v>Konstatēts</c:v>
                  </c:pt>
                  <c:pt idx="3">
                    <c:v>Ieviests</c:v>
                  </c:pt>
                </c:lvl>
                <c:lvl>
                  <c:pt idx="0">
                    <c:v>2020</c:v>
                  </c:pt>
                  <c:pt idx="2">
                    <c:v>2021</c:v>
                  </c:pt>
                </c:lvl>
              </c:multiLvlStrCache>
            </c:multiLvlStrRef>
          </c:cat>
          <c:val>
            <c:numRef>
              <c:f>Sheet1!$B$5:$E$5</c:f>
              <c:numCache>
                <c:formatCode>#\ ##0.0</c:formatCode>
                <c:ptCount val="4"/>
                <c:pt idx="0">
                  <c:v>47.966585000000002</c:v>
                </c:pt>
                <c:pt idx="1">
                  <c:v>47.966585000000002</c:v>
                </c:pt>
                <c:pt idx="2">
                  <c:v>17.272306</c:v>
                </c:pt>
                <c:pt idx="3">
                  <c:v>17.272306</c:v>
                </c:pt>
              </c:numCache>
            </c:numRef>
          </c:val>
          <c:extLst>
            <c:ext xmlns:c16="http://schemas.microsoft.com/office/drawing/2014/chart" uri="{C3380CC4-5D6E-409C-BE32-E72D297353CC}">
              <c16:uniqueId val="{00000001-7C61-4C1C-A93E-A5A31B1A1819}"/>
            </c:ext>
          </c:extLst>
        </c:ser>
        <c:dLbls>
          <c:dLblPos val="ctr"/>
          <c:showLegendKey val="0"/>
          <c:showVal val="1"/>
          <c:showCatName val="0"/>
          <c:showSerName val="0"/>
          <c:showPercent val="0"/>
          <c:showBubbleSize val="0"/>
        </c:dLbls>
        <c:gapWidth val="50"/>
        <c:overlap val="100"/>
        <c:axId val="2132884432"/>
        <c:axId val="2132883600"/>
      </c:barChart>
      <c:catAx>
        <c:axId val="213288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32883600"/>
        <c:crosses val="autoZero"/>
        <c:auto val="1"/>
        <c:lblAlgn val="ctr"/>
        <c:lblOffset val="100"/>
        <c:noMultiLvlLbl val="0"/>
      </c:catAx>
      <c:valAx>
        <c:axId val="2132883600"/>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32884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953237157061992E-2"/>
          <c:y val="5.2009456264775412E-2"/>
          <c:w val="0.82877602923047877"/>
          <c:h val="0.56036305517676221"/>
        </c:manualLayout>
      </c:layout>
      <c:lineChart>
        <c:grouping val="standard"/>
        <c:varyColors val="0"/>
        <c:ser>
          <c:idx val="0"/>
          <c:order val="0"/>
          <c:tx>
            <c:strRef>
              <c:f>'KOPĀ VALSTĪ'!$A$8</c:f>
              <c:strCache>
                <c:ptCount val="1"/>
                <c:pt idx="0">
                  <c:v>Iedzīvotāju skaits</c:v>
                </c:pt>
              </c:strCache>
            </c:strRef>
          </c:tx>
          <c:spPr>
            <a:ln w="28575" cap="rnd">
              <a:solidFill>
                <a:srgbClr val="0070C0"/>
              </a:solidFill>
              <a:round/>
            </a:ln>
            <a:effectLst/>
          </c:spPr>
          <c:marker>
            <c:symbol val="circle"/>
            <c:size val="5"/>
            <c:spPr>
              <a:solidFill>
                <a:srgbClr val="0070C0"/>
              </a:solidFill>
              <a:ln w="9525">
                <a:solidFill>
                  <a:schemeClr val="accent1"/>
                </a:solidFill>
              </a:ln>
              <a:effectLst/>
            </c:spPr>
          </c:marker>
          <c:dLbls>
            <c:dLbl>
              <c:idx val="0"/>
              <c:layout>
                <c:manualLayout>
                  <c:x val="-8.8476760042419958E-2"/>
                  <c:y val="-2.836868232696539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FB3-4BE8-B991-55F6C6D27241}"/>
                </c:ext>
              </c:extLst>
            </c:dLbl>
            <c:dLbl>
              <c:idx val="1"/>
              <c:layout>
                <c:manualLayout>
                  <c:x val="-4.8895157498824636E-2"/>
                  <c:y val="8.037825059101651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FB3-4BE8-B991-55F6C6D27241}"/>
                </c:ext>
              </c:extLst>
            </c:dLbl>
            <c:dLbl>
              <c:idx val="2"/>
              <c:layout>
                <c:manualLayout>
                  <c:x val="-7.5133979641210089E-2"/>
                  <c:y val="7.295008736721272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FB3-4BE8-B991-55F6C6D27241}"/>
                </c:ext>
              </c:extLst>
            </c:dLbl>
            <c:dLbl>
              <c:idx val="3"/>
              <c:layout>
                <c:manualLayout>
                  <c:x val="-7.1666657261593533E-2"/>
                  <c:y val="4.82822655524605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FB3-4BE8-B991-55F6C6D27241}"/>
                </c:ext>
              </c:extLst>
            </c:dLbl>
            <c:dLbl>
              <c:idx val="4"/>
              <c:layout>
                <c:manualLayout>
                  <c:x val="-8.7250518049950924E-3"/>
                  <c:y val="-2.546148949713565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FB3-4BE8-B991-55F6C6D27241}"/>
                </c:ext>
              </c:extLst>
            </c:dLbl>
            <c:spPr>
              <a:noFill/>
              <a:ln>
                <a:noFill/>
              </a:ln>
              <a:effectLst/>
            </c:spPr>
            <c:txPr>
              <a:bodyPr rot="0" spcFirstLastPara="1" vertOverflow="ellipsis" vert="horz" wrap="square" anchor="ctr" anchorCtr="1"/>
              <a:lstStyle/>
              <a:p>
                <a:pPr>
                  <a:defRPr sz="1000" b="1" i="0" u="none" strike="noStrike" kern="1200" baseline="0">
                    <a:solidFill>
                      <a:srgbClr val="0070C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 VALSTĪ'!$B$7:$F$7</c:f>
              <c:strCache>
                <c:ptCount val="5"/>
                <c:pt idx="0">
                  <c:v>2016. gads</c:v>
                </c:pt>
                <c:pt idx="1">
                  <c:v>2017. gads</c:v>
                </c:pt>
                <c:pt idx="2">
                  <c:v>2018. gads</c:v>
                </c:pt>
                <c:pt idx="3">
                  <c:v>2019. gads</c:v>
                </c:pt>
                <c:pt idx="4">
                  <c:v>2020. gads*</c:v>
                </c:pt>
              </c:strCache>
            </c:strRef>
          </c:cat>
          <c:val>
            <c:numRef>
              <c:f>'KOPĀ VALSTĪ'!$B$8:$F$8</c:f>
              <c:numCache>
                <c:formatCode>#\ 000\ 000</c:formatCode>
                <c:ptCount val="5"/>
                <c:pt idx="0">
                  <c:v>1968957</c:v>
                </c:pt>
                <c:pt idx="1">
                  <c:v>1950116</c:v>
                </c:pt>
                <c:pt idx="2">
                  <c:v>1934379</c:v>
                </c:pt>
                <c:pt idx="3">
                  <c:v>1919968</c:v>
                </c:pt>
                <c:pt idx="4">
                  <c:v>1907675</c:v>
                </c:pt>
              </c:numCache>
            </c:numRef>
          </c:val>
          <c:smooth val="0"/>
          <c:extLst>
            <c:ext xmlns:c16="http://schemas.microsoft.com/office/drawing/2014/chart" uri="{C3380CC4-5D6E-409C-BE32-E72D297353CC}">
              <c16:uniqueId val="{00000005-AFB3-4BE8-B991-55F6C6D27241}"/>
            </c:ext>
          </c:extLst>
        </c:ser>
        <c:dLbls>
          <c:showLegendKey val="0"/>
          <c:showVal val="0"/>
          <c:showCatName val="0"/>
          <c:showSerName val="0"/>
          <c:showPercent val="0"/>
          <c:showBubbleSize val="0"/>
        </c:dLbls>
        <c:marker val="1"/>
        <c:smooth val="0"/>
        <c:axId val="1960436192"/>
        <c:axId val="1960424960"/>
      </c:lineChart>
      <c:lineChart>
        <c:grouping val="standard"/>
        <c:varyColors val="0"/>
        <c:ser>
          <c:idx val="1"/>
          <c:order val="1"/>
          <c:tx>
            <c:strRef>
              <c:f>'KOPĀ VALSTĪ'!$A$9</c:f>
              <c:strCache>
                <c:ptCount val="1"/>
                <c:pt idx="0">
                  <c:v>Rentgenoloģijas plānotais izmeklējumu skaits</c:v>
                </c:pt>
              </c:strCache>
            </c:strRef>
          </c:tx>
          <c:spPr>
            <a:ln w="28575" cap="rnd">
              <a:solidFill>
                <a:schemeClr val="accent4"/>
              </a:solidFill>
              <a:round/>
            </a:ln>
            <a:effectLst/>
          </c:spPr>
          <c:marker>
            <c:symbol val="diamond"/>
            <c:size val="14"/>
            <c:spPr>
              <a:solidFill>
                <a:srgbClr val="FFC000"/>
              </a:solidFill>
              <a:ln w="9525">
                <a:solidFill>
                  <a:srgbClr val="FFC000"/>
                </a:solidFill>
              </a:ln>
              <a:effectLst/>
            </c:spPr>
          </c:marker>
          <c:dLbls>
            <c:dLbl>
              <c:idx val="0"/>
              <c:layout>
                <c:manualLayout>
                  <c:x val="-0.11659614480488951"/>
                  <c:y val="9.929078014184397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FB3-4BE8-B991-55F6C6D27241}"/>
                </c:ext>
              </c:extLst>
            </c:dLbl>
            <c:dLbl>
              <c:idx val="1"/>
              <c:layout>
                <c:manualLayout>
                  <c:x val="0"/>
                  <c:y val="5.673758865248226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AFB3-4BE8-B991-55F6C6D27241}"/>
                </c:ext>
              </c:extLst>
            </c:dLbl>
            <c:dLbl>
              <c:idx val="2"/>
              <c:layout>
                <c:manualLayout>
                  <c:x val="-1.3790782546346057E-16"/>
                  <c:y val="3.30969267139479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AFB3-4BE8-B991-55F6C6D27241}"/>
                </c:ext>
              </c:extLst>
            </c:dLbl>
            <c:dLbl>
              <c:idx val="3"/>
              <c:layout>
                <c:manualLayout>
                  <c:x val="-1.8805829807240243E-3"/>
                  <c:y val="8.983451536643026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AFB3-4BE8-B991-55F6C6D27241}"/>
                </c:ext>
              </c:extLst>
            </c:dLbl>
            <c:spPr>
              <a:noFill/>
              <a:ln>
                <a:noFill/>
              </a:ln>
              <a:effectLst/>
            </c:spPr>
            <c:txPr>
              <a:bodyPr rot="0" spcFirstLastPara="1" vertOverflow="ellipsis" vert="horz" wrap="square" anchor="ctr" anchorCtr="1"/>
              <a:lstStyle/>
              <a:p>
                <a:pPr>
                  <a:defRPr sz="10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 VALSTĪ'!$B$7:$F$7</c:f>
              <c:strCache>
                <c:ptCount val="5"/>
                <c:pt idx="0">
                  <c:v>2016. gads</c:v>
                </c:pt>
                <c:pt idx="1">
                  <c:v>2017. gads</c:v>
                </c:pt>
                <c:pt idx="2">
                  <c:v>2018. gads</c:v>
                </c:pt>
                <c:pt idx="3">
                  <c:v>2019. gads</c:v>
                </c:pt>
                <c:pt idx="4">
                  <c:v>2020. gads*</c:v>
                </c:pt>
              </c:strCache>
            </c:strRef>
          </c:cat>
          <c:val>
            <c:numRef>
              <c:f>'KOPĀ VALSTĪ'!$B$9:$F$9</c:f>
              <c:numCache>
                <c:formatCode>#\ 000\ 000</c:formatCode>
                <c:ptCount val="5"/>
                <c:pt idx="0">
                  <c:v>684450</c:v>
                </c:pt>
                <c:pt idx="1">
                  <c:v>723395</c:v>
                </c:pt>
                <c:pt idx="2">
                  <c:v>779812</c:v>
                </c:pt>
                <c:pt idx="3">
                  <c:v>769008</c:v>
                </c:pt>
              </c:numCache>
            </c:numRef>
          </c:val>
          <c:smooth val="1"/>
          <c:extLst>
            <c:ext xmlns:c16="http://schemas.microsoft.com/office/drawing/2014/chart" uri="{C3380CC4-5D6E-409C-BE32-E72D297353CC}">
              <c16:uniqueId val="{0000000A-AFB3-4BE8-B991-55F6C6D27241}"/>
            </c:ext>
          </c:extLst>
        </c:ser>
        <c:ser>
          <c:idx val="2"/>
          <c:order val="2"/>
          <c:tx>
            <c:strRef>
              <c:f>'KOPĀ VALSTĪ'!$A$10</c:f>
              <c:strCache>
                <c:ptCount val="1"/>
                <c:pt idx="0">
                  <c:v>Rentgenoloģijas precizētais izmeklējumu skaits</c:v>
                </c:pt>
              </c:strCache>
            </c:strRef>
          </c:tx>
          <c:spPr>
            <a:ln w="28575" cap="rnd">
              <a:solidFill>
                <a:srgbClr val="FF3300"/>
              </a:solidFill>
              <a:round/>
            </a:ln>
            <a:effectLst/>
          </c:spPr>
          <c:marker>
            <c:symbol val="diamond"/>
            <c:size val="14"/>
            <c:spPr>
              <a:solidFill>
                <a:srgbClr val="FF3300"/>
              </a:solidFill>
              <a:ln w="9525">
                <a:solidFill>
                  <a:srgbClr val="FF3300"/>
                </a:solidFill>
              </a:ln>
              <a:effectLst/>
            </c:spPr>
          </c:marker>
          <c:dLbls>
            <c:dLbl>
              <c:idx val="0"/>
              <c:layout>
                <c:manualLayout>
                  <c:x val="-0.13284355106173404"/>
                  <c:y val="-1.369975156670024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AFB3-4BE8-B991-55F6C6D27241}"/>
                </c:ext>
              </c:extLst>
            </c:dLbl>
            <c:dLbl>
              <c:idx val="1"/>
              <c:layout>
                <c:manualLayout>
                  <c:x val="1.8805829807240243E-3"/>
                  <c:y val="2.364066193853427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AFB3-4BE8-B991-55F6C6D27241}"/>
                </c:ext>
              </c:extLst>
            </c:dLbl>
            <c:dLbl>
              <c:idx val="2"/>
              <c:layout>
                <c:manualLayout>
                  <c:x val="-1.3790782546346057E-16"/>
                  <c:y val="-3.782505910165485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AFB3-4BE8-B991-55F6C6D27241}"/>
                </c:ext>
              </c:extLst>
            </c:dLbl>
            <c:dLbl>
              <c:idx val="3"/>
              <c:layout>
                <c:manualLayout>
                  <c:x val="-3.7611659614480487E-3"/>
                  <c:y val="-5.67375886524822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AFB3-4BE8-B991-55F6C6D27241}"/>
                </c:ext>
              </c:extLst>
            </c:dLbl>
            <c:dLbl>
              <c:idx val="4"/>
              <c:layout>
                <c:manualLayout>
                  <c:x val="-8.7250518049950924E-3"/>
                  <c:y val="-2.546148949713559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AFB3-4BE8-B991-55F6C6D27241}"/>
                </c:ext>
              </c:extLst>
            </c:dLbl>
            <c:spPr>
              <a:noFill/>
              <a:ln>
                <a:noFill/>
              </a:ln>
              <a:effectLst/>
            </c:spPr>
            <c:txPr>
              <a:bodyPr rot="0" spcFirstLastPara="1" vertOverflow="ellipsis" vert="horz" wrap="square" anchor="ctr" anchorCtr="1"/>
              <a:lstStyle/>
              <a:p>
                <a:pPr>
                  <a:defRPr sz="1000" b="1" i="0" u="none" strike="noStrike" kern="1200" baseline="0">
                    <a:solidFill>
                      <a:srgbClr val="F82626"/>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 VALSTĪ'!$B$7:$F$7</c:f>
              <c:strCache>
                <c:ptCount val="5"/>
                <c:pt idx="0">
                  <c:v>2016. gads</c:v>
                </c:pt>
                <c:pt idx="1">
                  <c:v>2017. gads</c:v>
                </c:pt>
                <c:pt idx="2">
                  <c:v>2018. gads</c:v>
                </c:pt>
                <c:pt idx="3">
                  <c:v>2019. gads</c:v>
                </c:pt>
                <c:pt idx="4">
                  <c:v>2020. gads*</c:v>
                </c:pt>
              </c:strCache>
            </c:strRef>
          </c:cat>
          <c:val>
            <c:numRef>
              <c:f>'KOPĀ VALSTĪ'!$B$10:$F$10</c:f>
              <c:numCache>
                <c:formatCode>#\ 000\ 000</c:formatCode>
                <c:ptCount val="5"/>
                <c:pt idx="0">
                  <c:v>728540.39324622077</c:v>
                </c:pt>
                <c:pt idx="1">
                  <c:v>747943</c:v>
                </c:pt>
                <c:pt idx="2">
                  <c:v>837311</c:v>
                </c:pt>
                <c:pt idx="3">
                  <c:v>795775</c:v>
                </c:pt>
                <c:pt idx="4" formatCode="#,##0">
                  <c:v>786687</c:v>
                </c:pt>
              </c:numCache>
            </c:numRef>
          </c:val>
          <c:smooth val="1"/>
          <c:extLst>
            <c:ext xmlns:c16="http://schemas.microsoft.com/office/drawing/2014/chart" uri="{C3380CC4-5D6E-409C-BE32-E72D297353CC}">
              <c16:uniqueId val="{00000010-AFB3-4BE8-B991-55F6C6D27241}"/>
            </c:ext>
          </c:extLst>
        </c:ser>
        <c:ser>
          <c:idx val="3"/>
          <c:order val="3"/>
          <c:tx>
            <c:strRef>
              <c:f>'KOPĀ VALSTĪ'!$A$11</c:f>
              <c:strCache>
                <c:ptCount val="1"/>
                <c:pt idx="0">
                  <c:v>Faktiskais izmeklējumu skaits</c:v>
                </c:pt>
              </c:strCache>
            </c:strRef>
          </c:tx>
          <c:spPr>
            <a:ln w="28575" cap="rnd">
              <a:solidFill>
                <a:schemeClr val="accent6"/>
              </a:solidFill>
              <a:round/>
            </a:ln>
            <a:effectLst/>
          </c:spPr>
          <c:marker>
            <c:symbol val="triangle"/>
            <c:size val="14"/>
            <c:spPr>
              <a:solidFill>
                <a:schemeClr val="accent6"/>
              </a:solidFill>
              <a:ln w="9525">
                <a:solidFill>
                  <a:schemeClr val="accent6"/>
                </a:solidFill>
              </a:ln>
              <a:effectLst/>
            </c:spPr>
          </c:marker>
          <c:dLbls>
            <c:dLbl>
              <c:idx val="0"/>
              <c:layout>
                <c:manualLayout>
                  <c:x val="-0.12411847672778563"/>
                  <c:y val="6.146572104018912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AFB3-4BE8-B991-55F6C6D27241}"/>
                </c:ext>
              </c:extLst>
            </c:dLbl>
            <c:dLbl>
              <c:idx val="1"/>
              <c:layout>
                <c:manualLayout>
                  <c:x val="-4.2835281155348001E-2"/>
                  <c:y val="-6.8315648958902422E-2"/>
                </c:manualLayout>
              </c:layout>
              <c:showLegendKey val="0"/>
              <c:showVal val="1"/>
              <c:showCatName val="0"/>
              <c:showSerName val="0"/>
              <c:showPercent val="0"/>
              <c:showBubbleSize val="0"/>
              <c:extLst>
                <c:ext xmlns:c15="http://schemas.microsoft.com/office/drawing/2012/chart" uri="{CE6537A1-D6FC-4f65-9D91-7224C49458BB}">
                  <c15:layout>
                    <c:manualLayout>
                      <c:w val="0.13154269392844598"/>
                      <c:h val="0.13303828746422611"/>
                    </c:manualLayout>
                  </c15:layout>
                </c:ext>
                <c:ext xmlns:c16="http://schemas.microsoft.com/office/drawing/2014/chart" uri="{C3380CC4-5D6E-409C-BE32-E72D297353CC}">
                  <c16:uniqueId val="{00000012-AFB3-4BE8-B991-55F6C6D27241}"/>
                </c:ext>
              </c:extLst>
            </c:dLbl>
            <c:dLbl>
              <c:idx val="2"/>
              <c:layout>
                <c:manualLayout>
                  <c:x val="1.8805829807240243E-3"/>
                  <c:y val="8.037825059101651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AFB3-4BE8-B991-55F6C6D27241}"/>
                </c:ext>
              </c:extLst>
            </c:dLbl>
            <c:dLbl>
              <c:idx val="3"/>
              <c:layout>
                <c:manualLayout>
                  <c:x val="3.3333328958880712E-3"/>
                  <c:y val="2.228412256267407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AFB3-4BE8-B991-55F6C6D27241}"/>
                </c:ext>
              </c:extLst>
            </c:dLbl>
            <c:spPr>
              <a:noFill/>
              <a:ln>
                <a:noFill/>
              </a:ln>
              <a:effectLst/>
            </c:spPr>
            <c:txPr>
              <a:bodyPr rot="0" spcFirstLastPara="1" vertOverflow="ellipsis" vert="horz" wrap="square" anchor="ctr" anchorCtr="1"/>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 VALSTĪ'!$B$7:$F$7</c:f>
              <c:strCache>
                <c:ptCount val="5"/>
                <c:pt idx="0">
                  <c:v>2016. gads</c:v>
                </c:pt>
                <c:pt idx="1">
                  <c:v>2017. gads</c:v>
                </c:pt>
                <c:pt idx="2">
                  <c:v>2018. gads</c:v>
                </c:pt>
                <c:pt idx="3">
                  <c:v>2019. gads</c:v>
                </c:pt>
                <c:pt idx="4">
                  <c:v>2020. gads*</c:v>
                </c:pt>
              </c:strCache>
            </c:strRef>
          </c:cat>
          <c:val>
            <c:numRef>
              <c:f>'KOPĀ VALSTĪ'!$B$11:$F$11</c:f>
              <c:numCache>
                <c:formatCode>#\ 000\ 000</c:formatCode>
                <c:ptCount val="5"/>
                <c:pt idx="0">
                  <c:v>724969</c:v>
                </c:pt>
                <c:pt idx="1">
                  <c:v>750727</c:v>
                </c:pt>
                <c:pt idx="2">
                  <c:v>773923</c:v>
                </c:pt>
                <c:pt idx="3">
                  <c:v>782585</c:v>
                </c:pt>
              </c:numCache>
            </c:numRef>
          </c:val>
          <c:smooth val="1"/>
          <c:extLst>
            <c:ext xmlns:c16="http://schemas.microsoft.com/office/drawing/2014/chart" uri="{C3380CC4-5D6E-409C-BE32-E72D297353CC}">
              <c16:uniqueId val="{00000015-AFB3-4BE8-B991-55F6C6D27241}"/>
            </c:ext>
          </c:extLst>
        </c:ser>
        <c:dLbls>
          <c:showLegendKey val="0"/>
          <c:showVal val="0"/>
          <c:showCatName val="0"/>
          <c:showSerName val="0"/>
          <c:showPercent val="0"/>
          <c:showBubbleSize val="0"/>
        </c:dLbls>
        <c:marker val="1"/>
        <c:smooth val="0"/>
        <c:axId val="1960426208"/>
        <c:axId val="1960449504"/>
      </c:lineChart>
      <c:catAx>
        <c:axId val="196043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60424960"/>
        <c:crosses val="autoZero"/>
        <c:auto val="1"/>
        <c:lblAlgn val="ctr"/>
        <c:lblOffset val="100"/>
        <c:noMultiLvlLbl val="0"/>
      </c:catAx>
      <c:valAx>
        <c:axId val="1960424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60436192"/>
        <c:crosses val="autoZero"/>
        <c:crossBetween val="between"/>
      </c:valAx>
      <c:valAx>
        <c:axId val="1960449504"/>
        <c:scaling>
          <c:orientation val="minMax"/>
          <c:min val="0"/>
        </c:scaling>
        <c:delete val="0"/>
        <c:axPos val="r"/>
        <c:numFmt formatCode="#\ 000\ 0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60426208"/>
        <c:crosses val="max"/>
        <c:crossBetween val="between"/>
      </c:valAx>
      <c:catAx>
        <c:axId val="1960426208"/>
        <c:scaling>
          <c:orientation val="minMax"/>
        </c:scaling>
        <c:delete val="1"/>
        <c:axPos val="b"/>
        <c:numFmt formatCode="General" sourceLinked="1"/>
        <c:majorTickMark val="out"/>
        <c:minorTickMark val="none"/>
        <c:tickLblPos val="nextTo"/>
        <c:crossAx val="1960449504"/>
        <c:crosses val="autoZero"/>
        <c:auto val="1"/>
        <c:lblAlgn val="ctr"/>
        <c:lblOffset val="100"/>
        <c:noMultiLvlLbl val="0"/>
      </c:catAx>
      <c:spPr>
        <a:noFill/>
        <a:ln>
          <a:noFill/>
        </a:ln>
        <a:effectLst/>
      </c:spPr>
    </c:plotArea>
    <c:legend>
      <c:legendPos val="b"/>
      <c:layout>
        <c:manualLayout>
          <c:xMode val="edge"/>
          <c:yMode val="edge"/>
          <c:x val="5.3112550591989612E-2"/>
          <c:y val="0.7304729541488878"/>
          <c:w val="0.93724701901684015"/>
          <c:h val="0.1893510168770803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4639171732198"/>
          <c:y val="7.9129574678536096E-2"/>
          <c:w val="0.8646490035651081"/>
          <c:h val="0.56826467231953226"/>
        </c:manualLayout>
      </c:layout>
      <c:lineChart>
        <c:grouping val="standard"/>
        <c:varyColors val="0"/>
        <c:ser>
          <c:idx val="0"/>
          <c:order val="0"/>
          <c:tx>
            <c:strRef>
              <c:f>'KOPĀ VALSTĪ'!$A$27</c:f>
              <c:strCache>
                <c:ptCount val="1"/>
                <c:pt idx="0">
                  <c:v>Plānotā līguma summa rentgenoloģijai</c:v>
                </c:pt>
              </c:strCache>
            </c:strRef>
          </c:tx>
          <c:spPr>
            <a:ln w="28575" cap="rnd">
              <a:solidFill>
                <a:schemeClr val="accent4"/>
              </a:solidFill>
              <a:round/>
            </a:ln>
            <a:effectLst/>
          </c:spPr>
          <c:marker>
            <c:symbol val="diamond"/>
            <c:size val="14"/>
            <c:spPr>
              <a:solidFill>
                <a:schemeClr val="accent4"/>
              </a:solidFill>
              <a:ln w="9525">
                <a:solidFill>
                  <a:schemeClr val="accent4"/>
                </a:solidFill>
              </a:ln>
              <a:effectLst/>
            </c:spPr>
          </c:marker>
          <c:dLbls>
            <c:dLbl>
              <c:idx val="0"/>
              <c:layout>
                <c:manualLayout>
                  <c:x val="-0.1368607608519756"/>
                  <c:y val="3.961320513750359E-2"/>
                </c:manualLayout>
              </c:layout>
              <c:showLegendKey val="0"/>
              <c:showVal val="1"/>
              <c:showCatName val="0"/>
              <c:showSerName val="0"/>
              <c:showPercent val="0"/>
              <c:showBubbleSize val="0"/>
              <c:extLst>
                <c:ext xmlns:c15="http://schemas.microsoft.com/office/drawing/2012/chart" uri="{CE6537A1-D6FC-4f65-9D91-7224C49458BB}">
                  <c15:layout>
                    <c:manualLayout>
                      <c:w val="0.14361862037275017"/>
                      <c:h val="6.2015520987389591E-2"/>
                    </c:manualLayout>
                  </c15:layout>
                </c:ext>
                <c:ext xmlns:c16="http://schemas.microsoft.com/office/drawing/2014/chart" uri="{C3380CC4-5D6E-409C-BE32-E72D297353CC}">
                  <c16:uniqueId val="{00000000-AFDD-4CCC-B5E8-473EC8FF1A9A}"/>
                </c:ext>
              </c:extLst>
            </c:dLbl>
            <c:dLbl>
              <c:idx val="1"/>
              <c:layout>
                <c:manualLayout>
                  <c:x val="-0.14766558089033663"/>
                  <c:y val="5.934718100890203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FDD-4CCC-B5E8-473EC8FF1A9A}"/>
                </c:ext>
              </c:extLst>
            </c:dLbl>
            <c:dLbl>
              <c:idx val="2"/>
              <c:layout>
                <c:manualLayout>
                  <c:x val="-2.8230184581976191E-2"/>
                  <c:y val="6.33036597428288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FDD-4CCC-B5E8-473EC8FF1A9A}"/>
                </c:ext>
              </c:extLst>
            </c:dLbl>
            <c:dLbl>
              <c:idx val="3"/>
              <c:layout>
                <c:manualLayout>
                  <c:x val="-1.3029315960912053E-2"/>
                  <c:y val="7.121661721068249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FDD-4CCC-B5E8-473EC8FF1A9A}"/>
                </c:ext>
              </c:extLst>
            </c:dLbl>
            <c:spPr>
              <a:noFill/>
              <a:ln>
                <a:noFill/>
              </a:ln>
              <a:effectLst/>
            </c:spPr>
            <c:txPr>
              <a:bodyPr rot="0" spcFirstLastPara="1" vertOverflow="ellipsis" vert="horz" wrap="square" anchor="ctr" anchorCtr="1"/>
              <a:lstStyle/>
              <a:p>
                <a:pPr>
                  <a:defRPr sz="10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 VALSTĪ'!$B$26:$F$26</c:f>
              <c:strCache>
                <c:ptCount val="5"/>
                <c:pt idx="0">
                  <c:v>2016. gads</c:v>
                </c:pt>
                <c:pt idx="1">
                  <c:v>2017. gads</c:v>
                </c:pt>
                <c:pt idx="2">
                  <c:v>2018. gads</c:v>
                </c:pt>
                <c:pt idx="3">
                  <c:v>2019. gads</c:v>
                </c:pt>
                <c:pt idx="4">
                  <c:v>2020. gads</c:v>
                </c:pt>
              </c:strCache>
            </c:strRef>
          </c:cat>
          <c:val>
            <c:numRef>
              <c:f>'KOPĀ VALSTĪ'!$B$27:$F$27</c:f>
              <c:numCache>
                <c:formatCode>#\ ###\ ###</c:formatCode>
                <c:ptCount val="5"/>
                <c:pt idx="0">
                  <c:v>6165269</c:v>
                </c:pt>
                <c:pt idx="1">
                  <c:v>6516249</c:v>
                </c:pt>
                <c:pt idx="2">
                  <c:v>8337655</c:v>
                </c:pt>
                <c:pt idx="3">
                  <c:v>9474646</c:v>
                </c:pt>
              </c:numCache>
            </c:numRef>
          </c:val>
          <c:smooth val="1"/>
          <c:extLst>
            <c:ext xmlns:c16="http://schemas.microsoft.com/office/drawing/2014/chart" uri="{C3380CC4-5D6E-409C-BE32-E72D297353CC}">
              <c16:uniqueId val="{00000004-AFDD-4CCC-B5E8-473EC8FF1A9A}"/>
            </c:ext>
          </c:extLst>
        </c:ser>
        <c:ser>
          <c:idx val="1"/>
          <c:order val="1"/>
          <c:tx>
            <c:strRef>
              <c:f>'KOPĀ VALSTĪ'!$A$28</c:f>
              <c:strCache>
                <c:ptCount val="1"/>
                <c:pt idx="0">
                  <c:v>Precizētā līguma summa rentgenoloģijai</c:v>
                </c:pt>
              </c:strCache>
            </c:strRef>
          </c:tx>
          <c:spPr>
            <a:ln w="28575" cap="rnd">
              <a:solidFill>
                <a:srgbClr val="F82626"/>
              </a:solidFill>
              <a:round/>
            </a:ln>
            <a:effectLst/>
          </c:spPr>
          <c:marker>
            <c:symbol val="diamond"/>
            <c:size val="14"/>
            <c:spPr>
              <a:solidFill>
                <a:srgbClr val="F82626"/>
              </a:solidFill>
              <a:ln w="9525">
                <a:solidFill>
                  <a:srgbClr val="F82626"/>
                </a:solidFill>
              </a:ln>
              <a:effectLst/>
            </c:spPr>
          </c:marker>
          <c:dLbls>
            <c:dLbl>
              <c:idx val="0"/>
              <c:layout>
                <c:manualLayout>
                  <c:x val="-0.14332247557003258"/>
                  <c:y val="1.186943620178041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FDD-4CCC-B5E8-473EC8FF1A9A}"/>
                </c:ext>
              </c:extLst>
            </c:dLbl>
            <c:dLbl>
              <c:idx val="1"/>
              <c:layout>
                <c:manualLayout>
                  <c:x val="-0.14332247557003261"/>
                  <c:y val="-3.16518298714144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FDD-4CCC-B5E8-473EC8FF1A9A}"/>
                </c:ext>
              </c:extLst>
            </c:dLbl>
            <c:dLbl>
              <c:idx val="2"/>
              <c:layout>
                <c:manualLayout>
                  <c:x val="-1.5200943601139867E-2"/>
                  <c:y val="-7.555964795549935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AFDD-4CCC-B5E8-473EC8FF1A9A}"/>
                </c:ext>
              </c:extLst>
            </c:dLbl>
            <c:dLbl>
              <c:idx val="3"/>
              <c:layout>
                <c:manualLayout>
                  <c:x val="0"/>
                  <c:y val="-5.934718100890206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AFDD-4CCC-B5E8-473EC8FF1A9A}"/>
                </c:ext>
              </c:extLst>
            </c:dLbl>
            <c:dLbl>
              <c:idx val="4"/>
              <c:layout>
                <c:manualLayout>
                  <c:x val="-4.3960874821408948E-3"/>
                  <c:y val="-4.4052863436123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AFDD-4CCC-B5E8-473EC8FF1A9A}"/>
                </c:ext>
              </c:extLst>
            </c:dLbl>
            <c:spPr>
              <a:noFill/>
              <a:ln>
                <a:noFill/>
              </a:ln>
              <a:effectLst/>
            </c:spPr>
            <c:txPr>
              <a:bodyPr rot="0" spcFirstLastPara="1" vertOverflow="ellipsis" vert="horz" wrap="square" anchor="ctr" anchorCtr="1"/>
              <a:lstStyle/>
              <a:p>
                <a:pPr>
                  <a:defRPr sz="10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 VALSTĪ'!$B$26:$F$26</c:f>
              <c:strCache>
                <c:ptCount val="5"/>
                <c:pt idx="0">
                  <c:v>2016. gads</c:v>
                </c:pt>
                <c:pt idx="1">
                  <c:v>2017. gads</c:v>
                </c:pt>
                <c:pt idx="2">
                  <c:v>2018. gads</c:v>
                </c:pt>
                <c:pt idx="3">
                  <c:v>2019. gads</c:v>
                </c:pt>
                <c:pt idx="4">
                  <c:v>2020. gads</c:v>
                </c:pt>
              </c:strCache>
            </c:strRef>
          </c:cat>
          <c:val>
            <c:numRef>
              <c:f>'KOPĀ VALSTĪ'!$B$28:$F$28</c:f>
              <c:numCache>
                <c:formatCode>#\ ###\ ###</c:formatCode>
                <c:ptCount val="5"/>
                <c:pt idx="0">
                  <c:v>6631004</c:v>
                </c:pt>
                <c:pt idx="1">
                  <c:v>7676161</c:v>
                </c:pt>
                <c:pt idx="2">
                  <c:v>8912715</c:v>
                </c:pt>
                <c:pt idx="3">
                  <c:v>9781985</c:v>
                </c:pt>
                <c:pt idx="4" formatCode="#,##0">
                  <c:v>9985448</c:v>
                </c:pt>
              </c:numCache>
            </c:numRef>
          </c:val>
          <c:smooth val="1"/>
          <c:extLst>
            <c:ext xmlns:c16="http://schemas.microsoft.com/office/drawing/2014/chart" uri="{C3380CC4-5D6E-409C-BE32-E72D297353CC}">
              <c16:uniqueId val="{0000000A-AFDD-4CCC-B5E8-473EC8FF1A9A}"/>
            </c:ext>
          </c:extLst>
        </c:ser>
        <c:ser>
          <c:idx val="2"/>
          <c:order val="2"/>
          <c:tx>
            <c:strRef>
              <c:f>'KOPĀ VALSTĪ'!$A$29</c:f>
              <c:strCache>
                <c:ptCount val="1"/>
                <c:pt idx="0">
                  <c:v>Faktiskā līguma izpildes summa rentgenoloģijai</c:v>
                </c:pt>
              </c:strCache>
            </c:strRef>
          </c:tx>
          <c:spPr>
            <a:ln w="28575" cap="rnd">
              <a:solidFill>
                <a:schemeClr val="accent6"/>
              </a:solidFill>
              <a:round/>
            </a:ln>
            <a:effectLst/>
          </c:spPr>
          <c:marker>
            <c:symbol val="triangle"/>
            <c:size val="14"/>
            <c:spPr>
              <a:solidFill>
                <a:schemeClr val="accent6"/>
              </a:solidFill>
              <a:ln w="9525">
                <a:solidFill>
                  <a:schemeClr val="accent6"/>
                </a:solidFill>
              </a:ln>
              <a:effectLst/>
            </c:spPr>
          </c:marker>
          <c:dLbls>
            <c:dLbl>
              <c:idx val="0"/>
              <c:layout>
                <c:manualLayout>
                  <c:x val="-0.13230579115296051"/>
                  <c:y val="-8.347276574408975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AFDD-4CCC-B5E8-473EC8FF1A9A}"/>
                </c:ext>
              </c:extLst>
            </c:dLbl>
            <c:dLbl>
              <c:idx val="1"/>
              <c:layout>
                <c:manualLayout>
                  <c:x val="-0.1081273100011856"/>
                  <c:y val="5.133751052444027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AFDD-4CCC-B5E8-473EC8FF1A9A}"/>
                </c:ext>
              </c:extLst>
            </c:dLbl>
            <c:dLbl>
              <c:idx val="2"/>
              <c:layout>
                <c:manualLayout>
                  <c:x val="-4.3166463737038625E-3"/>
                  <c:y val="1.568086428123196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AFDD-4CCC-B5E8-473EC8FF1A9A}"/>
                </c:ext>
              </c:extLst>
            </c:dLbl>
            <c:dLbl>
              <c:idx val="3"/>
              <c:layout>
                <c:manualLayout>
                  <c:x val="-2.1715526601520088E-3"/>
                  <c:y val="7.91295746785361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AFDD-4CCC-B5E8-473EC8FF1A9A}"/>
                </c:ext>
              </c:extLst>
            </c:dLbl>
            <c:spPr>
              <a:noFill/>
              <a:ln>
                <a:noFill/>
              </a:ln>
              <a:effectLst/>
            </c:spPr>
            <c:txPr>
              <a:bodyPr rot="0" spcFirstLastPara="1" vertOverflow="ellipsis" vert="horz" wrap="square" anchor="ctr" anchorCtr="1"/>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 VALSTĪ'!$B$26:$F$26</c:f>
              <c:strCache>
                <c:ptCount val="5"/>
                <c:pt idx="0">
                  <c:v>2016. gads</c:v>
                </c:pt>
                <c:pt idx="1">
                  <c:v>2017. gads</c:v>
                </c:pt>
                <c:pt idx="2">
                  <c:v>2018. gads</c:v>
                </c:pt>
                <c:pt idx="3">
                  <c:v>2019. gads</c:v>
                </c:pt>
                <c:pt idx="4">
                  <c:v>2020. gads</c:v>
                </c:pt>
              </c:strCache>
            </c:strRef>
          </c:cat>
          <c:val>
            <c:numRef>
              <c:f>'KOPĀ VALSTĪ'!$B$29:$E$29</c:f>
              <c:numCache>
                <c:formatCode>#\ ###\ ###</c:formatCode>
                <c:ptCount val="4"/>
                <c:pt idx="0">
                  <c:v>6426714.120000001</c:v>
                </c:pt>
                <c:pt idx="1">
                  <c:v>7529471.3199999994</c:v>
                </c:pt>
                <c:pt idx="2">
                  <c:v>8793558.7300000004</c:v>
                </c:pt>
                <c:pt idx="3">
                  <c:v>9723816.1899999976</c:v>
                </c:pt>
              </c:numCache>
            </c:numRef>
          </c:val>
          <c:smooth val="1"/>
          <c:extLst>
            <c:ext xmlns:c16="http://schemas.microsoft.com/office/drawing/2014/chart" uri="{C3380CC4-5D6E-409C-BE32-E72D297353CC}">
              <c16:uniqueId val="{0000000F-AFDD-4CCC-B5E8-473EC8FF1A9A}"/>
            </c:ext>
          </c:extLst>
        </c:ser>
        <c:dLbls>
          <c:showLegendKey val="0"/>
          <c:showVal val="0"/>
          <c:showCatName val="0"/>
          <c:showSerName val="0"/>
          <c:showPercent val="0"/>
          <c:showBubbleSize val="0"/>
        </c:dLbls>
        <c:marker val="1"/>
        <c:smooth val="0"/>
        <c:axId val="729582048"/>
        <c:axId val="729584672"/>
      </c:lineChart>
      <c:catAx>
        <c:axId val="72958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29584672"/>
        <c:crosses val="autoZero"/>
        <c:auto val="1"/>
        <c:lblAlgn val="ctr"/>
        <c:lblOffset val="100"/>
        <c:noMultiLvlLbl val="0"/>
      </c:catAx>
      <c:valAx>
        <c:axId val="729584672"/>
        <c:scaling>
          <c:orientation val="minMax"/>
          <c:min val="4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29582048"/>
        <c:crosses val="autoZero"/>
        <c:crossBetween val="between"/>
      </c:valAx>
      <c:spPr>
        <a:noFill/>
        <a:ln>
          <a:noFill/>
        </a:ln>
        <a:effectLst/>
      </c:spPr>
    </c:plotArea>
    <c:legend>
      <c:legendPos val="b"/>
      <c:layout>
        <c:manualLayout>
          <c:xMode val="edge"/>
          <c:yMode val="edge"/>
          <c:x val="7.7381312677934799E-2"/>
          <c:y val="0.7480549952734542"/>
          <c:w val="0.84958047996443442"/>
          <c:h val="0.1688589175053095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914260717410323E-2"/>
          <c:y val="6.4814814814814811E-2"/>
          <c:w val="0.87753018372703417"/>
          <c:h val="0.8416746864975212"/>
        </c:manualLayout>
      </c:layout>
      <c:barChart>
        <c:barDir val="col"/>
        <c:grouping val="clustered"/>
        <c:varyColors val="0"/>
        <c:ser>
          <c:idx val="0"/>
          <c:order val="0"/>
          <c:spPr>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2700000" scaled="1"/>
              <a:tileRect/>
            </a:gradFill>
            <a:ln>
              <a:noFill/>
            </a:ln>
            <a:effectLst/>
          </c:spPr>
          <c:invertIfNegative val="0"/>
          <c:dLbls>
            <c:numFmt formatCode="#\ ###"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Sheet1!$A$7:$E$7</c:f>
              <c:strCache>
                <c:ptCount val="5"/>
                <c:pt idx="0">
                  <c:v>2016. gada 1. aprīlis</c:v>
                </c:pt>
                <c:pt idx="1">
                  <c:v>2017.gada 1. janvāris</c:v>
                </c:pt>
                <c:pt idx="2">
                  <c:v>2018. gada 1. janvāris</c:v>
                </c:pt>
                <c:pt idx="3">
                  <c:v>2019. gada 1. janvāris</c:v>
                </c:pt>
                <c:pt idx="4">
                  <c:v>2020. gada 1. janvāris</c:v>
                </c:pt>
              </c:strCache>
            </c:strRef>
          </c:cat>
          <c:val>
            <c:numRef>
              <c:f>Sheet1!$A$8:$E$8</c:f>
              <c:numCache>
                <c:formatCode>General</c:formatCode>
                <c:ptCount val="5"/>
                <c:pt idx="0">
                  <c:v>2024</c:v>
                </c:pt>
                <c:pt idx="1">
                  <c:v>1383</c:v>
                </c:pt>
                <c:pt idx="2">
                  <c:v>1964</c:v>
                </c:pt>
                <c:pt idx="3">
                  <c:v>1570</c:v>
                </c:pt>
                <c:pt idx="4" formatCode="0">
                  <c:v>1939</c:v>
                </c:pt>
              </c:numCache>
            </c:numRef>
          </c:val>
          <c:extLst>
            <c:ext xmlns:c16="http://schemas.microsoft.com/office/drawing/2014/chart" uri="{C3380CC4-5D6E-409C-BE32-E72D297353CC}">
              <c16:uniqueId val="{00000000-A1C2-4681-8C70-6E7AB3B6E16C}"/>
            </c:ext>
          </c:extLst>
        </c:ser>
        <c:dLbls>
          <c:showLegendKey val="0"/>
          <c:showVal val="0"/>
          <c:showCatName val="0"/>
          <c:showSerName val="0"/>
          <c:showPercent val="0"/>
          <c:showBubbleSize val="0"/>
        </c:dLbls>
        <c:gapWidth val="50"/>
        <c:overlap val="-27"/>
        <c:axId val="736370048"/>
        <c:axId val="736374624"/>
      </c:barChart>
      <c:catAx>
        <c:axId val="73637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36374624"/>
        <c:crosses val="autoZero"/>
        <c:auto val="1"/>
        <c:lblAlgn val="ctr"/>
        <c:lblOffset val="100"/>
        <c:noMultiLvlLbl val="0"/>
      </c:catAx>
      <c:valAx>
        <c:axId val="736374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36370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28409722400335E-2"/>
          <c:y val="4.5492142266335814E-2"/>
          <c:w val="0.85545786418391512"/>
          <c:h val="0.62403756602384997"/>
        </c:manualLayout>
      </c:layout>
      <c:barChart>
        <c:barDir val="col"/>
        <c:grouping val="clustered"/>
        <c:varyColors val="0"/>
        <c:ser>
          <c:idx val="3"/>
          <c:order val="2"/>
          <c:tx>
            <c:strRef>
              <c:f>Sheet2!$A$8</c:f>
              <c:strCache>
                <c:ptCount val="1"/>
                <c:pt idx="0">
                  <c:v>Plānotā līguma summa oftalmoloģijai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Sheet2!$B$5:$F$5</c:f>
              <c:strCache>
                <c:ptCount val="5"/>
                <c:pt idx="0">
                  <c:v>2016. gads</c:v>
                </c:pt>
                <c:pt idx="1">
                  <c:v>2017. gads</c:v>
                </c:pt>
                <c:pt idx="2">
                  <c:v>2018. gads</c:v>
                </c:pt>
                <c:pt idx="3">
                  <c:v>2019. gads</c:v>
                </c:pt>
                <c:pt idx="4">
                  <c:v>2020. gads*</c:v>
                </c:pt>
              </c:strCache>
            </c:strRef>
          </c:cat>
          <c:val>
            <c:numRef>
              <c:f>Sheet2!$B$8:$F$8</c:f>
              <c:numCache>
                <c:formatCode>0.00</c:formatCode>
                <c:ptCount val="5"/>
                <c:pt idx="0">
                  <c:v>5.7308969999999997</c:v>
                </c:pt>
                <c:pt idx="1">
                  <c:v>6.7052430000000003</c:v>
                </c:pt>
                <c:pt idx="2" formatCode="#,##0.00">
                  <c:v>8.7067782600000001</c:v>
                </c:pt>
                <c:pt idx="3" formatCode="#,##0.00">
                  <c:v>10.506803</c:v>
                </c:pt>
                <c:pt idx="4" formatCode="#,##0.00">
                  <c:v>11.498841000000001</c:v>
                </c:pt>
              </c:numCache>
            </c:numRef>
          </c:val>
          <c:extLst>
            <c:ext xmlns:c16="http://schemas.microsoft.com/office/drawing/2014/chart" uri="{C3380CC4-5D6E-409C-BE32-E72D297353CC}">
              <c16:uniqueId val="{00000000-9569-4390-93AD-1993333D1182}"/>
            </c:ext>
          </c:extLst>
        </c:ser>
        <c:ser>
          <c:idx val="4"/>
          <c:order val="3"/>
          <c:tx>
            <c:strRef>
              <c:f>Sheet2!$A$9</c:f>
              <c:strCache>
                <c:ptCount val="1"/>
                <c:pt idx="0">
                  <c:v>Faktiskā līguma izpildes summa  oftalmoloģijai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Sheet2!$B$5:$F$5</c:f>
              <c:strCache>
                <c:ptCount val="5"/>
                <c:pt idx="0">
                  <c:v>2016. gads</c:v>
                </c:pt>
                <c:pt idx="1">
                  <c:v>2017. gads</c:v>
                </c:pt>
                <c:pt idx="2">
                  <c:v>2018. gads</c:v>
                </c:pt>
                <c:pt idx="3">
                  <c:v>2019. gads</c:v>
                </c:pt>
                <c:pt idx="4">
                  <c:v>2020. gads*</c:v>
                </c:pt>
              </c:strCache>
            </c:strRef>
          </c:cat>
          <c:val>
            <c:numRef>
              <c:f>Sheet2!$B$9:$F$9</c:f>
              <c:numCache>
                <c:formatCode>0.00</c:formatCode>
                <c:ptCount val="5"/>
                <c:pt idx="0">
                  <c:v>5.7036251600000005</c:v>
                </c:pt>
                <c:pt idx="1">
                  <c:v>6.7236912899999997</c:v>
                </c:pt>
                <c:pt idx="2" formatCode="#,##0.00">
                  <c:v>8.84301855</c:v>
                </c:pt>
                <c:pt idx="3" formatCode="#,##0.00">
                  <c:v>10.878626720000002</c:v>
                </c:pt>
              </c:numCache>
            </c:numRef>
          </c:val>
          <c:extLst>
            <c:ext xmlns:c16="http://schemas.microsoft.com/office/drawing/2014/chart" uri="{C3380CC4-5D6E-409C-BE32-E72D297353CC}">
              <c16:uniqueId val="{00000001-9569-4390-93AD-1993333D1182}"/>
            </c:ext>
          </c:extLst>
        </c:ser>
        <c:dLbls>
          <c:showLegendKey val="0"/>
          <c:showVal val="0"/>
          <c:showCatName val="0"/>
          <c:showSerName val="0"/>
          <c:showPercent val="0"/>
          <c:showBubbleSize val="0"/>
        </c:dLbls>
        <c:gapWidth val="50"/>
        <c:axId val="252313616"/>
        <c:axId val="252304880"/>
      </c:barChart>
      <c:lineChart>
        <c:grouping val="standard"/>
        <c:varyColors val="0"/>
        <c:ser>
          <c:idx val="1"/>
          <c:order val="0"/>
          <c:tx>
            <c:strRef>
              <c:f>Sheet2!$A$6</c:f>
              <c:strCache>
                <c:ptCount val="1"/>
                <c:pt idx="0">
                  <c:v>Oftalmoloģijai plānotais izmeklējumu skaits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Sheet2!$B$5:$F$5</c:f>
              <c:strCache>
                <c:ptCount val="5"/>
                <c:pt idx="0">
                  <c:v>2016. gads</c:v>
                </c:pt>
                <c:pt idx="1">
                  <c:v>2017. gads</c:v>
                </c:pt>
                <c:pt idx="2">
                  <c:v>2018. gads</c:v>
                </c:pt>
                <c:pt idx="3">
                  <c:v>2019. gads</c:v>
                </c:pt>
                <c:pt idx="4">
                  <c:v>2020. gads*</c:v>
                </c:pt>
              </c:strCache>
            </c:strRef>
          </c:cat>
          <c:val>
            <c:numRef>
              <c:f>Sheet2!$B$6:$F$6</c:f>
              <c:numCache>
                <c:formatCode>#,##0</c:formatCode>
                <c:ptCount val="5"/>
                <c:pt idx="0">
                  <c:v>313110</c:v>
                </c:pt>
                <c:pt idx="1">
                  <c:v>350070</c:v>
                </c:pt>
                <c:pt idx="2">
                  <c:v>371906</c:v>
                </c:pt>
                <c:pt idx="3">
                  <c:v>353159</c:v>
                </c:pt>
                <c:pt idx="4">
                  <c:v>339544</c:v>
                </c:pt>
              </c:numCache>
            </c:numRef>
          </c:val>
          <c:smooth val="1"/>
          <c:extLst>
            <c:ext xmlns:c16="http://schemas.microsoft.com/office/drawing/2014/chart" uri="{C3380CC4-5D6E-409C-BE32-E72D297353CC}">
              <c16:uniqueId val="{00000002-9569-4390-93AD-1993333D1182}"/>
            </c:ext>
          </c:extLst>
        </c:ser>
        <c:ser>
          <c:idx val="2"/>
          <c:order val="1"/>
          <c:tx>
            <c:strRef>
              <c:f>Sheet2!$A$7</c:f>
              <c:strCache>
                <c:ptCount val="1"/>
                <c:pt idx="0">
                  <c:v>Faktiskais izmeklējumu skaits</c:v>
                </c:pt>
              </c:strCache>
            </c:strRef>
          </c:tx>
          <c:spPr>
            <a:ln w="28575" cap="rnd">
              <a:solidFill>
                <a:schemeClr val="accent3">
                  <a:lumMod val="75000"/>
                </a:schemeClr>
              </a:solidFill>
              <a:round/>
            </a:ln>
            <a:effectLst/>
          </c:spPr>
          <c:marker>
            <c:symbol val="circle"/>
            <c:size val="5"/>
            <c:spPr>
              <a:solidFill>
                <a:schemeClr val="accent3">
                  <a:lumMod val="75000"/>
                </a:schemeClr>
              </a:solidFill>
              <a:ln w="9525">
                <a:solidFill>
                  <a:schemeClr val="accent3">
                    <a:lumMod val="75000"/>
                  </a:schemeClr>
                </a:solidFill>
              </a:ln>
              <a:effectLst/>
            </c:spPr>
          </c:marker>
          <c:dLbls>
            <c:dLbl>
              <c:idx val="3"/>
              <c:layout>
                <c:manualLayout>
                  <c:x val="-4.4290584143621012E-2"/>
                  <c:y val="2.51632978867332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569-4390-93AD-1993333D118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Sheet2!$B$5:$F$5</c:f>
              <c:strCache>
                <c:ptCount val="5"/>
                <c:pt idx="0">
                  <c:v>2016. gads</c:v>
                </c:pt>
                <c:pt idx="1">
                  <c:v>2017. gads</c:v>
                </c:pt>
                <c:pt idx="2">
                  <c:v>2018. gads</c:v>
                </c:pt>
                <c:pt idx="3">
                  <c:v>2019. gads</c:v>
                </c:pt>
                <c:pt idx="4">
                  <c:v>2020. gads*</c:v>
                </c:pt>
              </c:strCache>
            </c:strRef>
          </c:cat>
          <c:val>
            <c:numRef>
              <c:f>Sheet2!$B$7:$F$7</c:f>
              <c:numCache>
                <c:formatCode>#,##0</c:formatCode>
                <c:ptCount val="5"/>
                <c:pt idx="0">
                  <c:v>299743</c:v>
                </c:pt>
                <c:pt idx="1">
                  <c:v>325590</c:v>
                </c:pt>
                <c:pt idx="2">
                  <c:v>340952</c:v>
                </c:pt>
                <c:pt idx="3">
                  <c:v>336644</c:v>
                </c:pt>
              </c:numCache>
            </c:numRef>
          </c:val>
          <c:smooth val="1"/>
          <c:extLst>
            <c:ext xmlns:c16="http://schemas.microsoft.com/office/drawing/2014/chart" uri="{C3380CC4-5D6E-409C-BE32-E72D297353CC}">
              <c16:uniqueId val="{00000004-9569-4390-93AD-1993333D1182}"/>
            </c:ext>
          </c:extLst>
        </c:ser>
        <c:ser>
          <c:idx val="0"/>
          <c:order val="4"/>
          <c:tx>
            <c:strRef>
              <c:f>Sheet2!$A$10</c:f>
              <c:strCache>
                <c:ptCount val="1"/>
                <c:pt idx="0">
                  <c:v>Pacientu skaits gaidīšanas rindā uz oftalmoloģiju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5.428881650380022E-2"/>
                  <c:y val="4.921422663358147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9569-4390-93AD-1993333D1182}"/>
                </c:ext>
              </c:extLst>
            </c:dLbl>
            <c:dLbl>
              <c:idx val="1"/>
              <c:layout>
                <c:manualLayout>
                  <c:x val="-5.4288816503800255E-2"/>
                  <c:y val="3.267162944582284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9569-4390-93AD-1993333D1182}"/>
                </c:ext>
              </c:extLst>
            </c:dLbl>
            <c:dLbl>
              <c:idx val="2"/>
              <c:layout>
                <c:manualLayout>
                  <c:x val="-5.428881650380022E-2"/>
                  <c:y val="4.507857733664185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9569-4390-93AD-1993333D1182}"/>
                </c:ext>
              </c:extLst>
            </c:dLbl>
            <c:numFmt formatCode="##\ ###" sourceLinked="0"/>
            <c:spPr>
              <a:noFill/>
              <a:ln>
                <a:noFill/>
              </a:ln>
              <a:effectLst/>
            </c:spPr>
            <c:txPr>
              <a:bodyPr rot="0" spcFirstLastPara="1" vertOverflow="ellipsis" vert="horz" wrap="square" anchor="ctr" anchorCtr="1"/>
              <a:lstStyle/>
              <a:p>
                <a:pPr>
                  <a:defRPr sz="100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Sheet2!$B$5:$F$5</c:f>
              <c:strCache>
                <c:ptCount val="5"/>
                <c:pt idx="0">
                  <c:v>2016. gads</c:v>
                </c:pt>
                <c:pt idx="1">
                  <c:v>2017. gads</c:v>
                </c:pt>
                <c:pt idx="2">
                  <c:v>2018. gads</c:v>
                </c:pt>
                <c:pt idx="3">
                  <c:v>2019. gads</c:v>
                </c:pt>
                <c:pt idx="4">
                  <c:v>2020. gads*</c:v>
                </c:pt>
              </c:strCache>
            </c:strRef>
          </c:cat>
          <c:val>
            <c:numRef>
              <c:f>Sheet2!$B$10:$F$10</c:f>
              <c:numCache>
                <c:formatCode>General</c:formatCode>
                <c:ptCount val="5"/>
                <c:pt idx="0" formatCode="0">
                  <c:v>42782.18</c:v>
                </c:pt>
                <c:pt idx="1">
                  <c:v>36336</c:v>
                </c:pt>
                <c:pt idx="2">
                  <c:v>40186</c:v>
                </c:pt>
                <c:pt idx="3">
                  <c:v>48106</c:v>
                </c:pt>
                <c:pt idx="4" formatCode="0">
                  <c:v>54622</c:v>
                </c:pt>
              </c:numCache>
            </c:numRef>
          </c:val>
          <c:smooth val="1"/>
          <c:extLst>
            <c:ext xmlns:c16="http://schemas.microsoft.com/office/drawing/2014/chart" uri="{C3380CC4-5D6E-409C-BE32-E72D297353CC}">
              <c16:uniqueId val="{00000008-9569-4390-93AD-1993333D1182}"/>
            </c:ext>
          </c:extLst>
        </c:ser>
        <c:dLbls>
          <c:showLegendKey val="0"/>
          <c:showVal val="0"/>
          <c:showCatName val="0"/>
          <c:showSerName val="0"/>
          <c:showPercent val="0"/>
          <c:showBubbleSize val="0"/>
        </c:dLbls>
        <c:marker val="1"/>
        <c:smooth val="0"/>
        <c:axId val="444832416"/>
        <c:axId val="444828672"/>
      </c:lineChart>
      <c:catAx>
        <c:axId val="25231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52304880"/>
        <c:crosses val="autoZero"/>
        <c:auto val="1"/>
        <c:lblAlgn val="ctr"/>
        <c:lblOffset val="100"/>
        <c:noMultiLvlLbl val="0"/>
      </c:catAx>
      <c:valAx>
        <c:axId val="252304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52313616"/>
        <c:crosses val="autoZero"/>
        <c:crossBetween val="between"/>
      </c:valAx>
      <c:valAx>
        <c:axId val="44482867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44832416"/>
        <c:crosses val="max"/>
        <c:crossBetween val="between"/>
      </c:valAx>
      <c:catAx>
        <c:axId val="444832416"/>
        <c:scaling>
          <c:orientation val="minMax"/>
        </c:scaling>
        <c:delete val="1"/>
        <c:axPos val="b"/>
        <c:numFmt formatCode="General" sourceLinked="1"/>
        <c:majorTickMark val="out"/>
        <c:minorTickMark val="none"/>
        <c:tickLblPos val="nextTo"/>
        <c:crossAx val="444828672"/>
        <c:crosses val="autoZero"/>
        <c:auto val="1"/>
        <c:lblAlgn val="ctr"/>
        <c:lblOffset val="100"/>
        <c:noMultiLvlLbl val="0"/>
      </c:catAx>
      <c:spPr>
        <a:noFill/>
        <a:ln>
          <a:noFill/>
        </a:ln>
        <a:effectLst/>
      </c:spPr>
    </c:plotArea>
    <c:legend>
      <c:legendPos val="b"/>
      <c:layout>
        <c:manualLayout>
          <c:xMode val="edge"/>
          <c:yMode val="edge"/>
          <c:x val="0.16004103721562493"/>
          <c:y val="0.75480549422637289"/>
          <c:w val="0.67991784577478676"/>
          <c:h val="0.179842780198380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97520104744576E-2"/>
          <c:y val="4.4543429844097995E-2"/>
          <c:w val="0.85369457403383431"/>
          <c:h val="0.63999104476057755"/>
        </c:manualLayout>
      </c:layout>
      <c:barChart>
        <c:barDir val="col"/>
        <c:grouping val="clustered"/>
        <c:varyColors val="0"/>
        <c:ser>
          <c:idx val="2"/>
          <c:order val="2"/>
          <c:tx>
            <c:strRef>
              <c:f>Sheet2!$A$28</c:f>
              <c:strCache>
                <c:ptCount val="1"/>
                <c:pt idx="0">
                  <c:v>Plānotā līguma summa oftalmoloģijai dienas stacionārā</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Sheet2!$B$25:$F$25</c:f>
              <c:strCache>
                <c:ptCount val="5"/>
                <c:pt idx="0">
                  <c:v>2016. gads</c:v>
                </c:pt>
                <c:pt idx="1">
                  <c:v>2017. gads</c:v>
                </c:pt>
                <c:pt idx="2">
                  <c:v>2018. gads</c:v>
                </c:pt>
                <c:pt idx="3">
                  <c:v>2019. gads</c:v>
                </c:pt>
                <c:pt idx="4">
                  <c:v>2020. gads*</c:v>
                </c:pt>
              </c:strCache>
            </c:strRef>
          </c:cat>
          <c:val>
            <c:numRef>
              <c:f>Sheet2!$B$28:$F$28</c:f>
              <c:numCache>
                <c:formatCode>#,##0.00</c:formatCode>
                <c:ptCount val="5"/>
                <c:pt idx="0">
                  <c:v>2.9659840000000002</c:v>
                </c:pt>
                <c:pt idx="1">
                  <c:v>5.6069360000000001</c:v>
                </c:pt>
                <c:pt idx="2">
                  <c:v>7.3824940000000003</c:v>
                </c:pt>
                <c:pt idx="3">
                  <c:v>9.5377310000000008</c:v>
                </c:pt>
                <c:pt idx="4">
                  <c:v>9.9078619999999997</c:v>
                </c:pt>
              </c:numCache>
            </c:numRef>
          </c:val>
          <c:extLst>
            <c:ext xmlns:c16="http://schemas.microsoft.com/office/drawing/2014/chart" uri="{C3380CC4-5D6E-409C-BE32-E72D297353CC}">
              <c16:uniqueId val="{00000000-53FB-4782-B6A6-393352EF29F5}"/>
            </c:ext>
          </c:extLst>
        </c:ser>
        <c:ser>
          <c:idx val="3"/>
          <c:order val="3"/>
          <c:tx>
            <c:strRef>
              <c:f>Sheet2!$A$29</c:f>
              <c:strCache>
                <c:ptCount val="1"/>
                <c:pt idx="0">
                  <c:v>Faktiskā līguma izpildes summa  oftalmoloģijai dienas stacionārā</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Sheet2!$B$25:$F$25</c:f>
              <c:strCache>
                <c:ptCount val="5"/>
                <c:pt idx="0">
                  <c:v>2016. gads</c:v>
                </c:pt>
                <c:pt idx="1">
                  <c:v>2017. gads</c:v>
                </c:pt>
                <c:pt idx="2">
                  <c:v>2018. gads</c:v>
                </c:pt>
                <c:pt idx="3">
                  <c:v>2019. gads</c:v>
                </c:pt>
                <c:pt idx="4">
                  <c:v>2020. gads*</c:v>
                </c:pt>
              </c:strCache>
            </c:strRef>
          </c:cat>
          <c:val>
            <c:numRef>
              <c:f>Sheet2!$B$29:$F$29</c:f>
              <c:numCache>
                <c:formatCode>#,##0.00</c:formatCode>
                <c:ptCount val="5"/>
                <c:pt idx="0">
                  <c:v>3.0611517699999999</c:v>
                </c:pt>
                <c:pt idx="1">
                  <c:v>5.7249047900000001</c:v>
                </c:pt>
                <c:pt idx="2" formatCode="_(* #,##0.00_);_(* \(#,##0.00\);_(* &quot;-&quot;??_);_(@_)">
                  <c:v>8.2366108100000002</c:v>
                </c:pt>
                <c:pt idx="3">
                  <c:v>9.5170600500000013</c:v>
                </c:pt>
              </c:numCache>
            </c:numRef>
          </c:val>
          <c:extLst>
            <c:ext xmlns:c16="http://schemas.microsoft.com/office/drawing/2014/chart" uri="{C3380CC4-5D6E-409C-BE32-E72D297353CC}">
              <c16:uniqueId val="{00000001-53FB-4782-B6A6-393352EF29F5}"/>
            </c:ext>
          </c:extLst>
        </c:ser>
        <c:dLbls>
          <c:showLegendKey val="0"/>
          <c:showVal val="0"/>
          <c:showCatName val="0"/>
          <c:showSerName val="0"/>
          <c:showPercent val="0"/>
          <c:showBubbleSize val="0"/>
        </c:dLbls>
        <c:gapWidth val="50"/>
        <c:axId val="290958240"/>
        <c:axId val="290958656"/>
      </c:barChart>
      <c:lineChart>
        <c:grouping val="standard"/>
        <c:varyColors val="0"/>
        <c:ser>
          <c:idx val="0"/>
          <c:order val="0"/>
          <c:tx>
            <c:strRef>
              <c:f>Sheet2!$A$26</c:f>
              <c:strCache>
                <c:ptCount val="1"/>
                <c:pt idx="0">
                  <c:v>Oftalmoloģijai dienas stacionārā plānotais izmeklējumu skaits</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0"/>
              <c:layout>
                <c:manualLayout>
                  <c:x val="-0.10736768685318886"/>
                  <c:y val="-1.3551150811554508E-4"/>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3FB-4782-B6A6-393352EF29F5}"/>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Sheet2!$B$25:$F$25</c:f>
              <c:strCache>
                <c:ptCount val="5"/>
                <c:pt idx="0">
                  <c:v>2016. gads</c:v>
                </c:pt>
                <c:pt idx="1">
                  <c:v>2017. gads</c:v>
                </c:pt>
                <c:pt idx="2">
                  <c:v>2018. gads</c:v>
                </c:pt>
                <c:pt idx="3">
                  <c:v>2019. gads</c:v>
                </c:pt>
                <c:pt idx="4">
                  <c:v>2020. gads*</c:v>
                </c:pt>
              </c:strCache>
            </c:strRef>
          </c:cat>
          <c:val>
            <c:numRef>
              <c:f>Sheet2!$B$26:$F$26</c:f>
              <c:numCache>
                <c:formatCode>#,##0</c:formatCode>
                <c:ptCount val="5"/>
                <c:pt idx="0">
                  <c:v>11859</c:v>
                </c:pt>
                <c:pt idx="1">
                  <c:v>28893</c:v>
                </c:pt>
                <c:pt idx="2">
                  <c:v>25459</c:v>
                </c:pt>
                <c:pt idx="3">
                  <c:v>23737</c:v>
                </c:pt>
                <c:pt idx="4">
                  <c:v>23535</c:v>
                </c:pt>
              </c:numCache>
            </c:numRef>
          </c:val>
          <c:smooth val="1"/>
          <c:extLst>
            <c:ext xmlns:c16="http://schemas.microsoft.com/office/drawing/2014/chart" uri="{C3380CC4-5D6E-409C-BE32-E72D297353CC}">
              <c16:uniqueId val="{00000003-53FB-4782-B6A6-393352EF29F5}"/>
            </c:ext>
          </c:extLst>
        </c:ser>
        <c:ser>
          <c:idx val="1"/>
          <c:order val="1"/>
          <c:tx>
            <c:strRef>
              <c:f>Sheet2!$A$27</c:f>
              <c:strCache>
                <c:ptCount val="1"/>
                <c:pt idx="0">
                  <c:v>Faktiskais izmeklējumu skaits</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dLbls>
            <c:dLbl>
              <c:idx val="0"/>
              <c:layout>
                <c:manualLayout>
                  <c:x val="-5.1928869919944477E-2"/>
                  <c:y val="5.394824735792415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53FB-4782-B6A6-393352EF29F5}"/>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030A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Sheet2!$B$25:$F$25</c:f>
              <c:strCache>
                <c:ptCount val="5"/>
                <c:pt idx="0">
                  <c:v>2016. gads</c:v>
                </c:pt>
                <c:pt idx="1">
                  <c:v>2017. gads</c:v>
                </c:pt>
                <c:pt idx="2">
                  <c:v>2018. gads</c:v>
                </c:pt>
                <c:pt idx="3">
                  <c:v>2019. gads</c:v>
                </c:pt>
                <c:pt idx="4">
                  <c:v>2020. gads*</c:v>
                </c:pt>
              </c:strCache>
            </c:strRef>
          </c:cat>
          <c:val>
            <c:numRef>
              <c:f>Sheet2!$B$27:$F$27</c:f>
              <c:numCache>
                <c:formatCode>#,##0</c:formatCode>
                <c:ptCount val="5"/>
                <c:pt idx="0">
                  <c:v>11367</c:v>
                </c:pt>
                <c:pt idx="1">
                  <c:v>19677</c:v>
                </c:pt>
                <c:pt idx="2">
                  <c:v>21726</c:v>
                </c:pt>
                <c:pt idx="3">
                  <c:v>22863</c:v>
                </c:pt>
              </c:numCache>
            </c:numRef>
          </c:val>
          <c:smooth val="1"/>
          <c:extLst>
            <c:ext xmlns:c16="http://schemas.microsoft.com/office/drawing/2014/chart" uri="{C3380CC4-5D6E-409C-BE32-E72D297353CC}">
              <c16:uniqueId val="{00000005-53FB-4782-B6A6-393352EF29F5}"/>
            </c:ext>
          </c:extLst>
        </c:ser>
        <c:ser>
          <c:idx val="4"/>
          <c:order val="4"/>
          <c:tx>
            <c:strRef>
              <c:f>Sheet2!$A$30</c:f>
              <c:strCache>
                <c:ptCount val="1"/>
                <c:pt idx="0">
                  <c:v>Pacientu skaits gaidīšanas rindā uz oftalmoloģiju dienas stacionārā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numFmt formatCode="##\ ###" sourceLinked="0"/>
            <c:spPr>
              <a:noFill/>
              <a:ln>
                <a:noFill/>
              </a:ln>
              <a:effectLst/>
            </c:spPr>
            <c:txPr>
              <a:bodyPr rot="0" spcFirstLastPara="1" vertOverflow="ellipsis" vert="horz" wrap="square" anchor="ctr" anchorCtr="1"/>
              <a:lstStyle/>
              <a:p>
                <a:pPr>
                  <a:defRPr sz="100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Sheet2!$B$25:$F$25</c:f>
              <c:strCache>
                <c:ptCount val="5"/>
                <c:pt idx="0">
                  <c:v>2016. gads</c:v>
                </c:pt>
                <c:pt idx="1">
                  <c:v>2017. gads</c:v>
                </c:pt>
                <c:pt idx="2">
                  <c:v>2018. gads</c:v>
                </c:pt>
                <c:pt idx="3">
                  <c:v>2019. gads</c:v>
                </c:pt>
                <c:pt idx="4">
                  <c:v>2020. gads*</c:v>
                </c:pt>
              </c:strCache>
            </c:strRef>
          </c:cat>
          <c:val>
            <c:numRef>
              <c:f>Sheet2!$B$30:$F$30</c:f>
              <c:numCache>
                <c:formatCode>General</c:formatCode>
                <c:ptCount val="5"/>
                <c:pt idx="0">
                  <c:v>68195</c:v>
                </c:pt>
                <c:pt idx="1">
                  <c:v>71815</c:v>
                </c:pt>
                <c:pt idx="2">
                  <c:v>95646</c:v>
                </c:pt>
                <c:pt idx="3">
                  <c:v>67256</c:v>
                </c:pt>
                <c:pt idx="4" formatCode="0">
                  <c:v>51209</c:v>
                </c:pt>
              </c:numCache>
            </c:numRef>
          </c:val>
          <c:smooth val="1"/>
          <c:extLst>
            <c:ext xmlns:c16="http://schemas.microsoft.com/office/drawing/2014/chart" uri="{C3380CC4-5D6E-409C-BE32-E72D297353CC}">
              <c16:uniqueId val="{00000006-53FB-4782-B6A6-393352EF29F5}"/>
            </c:ext>
          </c:extLst>
        </c:ser>
        <c:dLbls>
          <c:showLegendKey val="0"/>
          <c:showVal val="0"/>
          <c:showCatName val="0"/>
          <c:showSerName val="0"/>
          <c:showPercent val="0"/>
          <c:showBubbleSize val="0"/>
        </c:dLbls>
        <c:marker val="1"/>
        <c:smooth val="0"/>
        <c:axId val="650595328"/>
        <c:axId val="650592416"/>
      </c:lineChart>
      <c:catAx>
        <c:axId val="29095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0958656"/>
        <c:crosses val="autoZero"/>
        <c:auto val="1"/>
        <c:lblAlgn val="ctr"/>
        <c:lblOffset val="100"/>
        <c:noMultiLvlLbl val="0"/>
      </c:catAx>
      <c:valAx>
        <c:axId val="29095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0958240"/>
        <c:crosses val="autoZero"/>
        <c:crossBetween val="between"/>
      </c:valAx>
      <c:valAx>
        <c:axId val="650592416"/>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50595328"/>
        <c:crosses val="max"/>
        <c:crossBetween val="between"/>
      </c:valAx>
      <c:catAx>
        <c:axId val="650595328"/>
        <c:scaling>
          <c:orientation val="minMax"/>
        </c:scaling>
        <c:delete val="1"/>
        <c:axPos val="b"/>
        <c:numFmt formatCode="General" sourceLinked="1"/>
        <c:majorTickMark val="out"/>
        <c:minorTickMark val="none"/>
        <c:tickLblPos val="nextTo"/>
        <c:crossAx val="650592416"/>
        <c:crosses val="autoZero"/>
        <c:auto val="1"/>
        <c:lblAlgn val="ctr"/>
        <c:lblOffset val="100"/>
        <c:noMultiLvlLbl val="0"/>
      </c:catAx>
      <c:spPr>
        <a:noFill/>
        <a:ln>
          <a:noFill/>
        </a:ln>
        <a:effectLst/>
      </c:spPr>
    </c:plotArea>
    <c:legend>
      <c:legendPos val="b"/>
      <c:layout>
        <c:manualLayout>
          <c:xMode val="edge"/>
          <c:yMode val="edge"/>
          <c:x val="5.625932242090672E-2"/>
          <c:y val="0.76319634979824724"/>
          <c:w val="0.88748122400656915"/>
          <c:h val="0.1846365023363778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70C0"/>
            </a:solidFill>
            <a:ln>
              <a:noFill/>
            </a:ln>
            <a:effectLst/>
          </c:spPr>
          <c:invertIfNegative val="0"/>
          <c:dLbls>
            <c:numFmt formatCode="##\ ###"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Sheet1!$A$1:$A$5</c:f>
              <c:strCache>
                <c:ptCount val="5"/>
                <c:pt idx="0">
                  <c:v>2016. gada janvāris </c:v>
                </c:pt>
                <c:pt idx="1">
                  <c:v>2017. gada janvāris </c:v>
                </c:pt>
                <c:pt idx="2">
                  <c:v>2018. gada janvāris </c:v>
                </c:pt>
                <c:pt idx="3">
                  <c:v>2019. gada janvāris </c:v>
                </c:pt>
                <c:pt idx="4">
                  <c:v>2020. gada janvāris </c:v>
                </c:pt>
              </c:strCache>
            </c:strRef>
          </c:cat>
          <c:val>
            <c:numRef>
              <c:f>Sheet1!$B$1:$B$5</c:f>
              <c:numCache>
                <c:formatCode>General</c:formatCode>
                <c:ptCount val="5"/>
                <c:pt idx="0">
                  <c:v>34298</c:v>
                </c:pt>
                <c:pt idx="1">
                  <c:v>33629</c:v>
                </c:pt>
                <c:pt idx="2">
                  <c:v>30346</c:v>
                </c:pt>
                <c:pt idx="3">
                  <c:v>27422</c:v>
                </c:pt>
                <c:pt idx="4">
                  <c:v>24984</c:v>
                </c:pt>
              </c:numCache>
            </c:numRef>
          </c:val>
          <c:extLst>
            <c:ext xmlns:c16="http://schemas.microsoft.com/office/drawing/2014/chart" uri="{C3380CC4-5D6E-409C-BE32-E72D297353CC}">
              <c16:uniqueId val="{00000000-0D55-472D-94C7-A4673CD3F9F2}"/>
            </c:ext>
          </c:extLst>
        </c:ser>
        <c:dLbls>
          <c:showLegendKey val="0"/>
          <c:showVal val="0"/>
          <c:showCatName val="0"/>
          <c:showSerName val="0"/>
          <c:showPercent val="0"/>
          <c:showBubbleSize val="0"/>
        </c:dLbls>
        <c:gapWidth val="50"/>
        <c:overlap val="-27"/>
        <c:axId val="650164639"/>
        <c:axId val="650166303"/>
      </c:barChart>
      <c:catAx>
        <c:axId val="650164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50166303"/>
        <c:crosses val="autoZero"/>
        <c:auto val="1"/>
        <c:lblAlgn val="ctr"/>
        <c:lblOffset val="100"/>
        <c:noMultiLvlLbl val="0"/>
      </c:catAx>
      <c:valAx>
        <c:axId val="650166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501646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414148680228082E-2"/>
          <c:y val="3.4059198153342948E-2"/>
          <c:w val="0.93137828994531513"/>
          <c:h val="0.76067961086221203"/>
        </c:manualLayout>
      </c:layout>
      <c:barChart>
        <c:barDir val="col"/>
        <c:grouping val="clustered"/>
        <c:varyColors val="0"/>
        <c:ser>
          <c:idx val="0"/>
          <c:order val="0"/>
          <c:tx>
            <c:strRef>
              <c:f>Sheet1!$C$3</c:f>
              <c:strCache>
                <c:ptCount val="1"/>
                <c:pt idx="0">
                  <c:v>Toksikoloģijas ārstēšanas apmaksas summa </c:v>
                </c:pt>
              </c:strCache>
            </c:strRef>
          </c:tx>
          <c:spPr>
            <a:solidFill>
              <a:srgbClr val="0070C0"/>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Sheet1!$B$4:$B$6</c:f>
              <c:strCache>
                <c:ptCount val="3"/>
                <c:pt idx="0">
                  <c:v>2017. gads</c:v>
                </c:pt>
                <c:pt idx="1">
                  <c:v>2018. gads</c:v>
                </c:pt>
                <c:pt idx="2">
                  <c:v>2019. gads</c:v>
                </c:pt>
              </c:strCache>
            </c:strRef>
          </c:cat>
          <c:val>
            <c:numRef>
              <c:f>Sheet1!$C$4:$C$6</c:f>
              <c:numCache>
                <c:formatCode>0.0</c:formatCode>
                <c:ptCount val="3"/>
                <c:pt idx="0" formatCode="#\ ##0.0">
                  <c:v>0.84014800000000001</c:v>
                </c:pt>
                <c:pt idx="1">
                  <c:v>1.007598</c:v>
                </c:pt>
                <c:pt idx="2" formatCode="#\ ##0.0">
                  <c:v>1.2147680000000001</c:v>
                </c:pt>
              </c:numCache>
            </c:numRef>
          </c:val>
          <c:extLst>
            <c:ext xmlns:c16="http://schemas.microsoft.com/office/drawing/2014/chart" uri="{C3380CC4-5D6E-409C-BE32-E72D297353CC}">
              <c16:uniqueId val="{00000000-6ECC-4BFD-A0E7-E21529843865}"/>
            </c:ext>
          </c:extLst>
        </c:ser>
        <c:ser>
          <c:idx val="1"/>
          <c:order val="1"/>
          <c:tx>
            <c:strRef>
              <c:f>Sheet1!$D$3</c:f>
              <c:strCache>
                <c:ptCount val="1"/>
                <c:pt idx="0">
                  <c:v>Toksikoloģijas ārstēšanas faktiskās izmaksas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Sheet1!$B$4:$B$6</c:f>
              <c:strCache>
                <c:ptCount val="3"/>
                <c:pt idx="0">
                  <c:v>2017. gads</c:v>
                </c:pt>
                <c:pt idx="1">
                  <c:v>2018. gads</c:v>
                </c:pt>
                <c:pt idx="2">
                  <c:v>2019. gads</c:v>
                </c:pt>
              </c:strCache>
            </c:strRef>
          </c:cat>
          <c:val>
            <c:numRef>
              <c:f>Sheet1!$D$4:$D$6</c:f>
              <c:numCache>
                <c:formatCode>#\ ##0.0</c:formatCode>
                <c:ptCount val="3"/>
                <c:pt idx="0">
                  <c:v>3.2267420000000002</c:v>
                </c:pt>
                <c:pt idx="1">
                  <c:v>3.8273510000000002</c:v>
                </c:pt>
                <c:pt idx="2">
                  <c:v>4.7068089999999998</c:v>
                </c:pt>
              </c:numCache>
            </c:numRef>
          </c:val>
          <c:extLst>
            <c:ext xmlns:c16="http://schemas.microsoft.com/office/drawing/2014/chart" uri="{C3380CC4-5D6E-409C-BE32-E72D297353CC}">
              <c16:uniqueId val="{00000001-6ECC-4BFD-A0E7-E21529843865}"/>
            </c:ext>
          </c:extLst>
        </c:ser>
        <c:dLbls>
          <c:showLegendKey val="0"/>
          <c:showVal val="0"/>
          <c:showCatName val="0"/>
          <c:showSerName val="0"/>
          <c:showPercent val="0"/>
          <c:showBubbleSize val="0"/>
        </c:dLbls>
        <c:gapWidth val="50"/>
        <c:axId val="104278848"/>
        <c:axId val="104277600"/>
      </c:barChart>
      <c:catAx>
        <c:axId val="10427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04277600"/>
        <c:crossesAt val="0"/>
        <c:auto val="1"/>
        <c:lblAlgn val="ctr"/>
        <c:lblOffset val="100"/>
        <c:noMultiLvlLbl val="0"/>
      </c:catAx>
      <c:valAx>
        <c:axId val="104277600"/>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04278848"/>
        <c:crosses val="autoZero"/>
        <c:crossBetween val="between"/>
        <c:minorUnit val="0.5"/>
      </c:valAx>
      <c:spPr>
        <a:noFill/>
        <a:ln>
          <a:noFill/>
        </a:ln>
        <a:effectLst/>
      </c:spPr>
    </c:plotArea>
    <c:legend>
      <c:legendPos val="b"/>
      <c:layout>
        <c:manualLayout>
          <c:xMode val="edge"/>
          <c:yMode val="edge"/>
          <c:x val="9.7566287186237916E-2"/>
          <c:y val="0.87567921302062457"/>
          <c:w val="0.80028069141632152"/>
          <c:h val="0.1016071176295786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Sheet1!$C$5</c:f>
              <c:strCache>
                <c:ptCount val="1"/>
                <c:pt idx="0">
                  <c:v>Apakšprogrammas 38.05.00 “Veselības aprūpe un fiziskā sagatavotība”, milj. euro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Sheet1!$B$6:$B$16</c:f>
              <c:strCache>
                <c:ptCount val="11"/>
                <c:pt idx="0">
                  <c:v>2012</c:v>
                </c:pt>
                <c:pt idx="1">
                  <c:v>2013</c:v>
                </c:pt>
                <c:pt idx="2">
                  <c:v>2014</c:v>
                </c:pt>
                <c:pt idx="3">
                  <c:v>2015</c:v>
                </c:pt>
                <c:pt idx="4">
                  <c:v>2016</c:v>
                </c:pt>
                <c:pt idx="5">
                  <c:v>2017</c:v>
                </c:pt>
                <c:pt idx="6">
                  <c:v>2018</c:v>
                </c:pt>
                <c:pt idx="7">
                  <c:v>2019</c:v>
                </c:pt>
                <c:pt idx="8">
                  <c:v>2020 (plāns)</c:v>
                </c:pt>
                <c:pt idx="9">
                  <c:v>2021 (plāns)</c:v>
                </c:pt>
                <c:pt idx="10">
                  <c:v>2022 (plāns)</c:v>
                </c:pt>
              </c:strCache>
            </c:strRef>
          </c:cat>
          <c:val>
            <c:numRef>
              <c:f>Sheet1!$C$6:$C$16</c:f>
              <c:numCache>
                <c:formatCode>#\ ##0.0</c:formatCode>
                <c:ptCount val="11"/>
                <c:pt idx="0">
                  <c:v>1.71484032</c:v>
                </c:pt>
                <c:pt idx="1">
                  <c:v>1.8241349800000002</c:v>
                </c:pt>
                <c:pt idx="2">
                  <c:v>2.3676197099999992</c:v>
                </c:pt>
                <c:pt idx="3">
                  <c:v>3.8827301299999997</c:v>
                </c:pt>
                <c:pt idx="4">
                  <c:v>4.3838909299999997</c:v>
                </c:pt>
                <c:pt idx="5">
                  <c:v>4.8160617999999991</c:v>
                </c:pt>
                <c:pt idx="6">
                  <c:v>5.0140214199999988</c:v>
                </c:pt>
                <c:pt idx="7">
                  <c:v>5.1994203100000007</c:v>
                </c:pt>
                <c:pt idx="8">
                  <c:v>5.2890040000000003</c:v>
                </c:pt>
                <c:pt idx="9">
                  <c:v>5.227563</c:v>
                </c:pt>
                <c:pt idx="10">
                  <c:v>5.227563</c:v>
                </c:pt>
              </c:numCache>
            </c:numRef>
          </c:val>
          <c:extLst>
            <c:ext xmlns:c16="http://schemas.microsoft.com/office/drawing/2014/chart" uri="{C3380CC4-5D6E-409C-BE32-E72D297353CC}">
              <c16:uniqueId val="{00000000-5E7A-4DD0-9C63-72A4A3C8EC06}"/>
            </c:ext>
          </c:extLst>
        </c:ser>
        <c:dLbls>
          <c:dLblPos val="ctr"/>
          <c:showLegendKey val="0"/>
          <c:showVal val="1"/>
          <c:showCatName val="0"/>
          <c:showSerName val="0"/>
          <c:showPercent val="0"/>
          <c:showBubbleSize val="0"/>
        </c:dLbls>
        <c:gapWidth val="75"/>
        <c:axId val="417553007"/>
        <c:axId val="417548431"/>
      </c:barChart>
      <c:lineChart>
        <c:grouping val="standard"/>
        <c:varyColors val="0"/>
        <c:ser>
          <c:idx val="1"/>
          <c:order val="1"/>
          <c:tx>
            <c:strRef>
              <c:f>Sheet1!$D$5</c:f>
              <c:strCache>
                <c:ptCount val="1"/>
                <c:pt idx="0">
                  <c:v>Vidējie veselības aprūpes izdevumi uz vienu amatpersonu, euro</c:v>
                </c:pt>
              </c:strCache>
            </c:strRef>
          </c:tx>
          <c:spPr>
            <a:ln w="28575" cap="rnd">
              <a:solidFill>
                <a:schemeClr val="accent2"/>
              </a:solidFill>
              <a:round/>
            </a:ln>
            <a:effectLst/>
          </c:spPr>
          <c:marker>
            <c:symbol val="none"/>
          </c:marker>
          <c:dLbls>
            <c:dLbl>
              <c:idx val="1"/>
              <c:layout>
                <c:manualLayout>
                  <c:x val="-4.0463946861011305E-2"/>
                  <c:y val="-6.06657554444398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E7A-4DD0-9C63-72A4A3C8EC06}"/>
                </c:ext>
              </c:extLst>
            </c:dLbl>
            <c:dLbl>
              <c:idx val="3"/>
              <c:layout>
                <c:manualLayout>
                  <c:x val="-4.5383040712144031E-2"/>
                  <c:y val="-6.066575544443975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E7A-4DD0-9C63-72A4A3C8EC06}"/>
                </c:ext>
              </c:extLst>
            </c:dLbl>
            <c:dLbl>
              <c:idx val="7"/>
              <c:layout>
                <c:manualLayout>
                  <c:x val="-4.3225543409015701E-2"/>
                  <c:y val="-2.150766064916721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5E7A-4DD0-9C63-72A4A3C8EC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Sheet1!$B$6:$B$16</c:f>
              <c:strCache>
                <c:ptCount val="11"/>
                <c:pt idx="0">
                  <c:v>2012</c:v>
                </c:pt>
                <c:pt idx="1">
                  <c:v>2013</c:v>
                </c:pt>
                <c:pt idx="2">
                  <c:v>2014</c:v>
                </c:pt>
                <c:pt idx="3">
                  <c:v>2015</c:v>
                </c:pt>
                <c:pt idx="4">
                  <c:v>2016</c:v>
                </c:pt>
                <c:pt idx="5">
                  <c:v>2017</c:v>
                </c:pt>
                <c:pt idx="6">
                  <c:v>2018</c:v>
                </c:pt>
                <c:pt idx="7">
                  <c:v>2019</c:v>
                </c:pt>
                <c:pt idx="8">
                  <c:v>2020 (plāns)</c:v>
                </c:pt>
                <c:pt idx="9">
                  <c:v>2021 (plāns)</c:v>
                </c:pt>
                <c:pt idx="10">
                  <c:v>2022 (plāns)</c:v>
                </c:pt>
              </c:strCache>
            </c:strRef>
          </c:cat>
          <c:val>
            <c:numRef>
              <c:f>Sheet1!$D$6:$D$16</c:f>
              <c:numCache>
                <c:formatCode>General</c:formatCode>
                <c:ptCount val="11"/>
                <c:pt idx="0">
                  <c:v>78.260000000000005</c:v>
                </c:pt>
                <c:pt idx="1">
                  <c:v>71.95</c:v>
                </c:pt>
                <c:pt idx="2">
                  <c:v>136.19</c:v>
                </c:pt>
                <c:pt idx="3">
                  <c:v>175.29</c:v>
                </c:pt>
                <c:pt idx="4">
                  <c:v>204.01</c:v>
                </c:pt>
                <c:pt idx="5">
                  <c:v>226.5</c:v>
                </c:pt>
                <c:pt idx="6">
                  <c:v>240.2</c:v>
                </c:pt>
                <c:pt idx="7">
                  <c:v>265.08999999999997</c:v>
                </c:pt>
                <c:pt idx="8">
                  <c:v>247.98</c:v>
                </c:pt>
                <c:pt idx="9">
                  <c:v>247.98</c:v>
                </c:pt>
                <c:pt idx="10">
                  <c:v>247.98</c:v>
                </c:pt>
              </c:numCache>
            </c:numRef>
          </c:val>
          <c:smooth val="0"/>
          <c:extLst>
            <c:ext xmlns:c16="http://schemas.microsoft.com/office/drawing/2014/chart" uri="{C3380CC4-5D6E-409C-BE32-E72D297353CC}">
              <c16:uniqueId val="{00000004-5E7A-4DD0-9C63-72A4A3C8EC06}"/>
            </c:ext>
          </c:extLst>
        </c:ser>
        <c:dLbls>
          <c:dLblPos val="ctr"/>
          <c:showLegendKey val="0"/>
          <c:showVal val="1"/>
          <c:showCatName val="0"/>
          <c:showSerName val="0"/>
          <c:showPercent val="0"/>
          <c:showBubbleSize val="0"/>
        </c:dLbls>
        <c:marker val="1"/>
        <c:smooth val="0"/>
        <c:axId val="417549679"/>
        <c:axId val="417549263"/>
      </c:lineChart>
      <c:catAx>
        <c:axId val="417553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7548431"/>
        <c:crosses val="autoZero"/>
        <c:auto val="1"/>
        <c:lblAlgn val="ctr"/>
        <c:lblOffset val="100"/>
        <c:noMultiLvlLbl val="0"/>
      </c:catAx>
      <c:valAx>
        <c:axId val="417548431"/>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7553007"/>
        <c:crosses val="autoZero"/>
        <c:crossBetween val="between"/>
      </c:valAx>
      <c:valAx>
        <c:axId val="417549263"/>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7549679"/>
        <c:crosses val="max"/>
        <c:crossBetween val="between"/>
      </c:valAx>
      <c:catAx>
        <c:axId val="417549679"/>
        <c:scaling>
          <c:orientation val="minMax"/>
        </c:scaling>
        <c:delete val="1"/>
        <c:axPos val="b"/>
        <c:numFmt formatCode="General" sourceLinked="1"/>
        <c:majorTickMark val="none"/>
        <c:minorTickMark val="none"/>
        <c:tickLblPos val="nextTo"/>
        <c:crossAx val="417549263"/>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dinamika!$A$9</c:f>
              <c:strCache>
                <c:ptCount val="1"/>
                <c:pt idx="0">
                  <c:v>Veselības aprūpes izdevumu kompensāciju saņēmušo amatpersonu skaits </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dinamika!$B$8:$G$8</c:f>
              <c:strCache>
                <c:ptCount val="6"/>
                <c:pt idx="0">
                  <c:v>2014.gads</c:v>
                </c:pt>
                <c:pt idx="1">
                  <c:v>2015.gads</c:v>
                </c:pt>
                <c:pt idx="2">
                  <c:v>2016.gads</c:v>
                </c:pt>
                <c:pt idx="3">
                  <c:v>2017.gads</c:v>
                </c:pt>
                <c:pt idx="4">
                  <c:v>2018.gads</c:v>
                </c:pt>
                <c:pt idx="5">
                  <c:v>2019.gads</c:v>
                </c:pt>
              </c:strCache>
            </c:strRef>
          </c:cat>
          <c:val>
            <c:numRef>
              <c:f>dinamika!$B$9:$G$9</c:f>
              <c:numCache>
                <c:formatCode>General</c:formatCode>
                <c:ptCount val="6"/>
                <c:pt idx="0">
                  <c:v>6331</c:v>
                </c:pt>
                <c:pt idx="1">
                  <c:v>8831</c:v>
                </c:pt>
                <c:pt idx="2">
                  <c:v>9362</c:v>
                </c:pt>
                <c:pt idx="3">
                  <c:v>9764</c:v>
                </c:pt>
                <c:pt idx="4">
                  <c:v>9679</c:v>
                </c:pt>
                <c:pt idx="5">
                  <c:v>9621</c:v>
                </c:pt>
              </c:numCache>
            </c:numRef>
          </c:val>
          <c:extLst>
            <c:ext xmlns:c16="http://schemas.microsoft.com/office/drawing/2014/chart" uri="{C3380CC4-5D6E-409C-BE32-E72D297353CC}">
              <c16:uniqueId val="{00000000-7682-4DC1-94AB-8CC825E757E3}"/>
            </c:ext>
          </c:extLst>
        </c:ser>
        <c:dLbls>
          <c:showLegendKey val="0"/>
          <c:showVal val="0"/>
          <c:showCatName val="0"/>
          <c:showSerName val="0"/>
          <c:showPercent val="0"/>
          <c:showBubbleSize val="0"/>
        </c:dLbls>
        <c:gapWidth val="150"/>
        <c:axId val="2099673071"/>
        <c:axId val="2099671823"/>
      </c:barChart>
      <c:lineChart>
        <c:grouping val="standard"/>
        <c:varyColors val="0"/>
        <c:ser>
          <c:idx val="1"/>
          <c:order val="1"/>
          <c:tx>
            <c:strRef>
              <c:f>dinamika!$A$10</c:f>
              <c:strCache>
                <c:ptCount val="1"/>
                <c:pt idx="0">
                  <c:v>Vidējais kompensācijas apmērs </c:v>
                </c:pt>
              </c:strCache>
            </c:strRef>
          </c:tx>
          <c:spPr>
            <a:ln w="28575" cap="rnd">
              <a:solidFill>
                <a:schemeClr val="accent2"/>
              </a:solidFill>
              <a:round/>
            </a:ln>
            <a:effectLst/>
          </c:spPr>
          <c:marker>
            <c:symbol val="none"/>
          </c:marker>
          <c:dLbls>
            <c:dLbl>
              <c:idx val="0"/>
              <c:layout>
                <c:manualLayout>
                  <c:x val="-5.9932659932659935E-2"/>
                  <c:y val="-9.237616633563965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682-4DC1-94AB-8CC825E757E3}"/>
                </c:ext>
              </c:extLst>
            </c:dLbl>
            <c:dLbl>
              <c:idx val="1"/>
              <c:layout>
                <c:manualLayout>
                  <c:x val="-5.9932659932659983E-2"/>
                  <c:y val="-0.12799107383853686"/>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7682-4DC1-94AB-8CC825E757E3}"/>
                </c:ext>
              </c:extLst>
            </c:dLbl>
            <c:dLbl>
              <c:idx val="2"/>
              <c:layout>
                <c:manualLayout>
                  <c:x val="-5.9932659932659983E-2"/>
                  <c:y val="-9.682802977350182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682-4DC1-94AB-8CC825E757E3}"/>
                </c:ext>
              </c:extLst>
            </c:dLbl>
            <c:dLbl>
              <c:idx val="3"/>
              <c:layout>
                <c:manualLayout>
                  <c:x val="-5.7239057239057242E-2"/>
                  <c:y val="-0.10127989321136396"/>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7682-4DC1-94AB-8CC825E757E3}"/>
                </c:ext>
              </c:extLst>
            </c:dLbl>
            <c:dLbl>
              <c:idx val="4"/>
              <c:layout>
                <c:manualLayout>
                  <c:x val="-7.1380471380471378E-2"/>
                  <c:y val="-6.566498570846673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7682-4DC1-94AB-8CC825E757E3}"/>
                </c:ext>
              </c:extLst>
            </c:dLbl>
            <c:dLbl>
              <c:idx val="5"/>
              <c:layout>
                <c:manualLayout>
                  <c:x val="-5.3198653198653099E-2"/>
                  <c:y val="-4.340566851915598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7682-4DC1-94AB-8CC825E757E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dinamika!$B$8:$G$8</c:f>
              <c:strCache>
                <c:ptCount val="6"/>
                <c:pt idx="0">
                  <c:v>2014.gads</c:v>
                </c:pt>
                <c:pt idx="1">
                  <c:v>2015.gads</c:v>
                </c:pt>
                <c:pt idx="2">
                  <c:v>2016.gads</c:v>
                </c:pt>
                <c:pt idx="3">
                  <c:v>2017.gads</c:v>
                </c:pt>
                <c:pt idx="4">
                  <c:v>2018.gads</c:v>
                </c:pt>
                <c:pt idx="5">
                  <c:v>2019.gads</c:v>
                </c:pt>
              </c:strCache>
            </c:strRef>
          </c:cat>
          <c:val>
            <c:numRef>
              <c:f>dinamika!$B$10:$G$10</c:f>
              <c:numCache>
                <c:formatCode>0.00</c:formatCode>
                <c:ptCount val="6"/>
                <c:pt idx="0">
                  <c:v>120</c:v>
                </c:pt>
                <c:pt idx="1">
                  <c:v>152.46</c:v>
                </c:pt>
                <c:pt idx="2">
                  <c:v>177.06</c:v>
                </c:pt>
                <c:pt idx="3">
                  <c:v>184.5</c:v>
                </c:pt>
                <c:pt idx="4" formatCode="_(* #,##0.00_);_(* \(#,##0.00\);_(* &quot;-&quot;??_);_(@_)">
                  <c:v>194.62</c:v>
                </c:pt>
                <c:pt idx="5" formatCode="General">
                  <c:v>205.5</c:v>
                </c:pt>
              </c:numCache>
            </c:numRef>
          </c:val>
          <c:smooth val="0"/>
          <c:extLst>
            <c:ext xmlns:c16="http://schemas.microsoft.com/office/drawing/2014/chart" uri="{C3380CC4-5D6E-409C-BE32-E72D297353CC}">
              <c16:uniqueId val="{00000007-7682-4DC1-94AB-8CC825E757E3}"/>
            </c:ext>
          </c:extLst>
        </c:ser>
        <c:dLbls>
          <c:showLegendKey val="0"/>
          <c:showVal val="0"/>
          <c:showCatName val="0"/>
          <c:showSerName val="0"/>
          <c:showPercent val="0"/>
          <c:showBubbleSize val="0"/>
        </c:dLbls>
        <c:marker val="1"/>
        <c:smooth val="0"/>
        <c:axId val="2099671407"/>
        <c:axId val="1942196655"/>
      </c:lineChart>
      <c:catAx>
        <c:axId val="2099673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671823"/>
        <c:crosses val="autoZero"/>
        <c:auto val="1"/>
        <c:lblAlgn val="ctr"/>
        <c:lblOffset val="100"/>
        <c:noMultiLvlLbl val="0"/>
      </c:catAx>
      <c:valAx>
        <c:axId val="20996718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673071"/>
        <c:crosses val="autoZero"/>
        <c:crossBetween val="between"/>
      </c:valAx>
      <c:valAx>
        <c:axId val="1942196655"/>
        <c:scaling>
          <c:orientation val="minMax"/>
          <c:max val="250"/>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671407"/>
        <c:crosses val="max"/>
        <c:crossBetween val="between"/>
        <c:minorUnit val="100"/>
      </c:valAx>
      <c:catAx>
        <c:axId val="2099671407"/>
        <c:scaling>
          <c:orientation val="minMax"/>
        </c:scaling>
        <c:delete val="1"/>
        <c:axPos val="b"/>
        <c:numFmt formatCode="General" sourceLinked="1"/>
        <c:majorTickMark val="out"/>
        <c:minorTickMark val="none"/>
        <c:tickLblPos val="nextTo"/>
        <c:crossAx val="1942196655"/>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Sheet5!$A$2</c:f>
              <c:strCache>
                <c:ptCount val="1"/>
                <c:pt idx="0">
                  <c:v>Ieņēmumi no NVD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Sheet5!$B$1:$D$1</c:f>
              <c:strCache>
                <c:ptCount val="3"/>
                <c:pt idx="0">
                  <c:v>2017.gads</c:v>
                </c:pt>
                <c:pt idx="1">
                  <c:v>2018.gads</c:v>
                </c:pt>
                <c:pt idx="2">
                  <c:v>2019.gads</c:v>
                </c:pt>
              </c:strCache>
            </c:strRef>
          </c:cat>
          <c:val>
            <c:numRef>
              <c:f>Sheet5!$B$2:$D$2</c:f>
              <c:numCache>
                <c:formatCode>#,##0</c:formatCode>
                <c:ptCount val="3"/>
                <c:pt idx="0">
                  <c:v>553988.56000000006</c:v>
                </c:pt>
                <c:pt idx="1">
                  <c:v>552019.96</c:v>
                </c:pt>
                <c:pt idx="2">
                  <c:v>631278</c:v>
                </c:pt>
              </c:numCache>
            </c:numRef>
          </c:val>
          <c:extLst>
            <c:ext xmlns:c16="http://schemas.microsoft.com/office/drawing/2014/chart" uri="{C3380CC4-5D6E-409C-BE32-E72D297353CC}">
              <c16:uniqueId val="{00000000-6C8E-42AC-841E-9333E66172C1}"/>
            </c:ext>
          </c:extLst>
        </c:ser>
        <c:ser>
          <c:idx val="1"/>
          <c:order val="1"/>
          <c:tx>
            <c:strRef>
              <c:f>Sheet5!$A$3</c:f>
              <c:strCache>
                <c:ptCount val="1"/>
                <c:pt idx="0">
                  <c:v>Ieņēmumi no Centra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Sheet5!$B$1:$D$1</c:f>
              <c:strCache>
                <c:ptCount val="3"/>
                <c:pt idx="0">
                  <c:v>2017.gads</c:v>
                </c:pt>
                <c:pt idx="1">
                  <c:v>2018.gads</c:v>
                </c:pt>
                <c:pt idx="2">
                  <c:v>2019.gads</c:v>
                </c:pt>
              </c:strCache>
            </c:strRef>
          </c:cat>
          <c:val>
            <c:numRef>
              <c:f>Sheet5!$B$3:$D$3</c:f>
              <c:numCache>
                <c:formatCode>#,##0</c:formatCode>
                <c:ptCount val="3"/>
                <c:pt idx="0">
                  <c:v>730686.44</c:v>
                </c:pt>
                <c:pt idx="1">
                  <c:v>829382.04</c:v>
                </c:pt>
                <c:pt idx="2">
                  <c:v>834470</c:v>
                </c:pt>
              </c:numCache>
            </c:numRef>
          </c:val>
          <c:extLst>
            <c:ext xmlns:c16="http://schemas.microsoft.com/office/drawing/2014/chart" uri="{C3380CC4-5D6E-409C-BE32-E72D297353CC}">
              <c16:uniqueId val="{00000001-6C8E-42AC-841E-9333E66172C1}"/>
            </c:ext>
          </c:extLst>
        </c:ser>
        <c:ser>
          <c:idx val="2"/>
          <c:order val="2"/>
          <c:tx>
            <c:strRef>
              <c:f>Sheet5!$A$4</c:f>
              <c:strCache>
                <c:ptCount val="1"/>
                <c:pt idx="0">
                  <c:v>Ieņēmumi no maksas pakalpojumiem</c:v>
                </c:pt>
              </c:strCache>
            </c:strRef>
          </c:tx>
          <c:spPr>
            <a:solidFill>
              <a:schemeClr val="accent6"/>
            </a:solidFill>
            <a:ln>
              <a:noFill/>
            </a:ln>
            <a:effectLst/>
          </c:spPr>
          <c:invertIfNegative val="0"/>
          <c:dLbls>
            <c:dLbl>
              <c:idx val="1"/>
              <c:layout>
                <c:manualLayout>
                  <c:x val="2.0639834881320948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C8E-42AC-841E-9333E66172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Sheet5!$B$1:$D$1</c:f>
              <c:strCache>
                <c:ptCount val="3"/>
                <c:pt idx="0">
                  <c:v>2017.gads</c:v>
                </c:pt>
                <c:pt idx="1">
                  <c:v>2018.gads</c:v>
                </c:pt>
                <c:pt idx="2">
                  <c:v>2019.gads</c:v>
                </c:pt>
              </c:strCache>
            </c:strRef>
          </c:cat>
          <c:val>
            <c:numRef>
              <c:f>Sheet5!$B$4:$D$4</c:f>
              <c:numCache>
                <c:formatCode>#,##0</c:formatCode>
                <c:ptCount val="3"/>
                <c:pt idx="0">
                  <c:v>870978</c:v>
                </c:pt>
                <c:pt idx="1">
                  <c:v>830796</c:v>
                </c:pt>
                <c:pt idx="2">
                  <c:v>798041</c:v>
                </c:pt>
              </c:numCache>
            </c:numRef>
          </c:val>
          <c:extLst>
            <c:ext xmlns:c16="http://schemas.microsoft.com/office/drawing/2014/chart" uri="{C3380CC4-5D6E-409C-BE32-E72D297353CC}">
              <c16:uniqueId val="{00000003-6C8E-42AC-841E-9333E66172C1}"/>
            </c:ext>
          </c:extLst>
        </c:ser>
        <c:dLbls>
          <c:dLblPos val="outEnd"/>
          <c:showLegendKey val="0"/>
          <c:showVal val="1"/>
          <c:showCatName val="0"/>
          <c:showSerName val="0"/>
          <c:showPercent val="0"/>
          <c:showBubbleSize val="0"/>
        </c:dLbls>
        <c:gapWidth val="219"/>
        <c:overlap val="-49"/>
        <c:axId val="814690943"/>
        <c:axId val="814682207"/>
      </c:barChart>
      <c:catAx>
        <c:axId val="814690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14682207"/>
        <c:crosses val="autoZero"/>
        <c:auto val="1"/>
        <c:lblAlgn val="ctr"/>
        <c:lblOffset val="100"/>
        <c:noMultiLvlLbl val="0"/>
      </c:catAx>
      <c:valAx>
        <c:axId val="814682207"/>
        <c:scaling>
          <c:orientation val="minMax"/>
          <c:max val="9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1469094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26512248468941385"/>
          <c:y val="0.12475668167938152"/>
          <c:w val="0.45513537781461522"/>
          <c:h val="0.80755537853488146"/>
        </c:manualLayout>
      </c:layout>
      <c:pieChart>
        <c:varyColors val="1"/>
        <c:ser>
          <c:idx val="0"/>
          <c:order val="0"/>
          <c:explosion val="5"/>
          <c:dPt>
            <c:idx val="0"/>
            <c:bubble3D val="0"/>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CB0-4640-BE1F-3C0CCB3BDACD}"/>
              </c:ext>
            </c:extLst>
          </c:dPt>
          <c:dPt>
            <c:idx val="1"/>
            <c:bubble3D val="0"/>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CB0-4640-BE1F-3C0CCB3BDACD}"/>
              </c:ext>
            </c:extLst>
          </c:dPt>
          <c:dLbls>
            <c:dLbl>
              <c:idx val="0"/>
              <c:layout>
                <c:manualLayout>
                  <c:x val="-0.10132868259888567"/>
                  <c:y val="0.28452056333425246"/>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ACB0-4640-BE1F-3C0CCB3BDACD}"/>
                </c:ext>
              </c:extLst>
            </c:dLbl>
            <c:dLbl>
              <c:idx val="1"/>
              <c:layout>
                <c:manualLayout>
                  <c:x val="5.7071879172998115E-2"/>
                  <c:y val="-0.15887210596729884"/>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ACB0-4640-BE1F-3C0CCB3BDACD}"/>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Sheet1!$A$3:$A$4</c:f>
              <c:strCache>
                <c:ptCount val="2"/>
                <c:pt idx="0">
                  <c:v>Izpildīts</c:v>
                </c:pt>
                <c:pt idx="1">
                  <c:v>Uzsākts</c:v>
                </c:pt>
              </c:strCache>
            </c:strRef>
          </c:cat>
          <c:val>
            <c:numRef>
              <c:f>Sheet1!$B$3:$B$4</c:f>
              <c:numCache>
                <c:formatCode>General</c:formatCode>
                <c:ptCount val="2"/>
                <c:pt idx="0">
                  <c:v>39</c:v>
                </c:pt>
                <c:pt idx="1">
                  <c:v>11</c:v>
                </c:pt>
              </c:numCache>
            </c:numRef>
          </c:val>
          <c:extLst>
            <c:ext xmlns:c16="http://schemas.microsoft.com/office/drawing/2014/chart" uri="{C3380CC4-5D6E-409C-BE32-E72D297353CC}">
              <c16:uniqueId val="{00000004-ACB0-4640-BE1F-3C0CCB3BDACD}"/>
            </c:ext>
          </c:extLst>
        </c:ser>
        <c:dLbls>
          <c:showLegendKey val="0"/>
          <c:showVal val="1"/>
          <c:showCatName val="0"/>
          <c:showSerName val="0"/>
          <c:showPercent val="0"/>
          <c:showBubbleSize val="0"/>
          <c:showLeaderLines val="1"/>
        </c:dLbls>
        <c:firstSliceAng val="23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Sheet3!$B$2</c:f>
              <c:strCache>
                <c:ptCount val="1"/>
                <c:pt idx="0">
                  <c:v>2016.gads</c:v>
                </c:pt>
              </c:strCache>
            </c:strRef>
          </c:tx>
          <c:spPr>
            <a:solidFill>
              <a:schemeClr val="accent1"/>
            </a:solidFill>
            <a:ln>
              <a:noFill/>
            </a:ln>
            <a:effectLst/>
          </c:spPr>
          <c:invertIfNegative val="0"/>
          <c:dLbls>
            <c:dLbl>
              <c:idx val="0"/>
              <c:layout>
                <c:manualLayout>
                  <c:x val="-1.9806338028169015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6A8D-44E0-944F-B11868A1575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Sheet3!$A$3:$A$5</c:f>
              <c:strCache>
                <c:ptCount val="3"/>
                <c:pt idx="0">
                  <c:v>Amatpersonu veselības stāvokļa pārbaudes (skaits)</c:v>
                </c:pt>
                <c:pt idx="1">
                  <c:v>Amatpersonu kandidātu veselības stāvokļa pārbaudes (skaits)</c:v>
                </c:pt>
                <c:pt idx="2">
                  <c:v>Amatpersonu, kuras cietušas nelaimes gadījumā, veselības traucējumu smaguma pakāpes noteikšana (skaits)</c:v>
                </c:pt>
              </c:strCache>
            </c:strRef>
          </c:cat>
          <c:val>
            <c:numRef>
              <c:f>Sheet3!$B$3:$B$5</c:f>
              <c:numCache>
                <c:formatCode>#,##0</c:formatCode>
                <c:ptCount val="3"/>
                <c:pt idx="0">
                  <c:v>15497</c:v>
                </c:pt>
                <c:pt idx="1">
                  <c:v>1469</c:v>
                </c:pt>
                <c:pt idx="2">
                  <c:v>324</c:v>
                </c:pt>
              </c:numCache>
            </c:numRef>
          </c:val>
          <c:extLst>
            <c:ext xmlns:c16="http://schemas.microsoft.com/office/drawing/2014/chart" uri="{C3380CC4-5D6E-409C-BE32-E72D297353CC}">
              <c16:uniqueId val="{00000000-6A8D-44E0-944F-B11868A15754}"/>
            </c:ext>
          </c:extLst>
        </c:ser>
        <c:ser>
          <c:idx val="1"/>
          <c:order val="1"/>
          <c:tx>
            <c:strRef>
              <c:f>Sheet3!$C$2</c:f>
              <c:strCache>
                <c:ptCount val="1"/>
                <c:pt idx="0">
                  <c:v>2017.gads</c:v>
                </c:pt>
              </c:strCache>
            </c:strRef>
          </c:tx>
          <c:spPr>
            <a:solidFill>
              <a:schemeClr val="accent2"/>
            </a:solidFill>
            <a:ln>
              <a:noFill/>
            </a:ln>
            <a:effectLst/>
          </c:spPr>
          <c:invertIfNegative val="0"/>
          <c:dLbls>
            <c:dLbl>
              <c:idx val="0"/>
              <c:layout>
                <c:manualLayout>
                  <c:x val="6.6021126760563379E-3"/>
                  <c:y val="-2.8067315714329791E-19"/>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6A8D-44E0-944F-B11868A1575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Sheet3!$A$3:$A$5</c:f>
              <c:strCache>
                <c:ptCount val="3"/>
                <c:pt idx="0">
                  <c:v>Amatpersonu veselības stāvokļa pārbaudes (skaits)</c:v>
                </c:pt>
                <c:pt idx="1">
                  <c:v>Amatpersonu kandidātu veselības stāvokļa pārbaudes (skaits)</c:v>
                </c:pt>
                <c:pt idx="2">
                  <c:v>Amatpersonu, kuras cietušas nelaimes gadījumā, veselības traucējumu smaguma pakāpes noteikšana (skaits)</c:v>
                </c:pt>
              </c:strCache>
            </c:strRef>
          </c:cat>
          <c:val>
            <c:numRef>
              <c:f>Sheet3!$C$3:$C$5</c:f>
              <c:numCache>
                <c:formatCode>#,##0</c:formatCode>
                <c:ptCount val="3"/>
                <c:pt idx="0">
                  <c:v>15793</c:v>
                </c:pt>
                <c:pt idx="1">
                  <c:v>1293</c:v>
                </c:pt>
                <c:pt idx="2">
                  <c:v>382</c:v>
                </c:pt>
              </c:numCache>
            </c:numRef>
          </c:val>
          <c:extLst>
            <c:ext xmlns:c16="http://schemas.microsoft.com/office/drawing/2014/chart" uri="{C3380CC4-5D6E-409C-BE32-E72D297353CC}">
              <c16:uniqueId val="{00000001-6A8D-44E0-944F-B11868A15754}"/>
            </c:ext>
          </c:extLst>
        </c:ser>
        <c:ser>
          <c:idx val="2"/>
          <c:order val="2"/>
          <c:tx>
            <c:strRef>
              <c:f>Sheet3!$D$2</c:f>
              <c:strCache>
                <c:ptCount val="1"/>
                <c:pt idx="0">
                  <c:v>2018.gads</c:v>
                </c:pt>
              </c:strCache>
            </c:strRef>
          </c:tx>
          <c:spPr>
            <a:solidFill>
              <a:schemeClr val="accent3"/>
            </a:solidFill>
            <a:ln>
              <a:noFill/>
            </a:ln>
            <a:effectLst/>
          </c:spPr>
          <c:invertIfNegative val="0"/>
          <c:dLbls>
            <c:dLbl>
              <c:idx val="0"/>
              <c:layout>
                <c:manualLayout>
                  <c:x val="2.6408450704225352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A8D-44E0-944F-B11868A1575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Sheet3!$A$3:$A$5</c:f>
              <c:strCache>
                <c:ptCount val="3"/>
                <c:pt idx="0">
                  <c:v>Amatpersonu veselības stāvokļa pārbaudes (skaits)</c:v>
                </c:pt>
                <c:pt idx="1">
                  <c:v>Amatpersonu kandidātu veselības stāvokļa pārbaudes (skaits)</c:v>
                </c:pt>
                <c:pt idx="2">
                  <c:v>Amatpersonu, kuras cietušas nelaimes gadījumā, veselības traucējumu smaguma pakāpes noteikšana (skaits)</c:v>
                </c:pt>
              </c:strCache>
            </c:strRef>
          </c:cat>
          <c:val>
            <c:numRef>
              <c:f>Sheet3!$D$3:$D$5</c:f>
              <c:numCache>
                <c:formatCode>#,##0</c:formatCode>
                <c:ptCount val="3"/>
                <c:pt idx="0">
                  <c:v>15893</c:v>
                </c:pt>
                <c:pt idx="1">
                  <c:v>1008</c:v>
                </c:pt>
                <c:pt idx="2">
                  <c:v>367</c:v>
                </c:pt>
              </c:numCache>
            </c:numRef>
          </c:val>
          <c:extLst>
            <c:ext xmlns:c16="http://schemas.microsoft.com/office/drawing/2014/chart" uri="{C3380CC4-5D6E-409C-BE32-E72D297353CC}">
              <c16:uniqueId val="{00000002-6A8D-44E0-944F-B11868A15754}"/>
            </c:ext>
          </c:extLst>
        </c:ser>
        <c:ser>
          <c:idx val="3"/>
          <c:order val="3"/>
          <c:tx>
            <c:strRef>
              <c:f>Sheet3!$E$2</c:f>
              <c:strCache>
                <c:ptCount val="1"/>
                <c:pt idx="0">
                  <c:v>2019.gads</c:v>
                </c:pt>
              </c:strCache>
            </c:strRef>
          </c:tx>
          <c:spPr>
            <a:solidFill>
              <a:schemeClr val="accent4"/>
            </a:solidFill>
            <a:ln>
              <a:noFill/>
            </a:ln>
            <a:effectLst/>
          </c:spPr>
          <c:invertIfNegative val="0"/>
          <c:dLbls>
            <c:dLbl>
              <c:idx val="0"/>
              <c:layout>
                <c:manualLayout>
                  <c:x val="2.8609154929577465E-2"/>
                  <c:y val="1.1757789535567314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6A8D-44E0-944F-B11868A1575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Sheet3!$A$3:$A$5</c:f>
              <c:strCache>
                <c:ptCount val="3"/>
                <c:pt idx="0">
                  <c:v>Amatpersonu veselības stāvokļa pārbaudes (skaits)</c:v>
                </c:pt>
                <c:pt idx="1">
                  <c:v>Amatpersonu kandidātu veselības stāvokļa pārbaudes (skaits)</c:v>
                </c:pt>
                <c:pt idx="2">
                  <c:v>Amatpersonu, kuras cietušas nelaimes gadījumā, veselības traucējumu smaguma pakāpes noteikšana (skaits)</c:v>
                </c:pt>
              </c:strCache>
            </c:strRef>
          </c:cat>
          <c:val>
            <c:numRef>
              <c:f>Sheet3!$E$3:$E$5</c:f>
              <c:numCache>
                <c:formatCode>#,##0</c:formatCode>
                <c:ptCount val="3"/>
                <c:pt idx="0">
                  <c:v>14935</c:v>
                </c:pt>
                <c:pt idx="1">
                  <c:v>1002</c:v>
                </c:pt>
                <c:pt idx="2">
                  <c:v>438</c:v>
                </c:pt>
              </c:numCache>
            </c:numRef>
          </c:val>
          <c:extLst>
            <c:ext xmlns:c16="http://schemas.microsoft.com/office/drawing/2014/chart" uri="{C3380CC4-5D6E-409C-BE32-E72D297353CC}">
              <c16:uniqueId val="{00000003-6A8D-44E0-944F-B11868A15754}"/>
            </c:ext>
          </c:extLst>
        </c:ser>
        <c:dLbls>
          <c:dLblPos val="outEnd"/>
          <c:showLegendKey val="0"/>
          <c:showVal val="1"/>
          <c:showCatName val="0"/>
          <c:showSerName val="0"/>
          <c:showPercent val="0"/>
          <c:showBubbleSize val="0"/>
        </c:dLbls>
        <c:gapWidth val="170"/>
        <c:overlap val="-22"/>
        <c:axId val="957159039"/>
        <c:axId val="957152799"/>
      </c:barChart>
      <c:catAx>
        <c:axId val="957159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7152799"/>
        <c:crosses val="autoZero"/>
        <c:auto val="1"/>
        <c:lblAlgn val="ctr"/>
        <c:lblOffset val="100"/>
        <c:noMultiLvlLbl val="0"/>
      </c:catAx>
      <c:valAx>
        <c:axId val="957152799"/>
        <c:scaling>
          <c:orientation val="minMax"/>
          <c:max val="165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715903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486761523230658E-2"/>
          <c:y val="2.9336256795270348E-2"/>
          <c:w val="0.9241339569395931"/>
          <c:h val="0.67302456836180136"/>
        </c:manualLayout>
      </c:layout>
      <c:barChart>
        <c:barDir val="col"/>
        <c:grouping val="stacked"/>
        <c:varyColors val="0"/>
        <c:ser>
          <c:idx val="0"/>
          <c:order val="0"/>
          <c:tx>
            <c:strRef>
              <c:f>Sheet2!$A$2</c:f>
              <c:strCache>
                <c:ptCount val="1"/>
                <c:pt idx="0">
                  <c:v>Pamatbudžeta izdevumi (miljonos euro)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Sheet2!$B$1:$O$1</c:f>
              <c:strCache>
                <c:ptCount val="14"/>
                <c:pt idx="0">
                  <c:v>VM</c:v>
                </c:pt>
                <c:pt idx="1">
                  <c:v>FM</c:v>
                </c:pt>
                <c:pt idx="2">
                  <c:v>LM</c:v>
                </c:pt>
                <c:pt idx="3">
                  <c:v>ZM</c:v>
                </c:pt>
                <c:pt idx="4">
                  <c:v>AIM</c:v>
                </c:pt>
                <c:pt idx="5">
                  <c:v>SM</c:v>
                </c:pt>
                <c:pt idx="6">
                  <c:v>IEM</c:v>
                </c:pt>
                <c:pt idx="7">
                  <c:v>IZM</c:v>
                </c:pt>
                <c:pt idx="8">
                  <c:v>TM</c:v>
                </c:pt>
                <c:pt idx="9">
                  <c:v>74.res.</c:v>
                </c:pt>
                <c:pt idx="10">
                  <c:v>KM</c:v>
                </c:pt>
                <c:pt idx="11">
                  <c:v>VARAM</c:v>
                </c:pt>
                <c:pt idx="12">
                  <c:v>EM</c:v>
                </c:pt>
                <c:pt idx="13">
                  <c:v>ĀM</c:v>
                </c:pt>
              </c:strCache>
            </c:strRef>
          </c:cat>
          <c:val>
            <c:numRef>
              <c:f>Sheet2!$B$2:$O$2</c:f>
              <c:numCache>
                <c:formatCode>#,##0</c:formatCode>
                <c:ptCount val="14"/>
                <c:pt idx="0">
                  <c:v>1219.2</c:v>
                </c:pt>
                <c:pt idx="1">
                  <c:v>524.6</c:v>
                </c:pt>
                <c:pt idx="2">
                  <c:v>704</c:v>
                </c:pt>
                <c:pt idx="3">
                  <c:v>698.9</c:v>
                </c:pt>
                <c:pt idx="4">
                  <c:v>663.7</c:v>
                </c:pt>
                <c:pt idx="5">
                  <c:v>457.2</c:v>
                </c:pt>
                <c:pt idx="6">
                  <c:v>415</c:v>
                </c:pt>
                <c:pt idx="7">
                  <c:v>404.9</c:v>
                </c:pt>
                <c:pt idx="8">
                  <c:v>263.3</c:v>
                </c:pt>
                <c:pt idx="9">
                  <c:v>184.5</c:v>
                </c:pt>
                <c:pt idx="10">
                  <c:v>180.1</c:v>
                </c:pt>
                <c:pt idx="11">
                  <c:v>104.9</c:v>
                </c:pt>
                <c:pt idx="12">
                  <c:v>104.8</c:v>
                </c:pt>
                <c:pt idx="13">
                  <c:v>64.099999999999994</c:v>
                </c:pt>
              </c:numCache>
            </c:numRef>
          </c:val>
          <c:extLst>
            <c:ext xmlns:c16="http://schemas.microsoft.com/office/drawing/2014/chart" uri="{C3380CC4-5D6E-409C-BE32-E72D297353CC}">
              <c16:uniqueId val="{00000000-3FC7-41EA-9B6D-4C61EC354ACA}"/>
            </c:ext>
          </c:extLst>
        </c:ser>
        <c:ser>
          <c:idx val="1"/>
          <c:order val="1"/>
          <c:tx>
            <c:strRef>
              <c:f>Sheet2!$A$3</c:f>
              <c:strCache>
                <c:ptCount val="1"/>
                <c:pt idx="0">
                  <c:v>Iemaksas starptautiskajās organizācijās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Sheet2!$B$1:$O$1</c:f>
              <c:strCache>
                <c:ptCount val="14"/>
                <c:pt idx="0">
                  <c:v>VM</c:v>
                </c:pt>
                <c:pt idx="1">
                  <c:v>FM</c:v>
                </c:pt>
                <c:pt idx="2">
                  <c:v>LM</c:v>
                </c:pt>
                <c:pt idx="3">
                  <c:v>ZM</c:v>
                </c:pt>
                <c:pt idx="4">
                  <c:v>AIM</c:v>
                </c:pt>
                <c:pt idx="5">
                  <c:v>SM</c:v>
                </c:pt>
                <c:pt idx="6">
                  <c:v>IEM</c:v>
                </c:pt>
                <c:pt idx="7">
                  <c:v>IZM</c:v>
                </c:pt>
                <c:pt idx="8">
                  <c:v>TM</c:v>
                </c:pt>
                <c:pt idx="9">
                  <c:v>74.res.</c:v>
                </c:pt>
                <c:pt idx="10">
                  <c:v>KM</c:v>
                </c:pt>
                <c:pt idx="11">
                  <c:v>VARAM</c:v>
                </c:pt>
                <c:pt idx="12">
                  <c:v>EM</c:v>
                </c:pt>
                <c:pt idx="13">
                  <c:v>ĀM</c:v>
                </c:pt>
              </c:strCache>
            </c:strRef>
          </c:cat>
          <c:val>
            <c:numRef>
              <c:f>Sheet2!$B$3:$O$3</c:f>
              <c:numCache>
                <c:formatCode>0</c:formatCode>
                <c:ptCount val="14"/>
                <c:pt idx="1">
                  <c:v>319.8</c:v>
                </c:pt>
              </c:numCache>
            </c:numRef>
          </c:val>
          <c:extLst>
            <c:ext xmlns:c16="http://schemas.microsoft.com/office/drawing/2014/chart" uri="{C3380CC4-5D6E-409C-BE32-E72D297353CC}">
              <c16:uniqueId val="{00000001-3FC7-41EA-9B6D-4C61EC354ACA}"/>
            </c:ext>
          </c:extLst>
        </c:ser>
        <c:ser>
          <c:idx val="2"/>
          <c:order val="2"/>
          <c:tx>
            <c:strRef>
              <c:f>Sheet2!$A$4</c:f>
              <c:strCache>
                <c:ptCount val="1"/>
                <c:pt idx="0">
                  <c:v>Valsts parāda vadība</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Sheet2!$B$1:$O$1</c:f>
              <c:strCache>
                <c:ptCount val="14"/>
                <c:pt idx="0">
                  <c:v>VM</c:v>
                </c:pt>
                <c:pt idx="1">
                  <c:v>FM</c:v>
                </c:pt>
                <c:pt idx="2">
                  <c:v>LM</c:v>
                </c:pt>
                <c:pt idx="3">
                  <c:v>ZM</c:v>
                </c:pt>
                <c:pt idx="4">
                  <c:v>AIM</c:v>
                </c:pt>
                <c:pt idx="5">
                  <c:v>SM</c:v>
                </c:pt>
                <c:pt idx="6">
                  <c:v>IEM</c:v>
                </c:pt>
                <c:pt idx="7">
                  <c:v>IZM</c:v>
                </c:pt>
                <c:pt idx="8">
                  <c:v>TM</c:v>
                </c:pt>
                <c:pt idx="9">
                  <c:v>74.res.</c:v>
                </c:pt>
                <c:pt idx="10">
                  <c:v>KM</c:v>
                </c:pt>
                <c:pt idx="11">
                  <c:v>VARAM</c:v>
                </c:pt>
                <c:pt idx="12">
                  <c:v>EM</c:v>
                </c:pt>
                <c:pt idx="13">
                  <c:v>ĀM</c:v>
                </c:pt>
              </c:strCache>
            </c:strRef>
          </c:cat>
          <c:val>
            <c:numRef>
              <c:f>Sheet2!$B$4:$O$4</c:f>
              <c:numCache>
                <c:formatCode>0</c:formatCode>
                <c:ptCount val="14"/>
                <c:pt idx="1">
                  <c:v>228.5</c:v>
                </c:pt>
              </c:numCache>
            </c:numRef>
          </c:val>
          <c:extLst>
            <c:ext xmlns:c16="http://schemas.microsoft.com/office/drawing/2014/chart" uri="{C3380CC4-5D6E-409C-BE32-E72D297353CC}">
              <c16:uniqueId val="{00000002-3FC7-41EA-9B6D-4C61EC354ACA}"/>
            </c:ext>
          </c:extLst>
        </c:ser>
        <c:dLbls>
          <c:showLegendKey val="0"/>
          <c:showVal val="0"/>
          <c:showCatName val="0"/>
          <c:showSerName val="0"/>
          <c:showPercent val="0"/>
          <c:showBubbleSize val="0"/>
        </c:dLbls>
        <c:gapWidth val="50"/>
        <c:overlap val="100"/>
        <c:axId val="606457296"/>
        <c:axId val="606448976"/>
      </c:barChart>
      <c:lineChart>
        <c:grouping val="stacked"/>
        <c:varyColors val="0"/>
        <c:ser>
          <c:idx val="3"/>
          <c:order val="3"/>
          <c:tx>
            <c:strRef>
              <c:f>Sheet2!$A$5</c:f>
              <c:strCache>
                <c:ptCount val="1"/>
                <c:pt idx="0">
                  <c:v>Īpatsvars pamatbudžeta kopējos izdevumos</c:v>
                </c:pt>
              </c:strCache>
            </c:strRef>
          </c:tx>
          <c:spPr>
            <a:ln w="28575" cap="rnd">
              <a:noFill/>
              <a:round/>
            </a:ln>
            <a:effectLst/>
          </c:spPr>
          <c:marker>
            <c:symbol val="diamond"/>
            <c:size val="12"/>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Sheet2!$B$1:$O$1</c:f>
              <c:strCache>
                <c:ptCount val="14"/>
                <c:pt idx="0">
                  <c:v>VM</c:v>
                </c:pt>
                <c:pt idx="1">
                  <c:v>FM</c:v>
                </c:pt>
                <c:pt idx="2">
                  <c:v>LM</c:v>
                </c:pt>
                <c:pt idx="3">
                  <c:v>ZM</c:v>
                </c:pt>
                <c:pt idx="4">
                  <c:v>AIM</c:v>
                </c:pt>
                <c:pt idx="5">
                  <c:v>SM</c:v>
                </c:pt>
                <c:pt idx="6">
                  <c:v>IEM</c:v>
                </c:pt>
                <c:pt idx="7">
                  <c:v>IZM</c:v>
                </c:pt>
                <c:pt idx="8">
                  <c:v>TM</c:v>
                </c:pt>
                <c:pt idx="9">
                  <c:v>74.res.</c:v>
                </c:pt>
                <c:pt idx="10">
                  <c:v>KM</c:v>
                </c:pt>
                <c:pt idx="11">
                  <c:v>VARAM</c:v>
                </c:pt>
                <c:pt idx="12">
                  <c:v>EM</c:v>
                </c:pt>
                <c:pt idx="13">
                  <c:v>ĀM</c:v>
                </c:pt>
              </c:strCache>
            </c:strRef>
          </c:cat>
          <c:val>
            <c:numRef>
              <c:f>Sheet2!$B$5:$O$5</c:f>
              <c:numCache>
                <c:formatCode>0.0%</c:formatCode>
                <c:ptCount val="14"/>
                <c:pt idx="0">
                  <c:v>0.18649367560634278</c:v>
                </c:pt>
                <c:pt idx="1">
                  <c:v>0.16411504638947275</c:v>
                </c:pt>
                <c:pt idx="2">
                  <c:v>0.10768663683305882</c:v>
                </c:pt>
                <c:pt idx="3">
                  <c:v>0.10690652057191023</c:v>
                </c:pt>
                <c:pt idx="4">
                  <c:v>0.1015221887302573</c:v>
                </c:pt>
                <c:pt idx="5">
                  <c:v>6.9935128352378542E-2</c:v>
                </c:pt>
                <c:pt idx="6">
                  <c:v>6.3480048701305983E-2</c:v>
                </c:pt>
                <c:pt idx="7">
                  <c:v>6.1935112576286241E-2</c:v>
                </c:pt>
                <c:pt idx="8">
                  <c:v>4.0275414031455098E-2</c:v>
                </c:pt>
                <c:pt idx="9">
                  <c:v>2.8221852976845669E-2</c:v>
                </c:pt>
                <c:pt idx="10">
                  <c:v>2.7548811496639052E-2</c:v>
                </c:pt>
                <c:pt idx="11">
                  <c:v>1.604592074401686E-2</c:v>
                </c:pt>
                <c:pt idx="12">
                  <c:v>1.6030624346739436E-2</c:v>
                </c:pt>
                <c:pt idx="13">
                  <c:v>9.8049906548282242E-3</c:v>
                </c:pt>
              </c:numCache>
            </c:numRef>
          </c:val>
          <c:smooth val="0"/>
          <c:extLst>
            <c:ext xmlns:c16="http://schemas.microsoft.com/office/drawing/2014/chart" uri="{C3380CC4-5D6E-409C-BE32-E72D297353CC}">
              <c16:uniqueId val="{00000003-3FC7-41EA-9B6D-4C61EC354ACA}"/>
            </c:ext>
          </c:extLst>
        </c:ser>
        <c:dLbls>
          <c:showLegendKey val="0"/>
          <c:showVal val="0"/>
          <c:showCatName val="0"/>
          <c:showSerName val="0"/>
          <c:showPercent val="0"/>
          <c:showBubbleSize val="0"/>
        </c:dLbls>
        <c:marker val="1"/>
        <c:smooth val="0"/>
        <c:axId val="397760592"/>
        <c:axId val="397725232"/>
      </c:lineChart>
      <c:catAx>
        <c:axId val="60645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06448976"/>
        <c:crosses val="autoZero"/>
        <c:auto val="1"/>
        <c:lblAlgn val="ctr"/>
        <c:lblOffset val="100"/>
        <c:noMultiLvlLbl val="0"/>
      </c:catAx>
      <c:valAx>
        <c:axId val="606448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06457296"/>
        <c:crosses val="autoZero"/>
        <c:crossBetween val="between"/>
      </c:valAx>
      <c:valAx>
        <c:axId val="39772523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97760592"/>
        <c:crosses val="max"/>
        <c:crossBetween val="between"/>
      </c:valAx>
      <c:catAx>
        <c:axId val="397760592"/>
        <c:scaling>
          <c:orientation val="minMax"/>
        </c:scaling>
        <c:delete val="1"/>
        <c:axPos val="b"/>
        <c:numFmt formatCode="General" sourceLinked="1"/>
        <c:majorTickMark val="out"/>
        <c:minorTickMark val="none"/>
        <c:tickLblPos val="nextTo"/>
        <c:crossAx val="397725232"/>
        <c:crosses val="autoZero"/>
        <c:auto val="1"/>
        <c:lblAlgn val="ctr"/>
        <c:lblOffset val="100"/>
        <c:noMultiLvlLbl val="0"/>
      </c:catAx>
      <c:spPr>
        <a:noFill/>
        <a:ln>
          <a:noFill/>
        </a:ln>
        <a:effectLst/>
      </c:spPr>
    </c:plotArea>
    <c:legend>
      <c:legendPos val="b"/>
      <c:layout>
        <c:manualLayout>
          <c:xMode val="edge"/>
          <c:yMode val="edge"/>
          <c:x val="0"/>
          <c:y val="0.8630978934324659"/>
          <c:w val="0.97949110125979044"/>
          <c:h val="9.621793558333088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userShapes r:id="rId5"/>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IeM_izdevumi_grafiks!$A$12</c:f>
              <c:strCache>
                <c:ptCount val="1"/>
                <c:pt idx="0">
                  <c:v>Pamatfunkcijas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IeM_izdevumi_grafiks!$B$11:$J$11</c:f>
              <c:strCache>
                <c:ptCount val="9"/>
                <c:pt idx="0">
                  <c:v>2014
izpilde</c:v>
                </c:pt>
                <c:pt idx="1">
                  <c:v>2015
izpilde</c:v>
                </c:pt>
                <c:pt idx="2">
                  <c:v>2016
izilde</c:v>
                </c:pt>
                <c:pt idx="3">
                  <c:v>2017
izpilde</c:v>
                </c:pt>
                <c:pt idx="4">
                  <c:v>2018
izpilde</c:v>
                </c:pt>
                <c:pt idx="5">
                  <c:v>2019
izpilde</c:v>
                </c:pt>
                <c:pt idx="6">
                  <c:v>2020
plāns</c:v>
                </c:pt>
                <c:pt idx="7">
                  <c:v>2021
plāns</c:v>
                </c:pt>
                <c:pt idx="8">
                  <c:v>2022
plāns</c:v>
                </c:pt>
              </c:strCache>
            </c:strRef>
          </c:cat>
          <c:val>
            <c:numRef>
              <c:f>IeM_izdevumi_grafiks!$B$12:$J$12</c:f>
              <c:numCache>
                <c:formatCode>#\ ##0.0</c:formatCode>
                <c:ptCount val="9"/>
                <c:pt idx="0">
                  <c:v>261.38174500000008</c:v>
                </c:pt>
                <c:pt idx="1">
                  <c:v>277.90741800000012</c:v>
                </c:pt>
                <c:pt idx="2">
                  <c:v>334.8801669999998</c:v>
                </c:pt>
                <c:pt idx="3">
                  <c:v>381.1660269999997</c:v>
                </c:pt>
                <c:pt idx="4">
                  <c:v>373.66951199999954</c:v>
                </c:pt>
                <c:pt idx="5">
                  <c:v>368.1</c:v>
                </c:pt>
                <c:pt idx="6">
                  <c:v>379.62739099999999</c:v>
                </c:pt>
                <c:pt idx="7">
                  <c:v>373.45080400000001</c:v>
                </c:pt>
                <c:pt idx="8">
                  <c:v>370.03128099999998</c:v>
                </c:pt>
              </c:numCache>
            </c:numRef>
          </c:val>
          <c:extLst>
            <c:ext xmlns:c16="http://schemas.microsoft.com/office/drawing/2014/chart" uri="{C3380CC4-5D6E-409C-BE32-E72D297353CC}">
              <c16:uniqueId val="{00000000-2B96-428E-90FB-35D1FA38B863}"/>
            </c:ext>
          </c:extLst>
        </c:ser>
        <c:ser>
          <c:idx val="1"/>
          <c:order val="1"/>
          <c:tx>
            <c:strRef>
              <c:f>IeM_izdevumi_grafiks!$A$13</c:f>
              <c:strCache>
                <c:ptCount val="1"/>
                <c:pt idx="0">
                  <c:v>Pabalsti pēc katriem 5 nepārtrauktas izdienas gadiem</c:v>
                </c:pt>
              </c:strCache>
            </c:strRef>
          </c:tx>
          <c:spPr>
            <a:solidFill>
              <a:schemeClr val="accent6"/>
            </a:solidFill>
            <a:ln>
              <a:noFill/>
            </a:ln>
            <a:effectLst/>
          </c:spPr>
          <c:invertIfNegative val="0"/>
          <c:dLbls>
            <c:dLbl>
              <c:idx val="5"/>
              <c:tx>
                <c:rich>
                  <a:bodyPr/>
                  <a:lstStyle/>
                  <a:p>
                    <a:r>
                      <a:rPr lang="en-US"/>
                      <a:t>34,2</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96-428E-90FB-35D1FA38B863}"/>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IeM_izdevumi_grafiks!$B$11:$J$11</c:f>
              <c:strCache>
                <c:ptCount val="9"/>
                <c:pt idx="0">
                  <c:v>2014
izpilde</c:v>
                </c:pt>
                <c:pt idx="1">
                  <c:v>2015
izpilde</c:v>
                </c:pt>
                <c:pt idx="2">
                  <c:v>2016
izilde</c:v>
                </c:pt>
                <c:pt idx="3">
                  <c:v>2017
izpilde</c:v>
                </c:pt>
                <c:pt idx="4">
                  <c:v>2018
izpilde</c:v>
                </c:pt>
                <c:pt idx="5">
                  <c:v>2019
izpilde</c:v>
                </c:pt>
                <c:pt idx="6">
                  <c:v>2020
plāns</c:v>
                </c:pt>
                <c:pt idx="7">
                  <c:v>2021
plāns</c:v>
                </c:pt>
                <c:pt idx="8">
                  <c:v>2022
plāns</c:v>
                </c:pt>
              </c:strCache>
            </c:strRef>
          </c:cat>
          <c:val>
            <c:numRef>
              <c:f>IeM_izdevumi_grafiks!$B$13:$J$13</c:f>
              <c:numCache>
                <c:formatCode>General</c:formatCode>
                <c:ptCount val="9"/>
                <c:pt idx="5" formatCode="#\ ##0.0">
                  <c:v>34.200000000000003</c:v>
                </c:pt>
              </c:numCache>
            </c:numRef>
          </c:val>
          <c:extLst>
            <c:ext xmlns:c16="http://schemas.microsoft.com/office/drawing/2014/chart" uri="{C3380CC4-5D6E-409C-BE32-E72D297353CC}">
              <c16:uniqueId val="{00000002-2B96-428E-90FB-35D1FA38B863}"/>
            </c:ext>
          </c:extLst>
        </c:ser>
        <c:ser>
          <c:idx val="2"/>
          <c:order val="2"/>
          <c:tx>
            <c:strRef>
              <c:f>IeM_izdevumi_grafiks!$A$14</c:f>
              <c:strCache>
                <c:ptCount val="1"/>
                <c:pt idx="0">
                  <c:v>Ārvalstu finanšu palīdzība</c:v>
                </c:pt>
              </c:strCache>
            </c:strRef>
          </c:tx>
          <c:spPr>
            <a:solidFill>
              <a:schemeClr val="accent2"/>
            </a:solidFill>
            <a:ln>
              <a:noFill/>
            </a:ln>
            <a:effectLst/>
          </c:spPr>
          <c:invertIfNegative val="0"/>
          <c:dLbls>
            <c:dLbl>
              <c:idx val="0"/>
              <c:layout>
                <c:manualLayout>
                  <c:x val="-2.2048285745783266E-3"/>
                  <c:y val="-7.61711202826395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B96-428E-90FB-35D1FA38B863}"/>
                </c:ext>
              </c:extLst>
            </c:dLbl>
            <c:dLbl>
              <c:idx val="3"/>
              <c:layout>
                <c:manualLayout>
                  <c:x val="0"/>
                  <c:y val="-6.38985555788943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B96-428E-90FB-35D1FA38B863}"/>
                </c:ext>
              </c:extLst>
            </c:dLbl>
            <c:dLbl>
              <c:idx val="4"/>
              <c:layout>
                <c:manualLayout>
                  <c:x val="0"/>
                  <c:y val="-7.12393106593470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96-428E-90FB-35D1FA38B863}"/>
                </c:ext>
              </c:extLst>
            </c:dLbl>
            <c:dLbl>
              <c:idx val="5"/>
              <c:layout>
                <c:manualLayout>
                  <c:x val="-2.2048285745783266E-3"/>
                  <c:y val="-6.2105376698136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B96-428E-90FB-35D1FA38B863}"/>
                </c:ext>
              </c:extLst>
            </c:dLbl>
            <c:dLbl>
              <c:idx val="6"/>
              <c:layout>
                <c:manualLayout>
                  <c:x val="0"/>
                  <c:y val="-7.30056183496169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B96-428E-90FB-35D1FA38B863}"/>
                </c:ext>
              </c:extLst>
            </c:dLbl>
            <c:dLbl>
              <c:idx val="7"/>
              <c:layout>
                <c:manualLayout>
                  <c:x val="-2.2048285745783266E-3"/>
                  <c:y val="-6.59649879741960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B96-428E-90FB-35D1FA38B863}"/>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IeM_izdevumi_grafiks!$B$11:$J$11</c:f>
              <c:strCache>
                <c:ptCount val="9"/>
                <c:pt idx="0">
                  <c:v>2014
izpilde</c:v>
                </c:pt>
                <c:pt idx="1">
                  <c:v>2015
izpilde</c:v>
                </c:pt>
                <c:pt idx="2">
                  <c:v>2016
izilde</c:v>
                </c:pt>
                <c:pt idx="3">
                  <c:v>2017
izpilde</c:v>
                </c:pt>
                <c:pt idx="4">
                  <c:v>2018
izpilde</c:v>
                </c:pt>
                <c:pt idx="5">
                  <c:v>2019
izpilde</c:v>
                </c:pt>
                <c:pt idx="6">
                  <c:v>2020
plāns</c:v>
                </c:pt>
                <c:pt idx="7">
                  <c:v>2021
plāns</c:v>
                </c:pt>
                <c:pt idx="8">
                  <c:v>2022
plāns</c:v>
                </c:pt>
              </c:strCache>
            </c:strRef>
          </c:cat>
          <c:val>
            <c:numRef>
              <c:f>IeM_izdevumi_grafiks!$B$14:$J$14</c:f>
              <c:numCache>
                <c:formatCode>#\ ##0.0</c:formatCode>
                <c:ptCount val="9"/>
                <c:pt idx="0">
                  <c:v>30.781348999999995</c:v>
                </c:pt>
                <c:pt idx="1">
                  <c:v>12.819646999999994</c:v>
                </c:pt>
                <c:pt idx="2">
                  <c:v>15.433386</c:v>
                </c:pt>
                <c:pt idx="3">
                  <c:v>27.658436999999978</c:v>
                </c:pt>
                <c:pt idx="4">
                  <c:v>30.963786000000006</c:v>
                </c:pt>
                <c:pt idx="5">
                  <c:v>30.266412210000009</c:v>
                </c:pt>
                <c:pt idx="6">
                  <c:v>35.385610999999997</c:v>
                </c:pt>
                <c:pt idx="7">
                  <c:v>24.652322000000002</c:v>
                </c:pt>
                <c:pt idx="8">
                  <c:v>15.711368999999999</c:v>
                </c:pt>
              </c:numCache>
            </c:numRef>
          </c:val>
          <c:extLst>
            <c:ext xmlns:c16="http://schemas.microsoft.com/office/drawing/2014/chart" uri="{C3380CC4-5D6E-409C-BE32-E72D297353CC}">
              <c16:uniqueId val="{00000003-2B96-428E-90FB-35D1FA38B863}"/>
            </c:ext>
          </c:extLst>
        </c:ser>
        <c:dLbls>
          <c:dLblPos val="ctr"/>
          <c:showLegendKey val="0"/>
          <c:showVal val="1"/>
          <c:showCatName val="0"/>
          <c:showSerName val="0"/>
          <c:showPercent val="0"/>
          <c:showBubbleSize val="0"/>
        </c:dLbls>
        <c:gapWidth val="65"/>
        <c:overlap val="100"/>
        <c:axId val="1017531456"/>
        <c:axId val="1017541856"/>
      </c:barChart>
      <c:catAx>
        <c:axId val="101753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7541856"/>
        <c:crosses val="autoZero"/>
        <c:auto val="1"/>
        <c:lblAlgn val="ctr"/>
        <c:lblOffset val="100"/>
        <c:noMultiLvlLbl val="0"/>
      </c:catAx>
      <c:valAx>
        <c:axId val="1017541856"/>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753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6"/>
            <c:invertIfNegative val="0"/>
            <c:bubble3D val="0"/>
            <c:spPr>
              <a:solidFill>
                <a:schemeClr val="accent2"/>
              </a:solidFill>
              <a:ln>
                <a:noFill/>
              </a:ln>
              <a:effectLst/>
            </c:spPr>
            <c:extLst>
              <c:ext xmlns:c16="http://schemas.microsoft.com/office/drawing/2014/chart" uri="{C3380CC4-5D6E-409C-BE32-E72D297353CC}">
                <c16:uniqueId val="{00000001-9C94-4573-9F5A-20657C7798D4}"/>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'ministriju budžeta neizpilde 19'!$A$19:$A$31</c:f>
              <c:strCache>
                <c:ptCount val="13"/>
                <c:pt idx="0">
                  <c:v>VARAM</c:v>
                </c:pt>
                <c:pt idx="1">
                  <c:v>EM</c:v>
                </c:pt>
                <c:pt idx="2">
                  <c:v>SM</c:v>
                </c:pt>
                <c:pt idx="3">
                  <c:v>IZM</c:v>
                </c:pt>
                <c:pt idx="4">
                  <c:v>TM</c:v>
                </c:pt>
                <c:pt idx="5">
                  <c:v>ĀM</c:v>
                </c:pt>
                <c:pt idx="6">
                  <c:v>IeM</c:v>
                </c:pt>
                <c:pt idx="7">
                  <c:v>KM</c:v>
                </c:pt>
                <c:pt idx="8">
                  <c:v>ZM</c:v>
                </c:pt>
                <c:pt idx="9">
                  <c:v>AiM</c:v>
                </c:pt>
                <c:pt idx="10">
                  <c:v>FM</c:v>
                </c:pt>
                <c:pt idx="11">
                  <c:v>LM</c:v>
                </c:pt>
                <c:pt idx="12">
                  <c:v>VM</c:v>
                </c:pt>
              </c:strCache>
            </c:strRef>
          </c:cat>
          <c:val>
            <c:numRef>
              <c:f>'ministriju budžeta neizpilde 19'!$B$19:$B$31</c:f>
              <c:numCache>
                <c:formatCode>0.0%</c:formatCode>
                <c:ptCount val="13"/>
                <c:pt idx="0">
                  <c:v>0.18417474295483632</c:v>
                </c:pt>
                <c:pt idx="1">
                  <c:v>8.5892838542732969E-2</c:v>
                </c:pt>
                <c:pt idx="2">
                  <c:v>5.3621691602019121E-2</c:v>
                </c:pt>
                <c:pt idx="3">
                  <c:v>5.1100884507921822E-2</c:v>
                </c:pt>
                <c:pt idx="4">
                  <c:v>3.3937233600854974E-2</c:v>
                </c:pt>
                <c:pt idx="5">
                  <c:v>3.0393214348068878E-2</c:v>
                </c:pt>
                <c:pt idx="6">
                  <c:v>2.2385172359850929E-2</c:v>
                </c:pt>
                <c:pt idx="7">
                  <c:v>1.4942056831219696E-2</c:v>
                </c:pt>
                <c:pt idx="8">
                  <c:v>9.204471709045264E-3</c:v>
                </c:pt>
                <c:pt idx="9">
                  <c:v>7.7821575349476535E-3</c:v>
                </c:pt>
                <c:pt idx="10">
                  <c:v>6.5905939397062534E-3</c:v>
                </c:pt>
                <c:pt idx="11">
                  <c:v>5.1519878865095622E-3</c:v>
                </c:pt>
                <c:pt idx="12">
                  <c:v>2.7285376425173133E-3</c:v>
                </c:pt>
              </c:numCache>
            </c:numRef>
          </c:val>
          <c:extLst>
            <c:ext xmlns:c16="http://schemas.microsoft.com/office/drawing/2014/chart" uri="{C3380CC4-5D6E-409C-BE32-E72D297353CC}">
              <c16:uniqueId val="{00000002-9C94-4573-9F5A-20657C7798D4}"/>
            </c:ext>
          </c:extLst>
        </c:ser>
        <c:dLbls>
          <c:dLblPos val="ctr"/>
          <c:showLegendKey val="0"/>
          <c:showVal val="1"/>
          <c:showCatName val="0"/>
          <c:showSerName val="0"/>
          <c:showPercent val="0"/>
          <c:showBubbleSize val="0"/>
        </c:dLbls>
        <c:gapWidth val="40"/>
        <c:overlap val="-27"/>
        <c:axId val="1564926608"/>
        <c:axId val="1564927440"/>
      </c:barChart>
      <c:catAx>
        <c:axId val="156492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64927440"/>
        <c:crosses val="autoZero"/>
        <c:auto val="1"/>
        <c:lblAlgn val="ctr"/>
        <c:lblOffset val="100"/>
        <c:noMultiLvlLbl val="0"/>
      </c:catAx>
      <c:valAx>
        <c:axId val="15649274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64926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6AC-4E4A-A3DE-0DD8120BEDC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6AC-4E4A-A3DE-0DD8120BEDC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6AC-4E4A-A3DE-0DD8120BEDC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6AC-4E4A-A3DE-0DD8120BEDC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6AC-4E4A-A3DE-0DD8120BEDC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6AC-4E4A-A3DE-0DD8120BEDC3}"/>
              </c:ext>
            </c:extLst>
          </c:dPt>
          <c:dLbls>
            <c:dLbl>
              <c:idx val="4"/>
              <c:layout>
                <c:manualLayout>
                  <c:x val="4.7553984195624925E-3"/>
                  <c:y val="-2.673886942897419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6AC-4E4A-A3DE-0DD8120BEDC3}"/>
                </c:ext>
              </c:extLst>
            </c:dLbl>
            <c:dLbl>
              <c:idx val="5"/>
              <c:layout>
                <c:manualLayout>
                  <c:x val="0.16522699421069684"/>
                  <c:y val="0.23422130565587634"/>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6AC-4E4A-A3DE-0DD8120BEDC3}"/>
                </c:ext>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Sheet2!$E$3:$E$8</c:f>
              <c:strCache>
                <c:ptCount val="6"/>
                <c:pt idx="0">
                  <c:v>Policija</c:v>
                </c:pt>
                <c:pt idx="1">
                  <c:v>Robežsardze</c:v>
                </c:pt>
                <c:pt idx="2">
                  <c:v>Ugunsdrošības, ugunsdzēsības, glābšanas un civilās drošības dienesti</c:v>
                </c:pt>
                <c:pt idx="3">
                  <c:v>Pilsonības un migrācijas lietas</c:v>
                </c:pt>
                <c:pt idx="4">
                  <c:v>Veselība</c:v>
                </c:pt>
                <c:pt idx="5">
                  <c:v>Pārējā sabiedriskā kārtība un drošība, sociālā aizsardzība</c:v>
                </c:pt>
              </c:strCache>
            </c:strRef>
          </c:cat>
          <c:val>
            <c:numRef>
              <c:f>Sheet2!$F$3:$F$8</c:f>
              <c:numCache>
                <c:formatCode>#\ ##0.0</c:formatCode>
                <c:ptCount val="6"/>
                <c:pt idx="0">
                  <c:v>183.87677099999999</c:v>
                </c:pt>
                <c:pt idx="1">
                  <c:v>69.591723000000002</c:v>
                </c:pt>
                <c:pt idx="2">
                  <c:v>53.109009</c:v>
                </c:pt>
                <c:pt idx="3">
                  <c:v>18.181201000000001</c:v>
                </c:pt>
                <c:pt idx="4">
                  <c:v>5.288964</c:v>
                </c:pt>
                <c:pt idx="5">
                  <c:v>94.600202999999993</c:v>
                </c:pt>
              </c:numCache>
            </c:numRef>
          </c:val>
          <c:extLst>
            <c:ext xmlns:c16="http://schemas.microsoft.com/office/drawing/2014/chart" uri="{C3380CC4-5D6E-409C-BE32-E72D297353CC}">
              <c16:uniqueId val="{0000000C-76AC-4E4A-A3DE-0DD8120BEDC3}"/>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449276689251053E-2"/>
          <c:y val="3.7319762510602206E-2"/>
          <c:w val="0.83854330708661406"/>
          <c:h val="0.70568438487173835"/>
        </c:manualLayout>
      </c:layout>
      <c:barChart>
        <c:barDir val="col"/>
        <c:grouping val="clustered"/>
        <c:varyColors val="0"/>
        <c:ser>
          <c:idx val="0"/>
          <c:order val="0"/>
          <c:tx>
            <c:strRef>
              <c:f>Data!$B$12</c:f>
              <c:strCache>
                <c:ptCount val="1"/>
                <c:pt idx="0">
                  <c:v>Izdevumi policijai</c:v>
                </c:pt>
              </c:strCache>
            </c:strRef>
          </c:tx>
          <c:spPr>
            <a:solidFill>
              <a:schemeClr val="accent6"/>
            </a:solidFill>
            <a:ln w="6350" cap="flat" cmpd="sng" algn="ctr">
              <a:noFill/>
              <a:prstDash val="solid"/>
              <a:miter lim="800000"/>
            </a:ln>
            <a:effectLst/>
          </c:spPr>
          <c:invertIfNegative val="0"/>
          <c:dPt>
            <c:idx val="1"/>
            <c:invertIfNegative val="0"/>
            <c:bubble3D val="0"/>
            <c:extLst>
              <c:ext xmlns:c16="http://schemas.microsoft.com/office/drawing/2014/chart" uri="{C3380CC4-5D6E-409C-BE32-E72D297353CC}">
                <c16:uniqueId val="{00000000-2DAA-44C4-90C8-B888285AAF61}"/>
              </c:ext>
            </c:extLst>
          </c:dPt>
          <c:dPt>
            <c:idx val="2"/>
            <c:invertIfNegative val="0"/>
            <c:bubble3D val="0"/>
            <c:spPr>
              <a:solidFill>
                <a:schemeClr val="accent2"/>
              </a:solidFill>
              <a:ln w="6350" cap="flat" cmpd="sng" algn="ctr">
                <a:noFill/>
                <a:prstDash val="solid"/>
                <a:miter lim="800000"/>
              </a:ln>
              <a:effectLst/>
            </c:spPr>
            <c:extLst>
              <c:ext xmlns:c16="http://schemas.microsoft.com/office/drawing/2014/chart" uri="{C3380CC4-5D6E-409C-BE32-E72D297353CC}">
                <c16:uniqueId val="{00000002-2DAA-44C4-90C8-B888285AAF61}"/>
              </c:ext>
            </c:extLst>
          </c:dPt>
          <c:dPt>
            <c:idx val="5"/>
            <c:invertIfNegative val="0"/>
            <c:bubble3D val="0"/>
            <c:extLst>
              <c:ext xmlns:c16="http://schemas.microsoft.com/office/drawing/2014/chart" uri="{C3380CC4-5D6E-409C-BE32-E72D297353CC}">
                <c16:uniqueId val="{00000003-2DAA-44C4-90C8-B888285AAF61}"/>
              </c:ext>
            </c:extLst>
          </c:dPt>
          <c:dPt>
            <c:idx val="7"/>
            <c:invertIfNegative val="0"/>
            <c:bubble3D val="0"/>
            <c:spPr>
              <a:solidFill>
                <a:schemeClr val="accent1"/>
              </a:solidFill>
              <a:ln w="6350" cap="flat" cmpd="sng" algn="ctr">
                <a:noFill/>
                <a:prstDash val="solid"/>
                <a:miter lim="800000"/>
              </a:ln>
              <a:effectLst/>
            </c:spPr>
            <c:extLst>
              <c:ext xmlns:c16="http://schemas.microsoft.com/office/drawing/2014/chart" uri="{C3380CC4-5D6E-409C-BE32-E72D297353CC}">
                <c16:uniqueId val="{00000005-2DAA-44C4-90C8-B888285AAF61}"/>
              </c:ext>
            </c:extLst>
          </c:dPt>
          <c:dPt>
            <c:idx val="10"/>
            <c:invertIfNegative val="0"/>
            <c:bubble3D val="0"/>
            <c:extLst>
              <c:ext xmlns:c16="http://schemas.microsoft.com/office/drawing/2014/chart" uri="{C3380CC4-5D6E-409C-BE32-E72D297353CC}">
                <c16:uniqueId val="{00000006-2DAA-44C4-90C8-B888285AAF61}"/>
              </c:ext>
            </c:extLst>
          </c:dPt>
          <c:dPt>
            <c:idx val="16"/>
            <c:invertIfNegative val="0"/>
            <c:bubble3D val="0"/>
            <c:extLst>
              <c:ext xmlns:c16="http://schemas.microsoft.com/office/drawing/2014/chart" uri="{C3380CC4-5D6E-409C-BE32-E72D297353CC}">
                <c16:uniqueId val="{00000007-2DAA-44C4-90C8-B888285AAF61}"/>
              </c:ext>
            </c:extLst>
          </c:dPt>
          <c:dPt>
            <c:idx val="17"/>
            <c:invertIfNegative val="0"/>
            <c:bubble3D val="0"/>
            <c:spPr>
              <a:solidFill>
                <a:schemeClr val="accent4"/>
              </a:solidFill>
              <a:ln w="6350" cap="flat" cmpd="sng" algn="ctr">
                <a:noFill/>
                <a:prstDash val="solid"/>
                <a:miter lim="800000"/>
              </a:ln>
              <a:effectLst/>
            </c:spPr>
            <c:extLst>
              <c:ext xmlns:c16="http://schemas.microsoft.com/office/drawing/2014/chart" uri="{C3380CC4-5D6E-409C-BE32-E72D297353CC}">
                <c16:uniqueId val="{00000009-2DAA-44C4-90C8-B888285AAF61}"/>
              </c:ext>
            </c:extLst>
          </c:dPt>
          <c:dPt>
            <c:idx val="20"/>
            <c:invertIfNegative val="0"/>
            <c:bubble3D val="0"/>
            <c:extLst>
              <c:ext xmlns:c16="http://schemas.microsoft.com/office/drawing/2014/chart" uri="{C3380CC4-5D6E-409C-BE32-E72D297353CC}">
                <c16:uniqueId val="{0000000A-2DAA-44C4-90C8-B888285AAF61}"/>
              </c:ext>
            </c:extLst>
          </c:dPt>
          <c:dLbls>
            <c:dLbl>
              <c:idx val="5"/>
              <c:layout>
                <c:manualLayout>
                  <c:x val="-0.12028261002258439"/>
                  <c:y val="0.31149861121728722"/>
                </c:manualLayout>
              </c:layout>
              <c:tx>
                <c:rich>
                  <a:bodyPr/>
                  <a:lstStyle/>
                  <a:p>
                    <a:pPr>
                      <a:defRPr sz="1050" b="1" i="0" u="none" strike="noStrike" baseline="0">
                        <a:solidFill>
                          <a:srgbClr val="000000"/>
                        </a:solidFill>
                        <a:latin typeface="Times New Roman"/>
                        <a:ea typeface="Times New Roman"/>
                        <a:cs typeface="Times New Roman"/>
                      </a:defRPr>
                    </a:pPr>
                    <a:r>
                      <a:rPr lang="en-US"/>
                      <a:t>3,1</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AA-44C4-90C8-B888285AAF61}"/>
                </c:ext>
              </c:extLst>
            </c:dLbl>
            <c:dLbl>
              <c:idx val="10"/>
              <c:layout>
                <c:manualLayout>
                  <c:x val="0.2810077519379845"/>
                  <c:y val="0.37733149861121718"/>
                </c:manualLayout>
              </c:layout>
              <c:tx>
                <c:rich>
                  <a:bodyPr/>
                  <a:lstStyle/>
                  <a:p>
                    <a:pPr>
                      <a:defRPr sz="1050" b="1" i="0" u="none" strike="noStrike" baseline="0">
                        <a:solidFill>
                          <a:srgbClr val="000000"/>
                        </a:solidFill>
                        <a:latin typeface="Times New Roman"/>
                        <a:ea typeface="Times New Roman"/>
                        <a:cs typeface="Times New Roman"/>
                      </a:defRPr>
                    </a:pPr>
                    <a:r>
                      <a:rPr lang="en-US"/>
                      <a:t>1,6</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AA-44C4-90C8-B888285AAF6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Data!$A$13:$A$33</c:f>
              <c:strCache>
                <c:ptCount val="21"/>
                <c:pt idx="0">
                  <c:v>Bulgārija</c:v>
                </c:pt>
                <c:pt idx="1">
                  <c:v>Rumānija</c:v>
                </c:pt>
                <c:pt idx="2">
                  <c:v>Latvija</c:v>
                </c:pt>
                <c:pt idx="3">
                  <c:v>Kipra</c:v>
                </c:pt>
                <c:pt idx="4">
                  <c:v>Ungārija</c:v>
                </c:pt>
                <c:pt idx="5">
                  <c:v>Grieķija</c:v>
                </c:pt>
                <c:pt idx="6">
                  <c:v>Spānija</c:v>
                </c:pt>
                <c:pt idx="7">
                  <c:v>Igaunija</c:v>
                </c:pt>
                <c:pt idx="8">
                  <c:v>Polija</c:v>
                </c:pt>
                <c:pt idx="9">
                  <c:v>Slovākija</c:v>
                </c:pt>
                <c:pt idx="10">
                  <c:v>Čehija</c:v>
                </c:pt>
                <c:pt idx="11">
                  <c:v>Itālija</c:v>
                </c:pt>
                <c:pt idx="12">
                  <c:v>Portugāle</c:v>
                </c:pt>
                <c:pt idx="13">
                  <c:v>Malta</c:v>
                </c:pt>
                <c:pt idx="14">
                  <c:v>Slovēnija</c:v>
                </c:pt>
                <c:pt idx="15">
                  <c:v>Francija</c:v>
                </c:pt>
                <c:pt idx="16">
                  <c:v>Vācija</c:v>
                </c:pt>
                <c:pt idx="17">
                  <c:v>Lietuva</c:v>
                </c:pt>
                <c:pt idx="18">
                  <c:v>Austrija</c:v>
                </c:pt>
                <c:pt idx="19">
                  <c:v>Zviedrija</c:v>
                </c:pt>
                <c:pt idx="20">
                  <c:v>Somija</c:v>
                </c:pt>
              </c:strCache>
            </c:strRef>
          </c:cat>
          <c:val>
            <c:numRef>
              <c:f>Data!$B$13:$B$33</c:f>
              <c:numCache>
                <c:formatCode>#\ ##0.0</c:formatCode>
                <c:ptCount val="21"/>
                <c:pt idx="0">
                  <c:v>3.3</c:v>
                </c:pt>
                <c:pt idx="1">
                  <c:v>3.2</c:v>
                </c:pt>
                <c:pt idx="2">
                  <c:v>3.1</c:v>
                </c:pt>
                <c:pt idx="3">
                  <c:v>3</c:v>
                </c:pt>
                <c:pt idx="4">
                  <c:v>3</c:v>
                </c:pt>
                <c:pt idx="5">
                  <c:v>2.8</c:v>
                </c:pt>
                <c:pt idx="6">
                  <c:v>2.8</c:v>
                </c:pt>
                <c:pt idx="7">
                  <c:v>2.7</c:v>
                </c:pt>
                <c:pt idx="8">
                  <c:v>2.6</c:v>
                </c:pt>
                <c:pt idx="9">
                  <c:v>2.5</c:v>
                </c:pt>
                <c:pt idx="10">
                  <c:v>2.4</c:v>
                </c:pt>
                <c:pt idx="11">
                  <c:v>2.2999999999999998</c:v>
                </c:pt>
                <c:pt idx="12">
                  <c:v>2.2000000000000002</c:v>
                </c:pt>
                <c:pt idx="13">
                  <c:v>2</c:v>
                </c:pt>
                <c:pt idx="14">
                  <c:v>1.7</c:v>
                </c:pt>
                <c:pt idx="15">
                  <c:v>1.7</c:v>
                </c:pt>
                <c:pt idx="16">
                  <c:v>1.7</c:v>
                </c:pt>
                <c:pt idx="17">
                  <c:v>1.5</c:v>
                </c:pt>
                <c:pt idx="18">
                  <c:v>1.4</c:v>
                </c:pt>
                <c:pt idx="19">
                  <c:v>1.2</c:v>
                </c:pt>
                <c:pt idx="20">
                  <c:v>0.9</c:v>
                </c:pt>
              </c:numCache>
            </c:numRef>
          </c:val>
          <c:extLst>
            <c:ext xmlns:c16="http://schemas.microsoft.com/office/drawing/2014/chart" uri="{C3380CC4-5D6E-409C-BE32-E72D297353CC}">
              <c16:uniqueId val="{0000000B-2DAA-44C4-90C8-B888285AAF61}"/>
            </c:ext>
          </c:extLst>
        </c:ser>
        <c:dLbls>
          <c:showLegendKey val="0"/>
          <c:showVal val="0"/>
          <c:showCatName val="0"/>
          <c:showSerName val="0"/>
          <c:showPercent val="0"/>
          <c:showBubbleSize val="0"/>
        </c:dLbls>
        <c:gapWidth val="61"/>
        <c:overlap val="-27"/>
        <c:axId val="884610880"/>
        <c:axId val="1"/>
      </c:barChart>
      <c:lineChart>
        <c:grouping val="standard"/>
        <c:varyColors val="0"/>
        <c:ser>
          <c:idx val="1"/>
          <c:order val="1"/>
          <c:tx>
            <c:strRef>
              <c:f>Data!$C$12</c:f>
              <c:strCache>
                <c:ptCount val="1"/>
                <c:pt idx="0">
                  <c:v>ES vidēji</c:v>
                </c:pt>
              </c:strCache>
            </c:strRef>
          </c:tx>
          <c:spPr>
            <a:ln w="28575" cap="rnd">
              <a:solidFill>
                <a:srgbClr val="FF0000"/>
              </a:solidFill>
              <a:prstDash val="dash"/>
              <a:round/>
            </a:ln>
            <a:effectLst/>
          </c:spPr>
          <c:marker>
            <c:symbol val="none"/>
          </c:marker>
          <c:cat>
            <c:strRef>
              <c:f>Data!$A$13:$A$33</c:f>
              <c:strCache>
                <c:ptCount val="21"/>
                <c:pt idx="0">
                  <c:v>Bulgārija</c:v>
                </c:pt>
                <c:pt idx="1">
                  <c:v>Rumānija</c:v>
                </c:pt>
                <c:pt idx="2">
                  <c:v>Latvija</c:v>
                </c:pt>
                <c:pt idx="3">
                  <c:v>Kipra</c:v>
                </c:pt>
                <c:pt idx="4">
                  <c:v>Ungārija</c:v>
                </c:pt>
                <c:pt idx="5">
                  <c:v>Grieķija</c:v>
                </c:pt>
                <c:pt idx="6">
                  <c:v>Spānija</c:v>
                </c:pt>
                <c:pt idx="7">
                  <c:v>Igaunija</c:v>
                </c:pt>
                <c:pt idx="8">
                  <c:v>Polija</c:v>
                </c:pt>
                <c:pt idx="9">
                  <c:v>Slovākija</c:v>
                </c:pt>
                <c:pt idx="10">
                  <c:v>Čehija</c:v>
                </c:pt>
                <c:pt idx="11">
                  <c:v>Itālija</c:v>
                </c:pt>
                <c:pt idx="12">
                  <c:v>Portugāle</c:v>
                </c:pt>
                <c:pt idx="13">
                  <c:v>Malta</c:v>
                </c:pt>
                <c:pt idx="14">
                  <c:v>Slovēnija</c:v>
                </c:pt>
                <c:pt idx="15">
                  <c:v>Francija</c:v>
                </c:pt>
                <c:pt idx="16">
                  <c:v>Vācija</c:v>
                </c:pt>
                <c:pt idx="17">
                  <c:v>Lietuva</c:v>
                </c:pt>
                <c:pt idx="18">
                  <c:v>Austrija</c:v>
                </c:pt>
                <c:pt idx="19">
                  <c:v>Zviedrija</c:v>
                </c:pt>
                <c:pt idx="20">
                  <c:v>Somija</c:v>
                </c:pt>
              </c:strCache>
            </c:strRef>
          </c:cat>
          <c:val>
            <c:numRef>
              <c:f>Data!$C$13:$C$33</c:f>
              <c:numCache>
                <c:formatCode>#\ ##0.0</c:formatCode>
                <c:ptCount val="21"/>
                <c:pt idx="0">
                  <c:v>1.9</c:v>
                </c:pt>
                <c:pt idx="1">
                  <c:v>1.9</c:v>
                </c:pt>
                <c:pt idx="2">
                  <c:v>1.9</c:v>
                </c:pt>
                <c:pt idx="3">
                  <c:v>1.9</c:v>
                </c:pt>
                <c:pt idx="4">
                  <c:v>1.9</c:v>
                </c:pt>
                <c:pt idx="5">
                  <c:v>1.9</c:v>
                </c:pt>
                <c:pt idx="6">
                  <c:v>1.9</c:v>
                </c:pt>
                <c:pt idx="7">
                  <c:v>1.9</c:v>
                </c:pt>
                <c:pt idx="8">
                  <c:v>1.9</c:v>
                </c:pt>
                <c:pt idx="9">
                  <c:v>1.9</c:v>
                </c:pt>
                <c:pt idx="10">
                  <c:v>1.9</c:v>
                </c:pt>
                <c:pt idx="11">
                  <c:v>1.9</c:v>
                </c:pt>
                <c:pt idx="12">
                  <c:v>1.9</c:v>
                </c:pt>
                <c:pt idx="13">
                  <c:v>1.9</c:v>
                </c:pt>
                <c:pt idx="14">
                  <c:v>1.9</c:v>
                </c:pt>
                <c:pt idx="15">
                  <c:v>1.9</c:v>
                </c:pt>
                <c:pt idx="16">
                  <c:v>1.9</c:v>
                </c:pt>
                <c:pt idx="17">
                  <c:v>1.9</c:v>
                </c:pt>
                <c:pt idx="18">
                  <c:v>1.9</c:v>
                </c:pt>
                <c:pt idx="19">
                  <c:v>1.9</c:v>
                </c:pt>
                <c:pt idx="20">
                  <c:v>1.9</c:v>
                </c:pt>
              </c:numCache>
            </c:numRef>
          </c:val>
          <c:smooth val="0"/>
          <c:extLst>
            <c:ext xmlns:c16="http://schemas.microsoft.com/office/drawing/2014/chart" uri="{C3380CC4-5D6E-409C-BE32-E72D297353CC}">
              <c16:uniqueId val="{0000000C-2DAA-44C4-90C8-B888285AAF61}"/>
            </c:ext>
          </c:extLst>
        </c:ser>
        <c:dLbls>
          <c:showLegendKey val="0"/>
          <c:showVal val="0"/>
          <c:showCatName val="0"/>
          <c:showSerName val="0"/>
          <c:showPercent val="0"/>
          <c:showBubbleSize val="0"/>
        </c:dLbls>
        <c:marker val="1"/>
        <c:smooth val="0"/>
        <c:axId val="884610880"/>
        <c:axId val="1"/>
      </c:lineChart>
      <c:lineChart>
        <c:grouping val="standard"/>
        <c:varyColors val="0"/>
        <c:ser>
          <c:idx val="2"/>
          <c:order val="2"/>
          <c:tx>
            <c:strRef>
              <c:f>Data!$D$12</c:f>
              <c:strCache>
                <c:ptCount val="1"/>
                <c:pt idx="0">
                  <c:v>Policistu skaits uz 100 000 iedzīvotājiem</c:v>
                </c:pt>
              </c:strCache>
            </c:strRef>
          </c:tx>
          <c:spPr>
            <a:ln w="19050">
              <a:noFill/>
            </a:ln>
          </c:spPr>
          <c:marker>
            <c:symbol val="circle"/>
            <c:size val="5"/>
            <c:spPr>
              <a:solidFill>
                <a:srgbClr val="0070C0"/>
              </a:solidFill>
              <a:ln w="25400" cap="sq">
                <a:solidFill>
                  <a:srgbClr val="0070C0"/>
                </a:solidFill>
                <a:bevel/>
              </a:ln>
              <a:effectLst/>
            </c:spPr>
          </c:marker>
          <c:dLbls>
            <c:dLbl>
              <c:idx val="5"/>
              <c:layout>
                <c:manualLayout>
                  <c:x val="-0.12317530379084966"/>
                  <c:y val="9.0819681132330882E-2"/>
                </c:manualLayout>
              </c:layout>
              <c:tx>
                <c:rich>
                  <a:bodyPr/>
                  <a:lstStyle/>
                  <a:p>
                    <a:pPr>
                      <a:defRPr sz="1050" b="1" i="0" u="none" strike="noStrike" baseline="0">
                        <a:solidFill>
                          <a:srgbClr val="000000"/>
                        </a:solidFill>
                        <a:latin typeface="Times New Roman"/>
                        <a:ea typeface="Times New Roman"/>
                        <a:cs typeface="Times New Roman"/>
                      </a:defRPr>
                    </a:pPr>
                    <a:r>
                      <a:rPr lang="en-US"/>
                      <a:t>416</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15:layout>
                    <c:manualLayout>
                      <c:w val="4.7975675760789829E-2"/>
                      <c:h val="4.2254059493087644E-2"/>
                    </c:manualLayout>
                  </c15:layout>
                </c:ext>
                <c:ext xmlns:c16="http://schemas.microsoft.com/office/drawing/2014/chart" uri="{C3380CC4-5D6E-409C-BE32-E72D297353CC}">
                  <c16:uniqueId val="{0000000D-2DAA-44C4-90C8-B888285AAF61}"/>
                </c:ext>
              </c:extLst>
            </c:dLbl>
            <c:dLbl>
              <c:idx val="10"/>
              <c:layout>
                <c:manualLayout>
                  <c:x val="0.27714241249514238"/>
                  <c:y val="9.9039699249363108E-2"/>
                </c:manualLayout>
              </c:layout>
              <c:tx>
                <c:rich>
                  <a:bodyPr/>
                  <a:lstStyle/>
                  <a:p>
                    <a:pPr>
                      <a:defRPr sz="1050" b="1" i="0" u="none" strike="noStrike" baseline="0">
                        <a:solidFill>
                          <a:srgbClr val="000000"/>
                        </a:solidFill>
                        <a:latin typeface="Times New Roman"/>
                        <a:ea typeface="Times New Roman"/>
                        <a:cs typeface="Times New Roman"/>
                      </a:defRPr>
                    </a:pPr>
                    <a:r>
                      <a:rPr lang="en-US"/>
                      <a:t>294</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DAA-44C4-90C8-B888285AAF6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Data!$A$13:$A$33</c:f>
              <c:strCache>
                <c:ptCount val="21"/>
                <c:pt idx="0">
                  <c:v>Bulgārija</c:v>
                </c:pt>
                <c:pt idx="1">
                  <c:v>Rumānija</c:v>
                </c:pt>
                <c:pt idx="2">
                  <c:v>Latvija</c:v>
                </c:pt>
                <c:pt idx="3">
                  <c:v>Kipra</c:v>
                </c:pt>
                <c:pt idx="4">
                  <c:v>Ungārija</c:v>
                </c:pt>
                <c:pt idx="5">
                  <c:v>Grieķija</c:v>
                </c:pt>
                <c:pt idx="6">
                  <c:v>Spānija</c:v>
                </c:pt>
                <c:pt idx="7">
                  <c:v>Igaunija</c:v>
                </c:pt>
                <c:pt idx="8">
                  <c:v>Polija</c:v>
                </c:pt>
                <c:pt idx="9">
                  <c:v>Slovākija</c:v>
                </c:pt>
                <c:pt idx="10">
                  <c:v>Čehija</c:v>
                </c:pt>
                <c:pt idx="11">
                  <c:v>Itālija</c:v>
                </c:pt>
                <c:pt idx="12">
                  <c:v>Portugāle</c:v>
                </c:pt>
                <c:pt idx="13">
                  <c:v>Malta</c:v>
                </c:pt>
                <c:pt idx="14">
                  <c:v>Slovēnija</c:v>
                </c:pt>
                <c:pt idx="15">
                  <c:v>Francija</c:v>
                </c:pt>
                <c:pt idx="16">
                  <c:v>Vācija</c:v>
                </c:pt>
                <c:pt idx="17">
                  <c:v>Lietuva</c:v>
                </c:pt>
                <c:pt idx="18">
                  <c:v>Austrija</c:v>
                </c:pt>
                <c:pt idx="19">
                  <c:v>Zviedrija</c:v>
                </c:pt>
                <c:pt idx="20">
                  <c:v>Somija</c:v>
                </c:pt>
              </c:strCache>
            </c:strRef>
          </c:cat>
          <c:val>
            <c:numRef>
              <c:f>Data!$D$13:$D$33</c:f>
              <c:numCache>
                <c:formatCode>#,##0</c:formatCode>
                <c:ptCount val="21"/>
                <c:pt idx="0">
                  <c:v>408</c:v>
                </c:pt>
                <c:pt idx="1">
                  <c:v>256</c:v>
                </c:pt>
                <c:pt idx="2">
                  <c:v>416</c:v>
                </c:pt>
                <c:pt idx="3">
                  <c:v>570</c:v>
                </c:pt>
                <c:pt idx="4">
                  <c:v>403</c:v>
                </c:pt>
                <c:pt idx="5">
                  <c:v>495</c:v>
                </c:pt>
                <c:pt idx="6">
                  <c:v>363</c:v>
                </c:pt>
                <c:pt idx="7">
                  <c:v>295</c:v>
                </c:pt>
                <c:pt idx="8">
                  <c:v>260</c:v>
                </c:pt>
                <c:pt idx="9">
                  <c:v>403</c:v>
                </c:pt>
                <c:pt idx="10">
                  <c:v>377</c:v>
                </c:pt>
                <c:pt idx="11">
                  <c:v>453</c:v>
                </c:pt>
                <c:pt idx="12">
                  <c:v>451</c:v>
                </c:pt>
                <c:pt idx="13">
                  <c:v>481</c:v>
                </c:pt>
                <c:pt idx="14">
                  <c:v>343</c:v>
                </c:pt>
                <c:pt idx="15">
                  <c:v>329</c:v>
                </c:pt>
                <c:pt idx="16">
                  <c:v>296</c:v>
                </c:pt>
                <c:pt idx="17">
                  <c:v>294</c:v>
                </c:pt>
                <c:pt idx="18">
                  <c:v>343</c:v>
                </c:pt>
                <c:pt idx="19">
                  <c:v>198</c:v>
                </c:pt>
                <c:pt idx="20">
                  <c:v>139</c:v>
                </c:pt>
              </c:numCache>
            </c:numRef>
          </c:val>
          <c:smooth val="0"/>
          <c:extLst>
            <c:ext xmlns:c16="http://schemas.microsoft.com/office/drawing/2014/chart" uri="{C3380CC4-5D6E-409C-BE32-E72D297353CC}">
              <c16:uniqueId val="{0000000F-2DAA-44C4-90C8-B888285AAF61}"/>
            </c:ext>
          </c:extLst>
        </c:ser>
        <c:dLbls>
          <c:showLegendKey val="0"/>
          <c:showVal val="0"/>
          <c:showCatName val="0"/>
          <c:showSerName val="0"/>
          <c:showPercent val="0"/>
          <c:showBubbleSize val="0"/>
        </c:dLbls>
        <c:marker val="1"/>
        <c:smooth val="0"/>
        <c:axId val="3"/>
        <c:axId val="4"/>
      </c:lineChart>
      <c:catAx>
        <c:axId val="88461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800" b="0" i="0" u="none" strike="noStrike" baseline="0">
                <a:solidFill>
                  <a:sysClr val="windowText" lastClr="000000"/>
                </a:solidFill>
                <a:latin typeface="Times New Roman" panose="02020603050405020304" pitchFamily="18" charset="0"/>
                <a:ea typeface="Tahoma"/>
                <a:cs typeface="Times New Roman" panose="02020603050405020304" pitchFamily="18" charset="0"/>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ysClr val="windowText" lastClr="000000"/>
                    </a:solidFill>
                    <a:latin typeface="Times New Roman" panose="02020603050405020304" pitchFamily="18" charset="0"/>
                    <a:ea typeface="Tahoma"/>
                    <a:cs typeface="Times New Roman" panose="02020603050405020304" pitchFamily="18" charset="0"/>
                  </a:defRPr>
                </a:pPr>
                <a:r>
                  <a:rPr lang="lv-LV" sz="1000">
                    <a:solidFill>
                      <a:sysClr val="windowText" lastClr="000000"/>
                    </a:solidFill>
                    <a:latin typeface="Times New Roman" panose="02020603050405020304" pitchFamily="18" charset="0"/>
                    <a:cs typeface="Times New Roman" panose="02020603050405020304" pitchFamily="18" charset="0"/>
                  </a:rPr>
                  <a:t>Izdevumi % no kopējiem izdevumiem</a:t>
                </a:r>
              </a:p>
            </c:rich>
          </c:tx>
          <c:layout>
            <c:manualLayout>
              <c:xMode val="edge"/>
              <c:yMode val="edge"/>
              <c:x val="1.5503875968992248E-2"/>
              <c:y val="0.12084897784723475"/>
            </c:manualLayout>
          </c:layout>
          <c:overlay val="0"/>
          <c:spPr>
            <a:noFill/>
            <a:ln w="25400">
              <a:noFill/>
            </a:ln>
          </c:spPr>
        </c:title>
        <c:numFmt formatCode="#\ ##0.0" sourceLinked="1"/>
        <c:majorTickMark val="none"/>
        <c:minorTickMark val="none"/>
        <c:tickLblPos val="nextTo"/>
        <c:spPr>
          <a:ln w="6350">
            <a:noFill/>
          </a:ln>
        </c:spPr>
        <c:txPr>
          <a:bodyPr rot="0" vert="horz"/>
          <a:lstStyle/>
          <a:p>
            <a:pPr>
              <a:defRPr sz="800" b="0" i="0" u="none" strike="noStrike" baseline="0">
                <a:solidFill>
                  <a:srgbClr val="000000"/>
                </a:solidFill>
                <a:latin typeface="Times New Roman" panose="02020603050405020304" pitchFamily="18" charset="0"/>
                <a:ea typeface="Tahoma"/>
                <a:cs typeface="Times New Roman" panose="02020603050405020304" pitchFamily="18" charset="0"/>
              </a:defRPr>
            </a:pPr>
            <a:endParaRPr lang="lv-LV"/>
          </a:p>
        </c:txPr>
        <c:crossAx val="884610880"/>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0" i="0" u="none" strike="noStrike" baseline="0">
                    <a:solidFill>
                      <a:srgbClr val="000000"/>
                    </a:solidFill>
                    <a:latin typeface="Times New Roman" panose="02020603050405020304" pitchFamily="18" charset="0"/>
                    <a:ea typeface="Tahoma"/>
                    <a:cs typeface="Times New Roman" panose="02020603050405020304" pitchFamily="18" charset="0"/>
                  </a:defRPr>
                </a:pPr>
                <a:r>
                  <a:rPr lang="lv-LV" sz="1000">
                    <a:latin typeface="Times New Roman" panose="02020603050405020304" pitchFamily="18" charset="0"/>
                    <a:cs typeface="Times New Roman" panose="02020603050405020304" pitchFamily="18" charset="0"/>
                  </a:rPr>
                  <a:t>Policisti uz 100 000 iedzīvotāju</a:t>
                </a:r>
              </a:p>
            </c:rich>
          </c:tx>
          <c:overlay val="0"/>
          <c:spPr>
            <a:noFill/>
            <a:ln w="25400">
              <a:noFill/>
            </a:ln>
          </c:spPr>
        </c:title>
        <c:numFmt formatCode="#,##0" sourceLinked="1"/>
        <c:majorTickMark val="out"/>
        <c:minorTickMark val="none"/>
        <c:tickLblPos val="nextTo"/>
        <c:spPr>
          <a:ln w="6350">
            <a:noFill/>
          </a:ln>
        </c:spPr>
        <c:txPr>
          <a:bodyPr rot="0" vert="horz"/>
          <a:lstStyle/>
          <a:p>
            <a:pPr>
              <a:defRPr sz="800" b="0" i="0" u="none" strike="noStrike" baseline="0">
                <a:solidFill>
                  <a:srgbClr val="000000"/>
                </a:solidFill>
                <a:latin typeface="Times New Roman" panose="02020603050405020304" pitchFamily="18" charset="0"/>
                <a:ea typeface="Tahoma"/>
                <a:cs typeface="Times New Roman" panose="02020603050405020304" pitchFamily="18" charset="0"/>
              </a:defRPr>
            </a:pPr>
            <a:endParaRPr lang="lv-LV"/>
          </a:p>
        </c:txPr>
        <c:crossAx val="3"/>
        <c:crosses val="max"/>
        <c:crossBetween val="between"/>
      </c:valAx>
      <c:spPr>
        <a:noFill/>
        <a:ln w="25400">
          <a:noFill/>
        </a:ln>
      </c:spPr>
    </c:plotArea>
    <c:legend>
      <c:legendPos val="b"/>
      <c:layout>
        <c:manualLayout>
          <c:xMode val="edge"/>
          <c:yMode val="edge"/>
          <c:x val="9.4586625023762666E-2"/>
          <c:y val="0.91266766422150336"/>
          <c:w val="0.79350667387784235"/>
          <c:h val="4.8620645720255845E-2"/>
        </c:manualLayout>
      </c:layout>
      <c:overlay val="0"/>
      <c:spPr>
        <a:noFill/>
        <a:ln w="25400">
          <a:noFill/>
        </a:ln>
      </c:spPr>
      <c:txPr>
        <a:bodyPr/>
        <a:lstStyle/>
        <a:p>
          <a:pPr>
            <a:defRPr sz="1000" b="0" i="0" u="none" strike="noStrike" baseline="0">
              <a:solidFill>
                <a:sysClr val="windowText" lastClr="000000"/>
              </a:solidFill>
              <a:latin typeface="Times New Roman" panose="02020603050405020304" pitchFamily="18" charset="0"/>
              <a:ea typeface="Tahom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lgn="just">
        <a:defRPr sz="1000" b="0" i="0" u="none" strike="noStrike" baseline="0">
          <a:solidFill>
            <a:srgbClr val="000000"/>
          </a:solidFill>
          <a:latin typeface="Times New Roman"/>
          <a:ea typeface="Times New Roman"/>
          <a:cs typeface="Times New Roman"/>
        </a:defRPr>
      </a:pPr>
      <a:endParaRPr lang="lv-LV"/>
    </a:p>
  </c:txPr>
  <c:externalData r:id="rId1">
    <c:autoUpdate val="0"/>
  </c:externalData>
  <c:userShapes r:id="rId2"/>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'06.01.00'!$F$1</c:f>
              <c:strCache>
                <c:ptCount val="1"/>
                <c:pt idx="0">
                  <c:v>plāns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'06.01.00'!$E$2:$E$6</c:f>
              <c:numCache>
                <c:formatCode>General</c:formatCode>
                <c:ptCount val="5"/>
                <c:pt idx="0">
                  <c:v>2015</c:v>
                </c:pt>
                <c:pt idx="1">
                  <c:v>2016</c:v>
                </c:pt>
                <c:pt idx="2">
                  <c:v>2017</c:v>
                </c:pt>
                <c:pt idx="3">
                  <c:v>2018</c:v>
                </c:pt>
                <c:pt idx="4">
                  <c:v>2019</c:v>
                </c:pt>
              </c:numCache>
            </c:numRef>
          </c:cat>
          <c:val>
            <c:numRef>
              <c:f>'06.01.00'!$F$2:$F$6</c:f>
              <c:numCache>
                <c:formatCode>#\ ##0.0</c:formatCode>
                <c:ptCount val="5"/>
                <c:pt idx="0">
                  <c:v>113.741693</c:v>
                </c:pt>
                <c:pt idx="1">
                  <c:v>129.59846200000001</c:v>
                </c:pt>
                <c:pt idx="2">
                  <c:v>149.539277</c:v>
                </c:pt>
                <c:pt idx="3">
                  <c:v>151.74673899999999</c:v>
                </c:pt>
                <c:pt idx="4">
                  <c:v>171.192216</c:v>
                </c:pt>
              </c:numCache>
            </c:numRef>
          </c:val>
          <c:extLst>
            <c:ext xmlns:c16="http://schemas.microsoft.com/office/drawing/2014/chart" uri="{C3380CC4-5D6E-409C-BE32-E72D297353CC}">
              <c16:uniqueId val="{00000000-3135-4DF8-8A13-70D58019960B}"/>
            </c:ext>
          </c:extLst>
        </c:ser>
        <c:ser>
          <c:idx val="1"/>
          <c:order val="1"/>
          <c:tx>
            <c:strRef>
              <c:f>'06.01.00'!$G$1</c:f>
              <c:strCache>
                <c:ptCount val="1"/>
                <c:pt idx="0">
                  <c:v>izpilde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'06.01.00'!$E$2:$E$6</c:f>
              <c:numCache>
                <c:formatCode>General</c:formatCode>
                <c:ptCount val="5"/>
                <c:pt idx="0">
                  <c:v>2015</c:v>
                </c:pt>
                <c:pt idx="1">
                  <c:v>2016</c:v>
                </c:pt>
                <c:pt idx="2">
                  <c:v>2017</c:v>
                </c:pt>
                <c:pt idx="3">
                  <c:v>2018</c:v>
                </c:pt>
                <c:pt idx="4">
                  <c:v>2019</c:v>
                </c:pt>
              </c:numCache>
            </c:numRef>
          </c:cat>
          <c:val>
            <c:numRef>
              <c:f>'06.01.00'!$G$2:$G$6</c:f>
              <c:numCache>
                <c:formatCode>#\ ##0.0</c:formatCode>
                <c:ptCount val="5"/>
                <c:pt idx="0">
                  <c:v>111.9119050000001</c:v>
                </c:pt>
                <c:pt idx="1">
                  <c:v>127.88015199999995</c:v>
                </c:pt>
                <c:pt idx="2">
                  <c:v>147.93194800000001</c:v>
                </c:pt>
                <c:pt idx="3">
                  <c:v>149.95849899999973</c:v>
                </c:pt>
                <c:pt idx="4">
                  <c:v>149.5</c:v>
                </c:pt>
              </c:numCache>
            </c:numRef>
          </c:val>
          <c:extLst>
            <c:ext xmlns:c16="http://schemas.microsoft.com/office/drawing/2014/chart" uri="{C3380CC4-5D6E-409C-BE32-E72D297353CC}">
              <c16:uniqueId val="{00000001-3135-4DF8-8A13-70D58019960B}"/>
            </c:ext>
          </c:extLst>
        </c:ser>
        <c:dLbls>
          <c:dLblPos val="ctr"/>
          <c:showLegendKey val="0"/>
          <c:showVal val="1"/>
          <c:showCatName val="0"/>
          <c:showSerName val="0"/>
          <c:showPercent val="0"/>
          <c:showBubbleSize val="0"/>
        </c:dLbls>
        <c:gapWidth val="40"/>
        <c:overlap val="-27"/>
        <c:axId val="872993744"/>
        <c:axId val="873004144"/>
      </c:barChart>
      <c:catAx>
        <c:axId val="87299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3004144"/>
        <c:crosses val="autoZero"/>
        <c:auto val="1"/>
        <c:lblAlgn val="ctr"/>
        <c:lblOffset val="100"/>
        <c:noMultiLvlLbl val="0"/>
      </c:catAx>
      <c:valAx>
        <c:axId val="873004144"/>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2993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'VP 06.01.00'!$O$1</c:f>
              <c:strCache>
                <c:ptCount val="1"/>
                <c:pt idx="0">
                  <c:v>VP darbinieku skaits (VP gada pārskatu dati)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'VP 06.01.00'!$N$2:$N$6</c:f>
              <c:numCache>
                <c:formatCode>General</c:formatCode>
                <c:ptCount val="5"/>
                <c:pt idx="0">
                  <c:v>2015</c:v>
                </c:pt>
                <c:pt idx="1">
                  <c:v>2016</c:v>
                </c:pt>
                <c:pt idx="2">
                  <c:v>2017</c:v>
                </c:pt>
                <c:pt idx="3">
                  <c:v>2018</c:v>
                </c:pt>
                <c:pt idx="4">
                  <c:v>2019</c:v>
                </c:pt>
              </c:numCache>
            </c:numRef>
          </c:cat>
          <c:val>
            <c:numRef>
              <c:f>'VP 06.01.00'!$O$2:$O$6</c:f>
              <c:numCache>
                <c:formatCode>#,##0</c:formatCode>
                <c:ptCount val="5"/>
                <c:pt idx="0">
                  <c:v>7841</c:v>
                </c:pt>
                <c:pt idx="1">
                  <c:v>7829</c:v>
                </c:pt>
                <c:pt idx="2">
                  <c:v>7840</c:v>
                </c:pt>
                <c:pt idx="3">
                  <c:v>7836</c:v>
                </c:pt>
              </c:numCache>
            </c:numRef>
          </c:val>
          <c:extLst>
            <c:ext xmlns:c16="http://schemas.microsoft.com/office/drawing/2014/chart" uri="{C3380CC4-5D6E-409C-BE32-E72D297353CC}">
              <c16:uniqueId val="{00000000-A627-42B9-B85B-D4736F6CE794}"/>
            </c:ext>
          </c:extLst>
        </c:ser>
        <c:dLbls>
          <c:showLegendKey val="0"/>
          <c:showVal val="0"/>
          <c:showCatName val="0"/>
          <c:showSerName val="0"/>
          <c:showPercent val="0"/>
          <c:showBubbleSize val="0"/>
        </c:dLbls>
        <c:gapWidth val="150"/>
        <c:axId val="1322816960"/>
        <c:axId val="1322820704"/>
      </c:barChart>
      <c:lineChart>
        <c:grouping val="standard"/>
        <c:varyColors val="0"/>
        <c:ser>
          <c:idx val="1"/>
          <c:order val="1"/>
          <c:tx>
            <c:strRef>
              <c:f>'VP 06.01.00'!$P$1</c:f>
              <c:strCache>
                <c:ptCount val="1"/>
                <c:pt idx="0">
                  <c:v>Izdevumi apakšprogrammā 06.01.00 Atlīdzība (milj. euro)</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'VP 06.01.00'!$N$2:$N$6</c:f>
              <c:numCache>
                <c:formatCode>General</c:formatCode>
                <c:ptCount val="5"/>
                <c:pt idx="0">
                  <c:v>2015</c:v>
                </c:pt>
                <c:pt idx="1">
                  <c:v>2016</c:v>
                </c:pt>
                <c:pt idx="2">
                  <c:v>2017</c:v>
                </c:pt>
                <c:pt idx="3">
                  <c:v>2018</c:v>
                </c:pt>
                <c:pt idx="4">
                  <c:v>2019</c:v>
                </c:pt>
              </c:numCache>
            </c:numRef>
          </c:cat>
          <c:val>
            <c:numRef>
              <c:f>'VP 06.01.00'!$P$2:$P$6</c:f>
              <c:numCache>
                <c:formatCode>0.0</c:formatCode>
                <c:ptCount val="5"/>
                <c:pt idx="0">
                  <c:v>88.446384000000052</c:v>
                </c:pt>
                <c:pt idx="1">
                  <c:v>102.637884</c:v>
                </c:pt>
                <c:pt idx="2">
                  <c:v>119.74129200000004</c:v>
                </c:pt>
                <c:pt idx="3">
                  <c:v>120.26288500000001</c:v>
                </c:pt>
                <c:pt idx="4">
                  <c:v>138.58540174000001</c:v>
                </c:pt>
              </c:numCache>
            </c:numRef>
          </c:val>
          <c:smooth val="0"/>
          <c:extLst>
            <c:ext xmlns:c16="http://schemas.microsoft.com/office/drawing/2014/chart" uri="{C3380CC4-5D6E-409C-BE32-E72D297353CC}">
              <c16:uniqueId val="{00000001-A627-42B9-B85B-D4736F6CE794}"/>
            </c:ext>
          </c:extLst>
        </c:ser>
        <c:dLbls>
          <c:showLegendKey val="0"/>
          <c:showVal val="0"/>
          <c:showCatName val="0"/>
          <c:showSerName val="0"/>
          <c:showPercent val="0"/>
          <c:showBubbleSize val="0"/>
        </c:dLbls>
        <c:marker val="1"/>
        <c:smooth val="0"/>
        <c:axId val="1322826944"/>
        <c:axId val="1322825696"/>
      </c:lineChart>
      <c:catAx>
        <c:axId val="132281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2820704"/>
        <c:crosses val="autoZero"/>
        <c:auto val="1"/>
        <c:lblAlgn val="ctr"/>
        <c:lblOffset val="100"/>
        <c:noMultiLvlLbl val="0"/>
      </c:catAx>
      <c:valAx>
        <c:axId val="1322820704"/>
        <c:scaling>
          <c:orientation val="minMax"/>
          <c:max val="8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2816960"/>
        <c:crosses val="autoZero"/>
        <c:crossBetween val="between"/>
      </c:valAx>
      <c:valAx>
        <c:axId val="1322825696"/>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2826944"/>
        <c:crosses val="max"/>
        <c:crossBetween val="between"/>
      </c:valAx>
      <c:catAx>
        <c:axId val="1322826944"/>
        <c:scaling>
          <c:orientation val="minMax"/>
        </c:scaling>
        <c:delete val="1"/>
        <c:axPos val="b"/>
        <c:numFmt formatCode="General" sourceLinked="1"/>
        <c:majorTickMark val="none"/>
        <c:minorTickMark val="none"/>
        <c:tickLblPos val="nextTo"/>
        <c:crossAx val="132282569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'VP 06.01.00'!$B$11</c:f>
              <c:strCache>
                <c:ptCount val="1"/>
                <c:pt idx="0">
                  <c:v>Izdevumi apakšprogrammā 06.01.00 (milj. euro)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'VP 06.01.00'!$A$12:$A$16</c:f>
              <c:numCache>
                <c:formatCode>General</c:formatCode>
                <c:ptCount val="5"/>
                <c:pt idx="0">
                  <c:v>2015</c:v>
                </c:pt>
                <c:pt idx="1">
                  <c:v>2016</c:v>
                </c:pt>
                <c:pt idx="2">
                  <c:v>2017</c:v>
                </c:pt>
                <c:pt idx="3">
                  <c:v>2018</c:v>
                </c:pt>
                <c:pt idx="4">
                  <c:v>2019</c:v>
                </c:pt>
              </c:numCache>
            </c:numRef>
          </c:cat>
          <c:val>
            <c:numRef>
              <c:f>'VP 06.01.00'!$B$12:$B$16</c:f>
              <c:numCache>
                <c:formatCode>0.0</c:formatCode>
                <c:ptCount val="5"/>
                <c:pt idx="0">
                  <c:v>111.91190500000008</c:v>
                </c:pt>
                <c:pt idx="1">
                  <c:v>127.88015199999995</c:v>
                </c:pt>
                <c:pt idx="2">
                  <c:v>147.93194800000001</c:v>
                </c:pt>
                <c:pt idx="3">
                  <c:v>149.95849899999973</c:v>
                </c:pt>
                <c:pt idx="4">
                  <c:v>169.48511901000026</c:v>
                </c:pt>
              </c:numCache>
            </c:numRef>
          </c:val>
          <c:extLst>
            <c:ext xmlns:c16="http://schemas.microsoft.com/office/drawing/2014/chart" uri="{C3380CC4-5D6E-409C-BE32-E72D297353CC}">
              <c16:uniqueId val="{00000000-0D15-4145-92BA-8B343C8E9223}"/>
            </c:ext>
          </c:extLst>
        </c:ser>
        <c:dLbls>
          <c:dLblPos val="ctr"/>
          <c:showLegendKey val="0"/>
          <c:showVal val="1"/>
          <c:showCatName val="0"/>
          <c:showSerName val="0"/>
          <c:showPercent val="0"/>
          <c:showBubbleSize val="0"/>
        </c:dLbls>
        <c:gapWidth val="150"/>
        <c:axId val="1268593328"/>
        <c:axId val="1268584176"/>
      </c:barChart>
      <c:lineChart>
        <c:grouping val="standard"/>
        <c:varyColors val="0"/>
        <c:ser>
          <c:idx val="1"/>
          <c:order val="1"/>
          <c:tx>
            <c:strRef>
              <c:f>'VP 06.01.00'!$C$11</c:f>
              <c:strCache>
                <c:ptCount val="1"/>
                <c:pt idx="0">
                  <c:v>Noziedzīgo nodarījumu skaits (tūkst.)</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'VP 06.01.00'!$A$12:$A$16</c:f>
              <c:numCache>
                <c:formatCode>General</c:formatCode>
                <c:ptCount val="5"/>
                <c:pt idx="0">
                  <c:v>2015</c:v>
                </c:pt>
                <c:pt idx="1">
                  <c:v>2016</c:v>
                </c:pt>
                <c:pt idx="2">
                  <c:v>2017</c:v>
                </c:pt>
                <c:pt idx="3">
                  <c:v>2018</c:v>
                </c:pt>
                <c:pt idx="4">
                  <c:v>2019</c:v>
                </c:pt>
              </c:numCache>
            </c:numRef>
          </c:cat>
          <c:val>
            <c:numRef>
              <c:f>'VP 06.01.00'!$C$12:$C$16</c:f>
              <c:numCache>
                <c:formatCode>0.0</c:formatCode>
                <c:ptCount val="5"/>
                <c:pt idx="0">
                  <c:v>47.405999999999999</c:v>
                </c:pt>
                <c:pt idx="1">
                  <c:v>45.639000000000003</c:v>
                </c:pt>
                <c:pt idx="2">
                  <c:v>44.25</c:v>
                </c:pt>
                <c:pt idx="3">
                  <c:v>43.26</c:v>
                </c:pt>
                <c:pt idx="4">
                  <c:v>39.905999999999999</c:v>
                </c:pt>
              </c:numCache>
            </c:numRef>
          </c:val>
          <c:smooth val="0"/>
          <c:extLst>
            <c:ext xmlns:c16="http://schemas.microsoft.com/office/drawing/2014/chart" uri="{C3380CC4-5D6E-409C-BE32-E72D297353CC}">
              <c16:uniqueId val="{00000001-0D15-4145-92BA-8B343C8E9223}"/>
            </c:ext>
          </c:extLst>
        </c:ser>
        <c:ser>
          <c:idx val="2"/>
          <c:order val="2"/>
          <c:tx>
            <c:strRef>
              <c:f>'VP 06.01.00'!$D$11</c:f>
              <c:strCache>
                <c:ptCount val="1"/>
                <c:pt idx="0">
                  <c:v>Izpildītas ekspertīzes (tūkst.)</c:v>
                </c:pt>
              </c:strCache>
            </c:strRef>
          </c:tx>
          <c:spPr>
            <a:ln w="28575" cap="rnd">
              <a:solidFill>
                <a:schemeClr val="accent6"/>
              </a:solidFill>
              <a:round/>
            </a:ln>
            <a:effectLst/>
          </c:spPr>
          <c:marker>
            <c:symbol val="none"/>
          </c:marker>
          <c:dPt>
            <c:idx val="1"/>
            <c:marker>
              <c:symbol val="none"/>
            </c:marker>
            <c:bubble3D val="0"/>
            <c:extLst>
              <c:ext xmlns:c16="http://schemas.microsoft.com/office/drawing/2014/chart" uri="{C3380CC4-5D6E-409C-BE32-E72D297353CC}">
                <c16:uniqueId val="{00000002-0D15-4145-92BA-8B343C8E922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'VP 06.01.00'!$A$12:$A$16</c:f>
              <c:numCache>
                <c:formatCode>General</c:formatCode>
                <c:ptCount val="5"/>
                <c:pt idx="0">
                  <c:v>2015</c:v>
                </c:pt>
                <c:pt idx="1">
                  <c:v>2016</c:v>
                </c:pt>
                <c:pt idx="2">
                  <c:v>2017</c:v>
                </c:pt>
                <c:pt idx="3">
                  <c:v>2018</c:v>
                </c:pt>
                <c:pt idx="4">
                  <c:v>2019</c:v>
                </c:pt>
              </c:numCache>
            </c:numRef>
          </c:cat>
          <c:val>
            <c:numRef>
              <c:f>'VP 06.01.00'!$D$12:$D$16</c:f>
              <c:numCache>
                <c:formatCode>0.0</c:formatCode>
                <c:ptCount val="5"/>
                <c:pt idx="0">
                  <c:v>17.989000000000001</c:v>
                </c:pt>
                <c:pt idx="1">
                  <c:v>16.850000000000001</c:v>
                </c:pt>
                <c:pt idx="2">
                  <c:v>12.164999999999999</c:v>
                </c:pt>
                <c:pt idx="3">
                  <c:v>10.853</c:v>
                </c:pt>
                <c:pt idx="4">
                  <c:v>11.478999999999999</c:v>
                </c:pt>
              </c:numCache>
            </c:numRef>
          </c:val>
          <c:smooth val="0"/>
          <c:extLst>
            <c:ext xmlns:c16="http://schemas.microsoft.com/office/drawing/2014/chart" uri="{C3380CC4-5D6E-409C-BE32-E72D297353CC}">
              <c16:uniqueId val="{00000003-0D15-4145-92BA-8B343C8E9223}"/>
            </c:ext>
          </c:extLst>
        </c:ser>
        <c:dLbls>
          <c:dLblPos val="ctr"/>
          <c:showLegendKey val="0"/>
          <c:showVal val="1"/>
          <c:showCatName val="0"/>
          <c:showSerName val="0"/>
          <c:showPercent val="0"/>
          <c:showBubbleSize val="0"/>
        </c:dLbls>
        <c:marker val="1"/>
        <c:smooth val="0"/>
        <c:axId val="1268587088"/>
        <c:axId val="1268594992"/>
      </c:lineChart>
      <c:catAx>
        <c:axId val="1268593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68584176"/>
        <c:crosses val="autoZero"/>
        <c:auto val="1"/>
        <c:lblAlgn val="ctr"/>
        <c:lblOffset val="100"/>
        <c:noMultiLvlLbl val="0"/>
      </c:catAx>
      <c:valAx>
        <c:axId val="1268584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68593328"/>
        <c:crosses val="autoZero"/>
        <c:crossBetween val="between"/>
      </c:valAx>
      <c:valAx>
        <c:axId val="1268594992"/>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68587088"/>
        <c:crosses val="max"/>
        <c:crossBetween val="between"/>
      </c:valAx>
      <c:catAx>
        <c:axId val="1268587088"/>
        <c:scaling>
          <c:orientation val="minMax"/>
        </c:scaling>
        <c:delete val="1"/>
        <c:axPos val="b"/>
        <c:numFmt formatCode="General" sourceLinked="1"/>
        <c:majorTickMark val="none"/>
        <c:minorTickMark val="none"/>
        <c:tickLblPos val="nextTo"/>
        <c:crossAx val="1268594992"/>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'ugunsgrēki_glābš&amp;ROBEŽS_PĀRB'!$C$29</c:f>
              <c:strCache>
                <c:ptCount val="1"/>
                <c:pt idx="0">
                  <c:v>Izdevumi robežsardzei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'ugunsgrēki_glābš&amp;ROBEŽS_PĀRB'!$D$28:$J$28</c:f>
              <c:strCache>
                <c:ptCount val="7"/>
                <c:pt idx="0">
                  <c:v>2014</c:v>
                </c:pt>
                <c:pt idx="1">
                  <c:v>2015</c:v>
                </c:pt>
                <c:pt idx="2">
                  <c:v>2016</c:v>
                </c:pt>
                <c:pt idx="3">
                  <c:v>2017</c:v>
                </c:pt>
                <c:pt idx="4">
                  <c:v>2018</c:v>
                </c:pt>
                <c:pt idx="5">
                  <c:v>2019</c:v>
                </c:pt>
                <c:pt idx="6">
                  <c:v>2020 (plāns)</c:v>
                </c:pt>
              </c:strCache>
            </c:strRef>
          </c:cat>
          <c:val>
            <c:numRef>
              <c:f>'ugunsgrēki_glābš&amp;ROBEŽS_PĀRB'!$D$29:$J$29</c:f>
              <c:numCache>
                <c:formatCode>#\ ##0.0</c:formatCode>
                <c:ptCount val="7"/>
                <c:pt idx="0">
                  <c:v>40.38740700000001</c:v>
                </c:pt>
                <c:pt idx="1">
                  <c:v>43.867443000000002</c:v>
                </c:pt>
                <c:pt idx="2">
                  <c:v>50.708260000000045</c:v>
                </c:pt>
                <c:pt idx="3">
                  <c:v>67.189039999999991</c:v>
                </c:pt>
                <c:pt idx="4">
                  <c:v>63.467655999999991</c:v>
                </c:pt>
                <c:pt idx="5">
                  <c:v>74.745283129999933</c:v>
                </c:pt>
                <c:pt idx="6">
                  <c:v>68.795507000000001</c:v>
                </c:pt>
              </c:numCache>
            </c:numRef>
          </c:val>
          <c:extLst>
            <c:ext xmlns:c16="http://schemas.microsoft.com/office/drawing/2014/chart" uri="{C3380CC4-5D6E-409C-BE32-E72D297353CC}">
              <c16:uniqueId val="{00000000-B656-44C6-8FD8-22393BAD8E1B}"/>
            </c:ext>
          </c:extLst>
        </c:ser>
        <c:dLbls>
          <c:dLblPos val="inBase"/>
          <c:showLegendKey val="0"/>
          <c:showVal val="1"/>
          <c:showCatName val="0"/>
          <c:showSerName val="0"/>
          <c:showPercent val="0"/>
          <c:showBubbleSize val="0"/>
        </c:dLbls>
        <c:gapWidth val="101"/>
        <c:overlap val="-27"/>
        <c:axId val="1571238959"/>
        <c:axId val="1571257263"/>
      </c:barChart>
      <c:lineChart>
        <c:grouping val="stacked"/>
        <c:varyColors val="0"/>
        <c:ser>
          <c:idx val="1"/>
          <c:order val="1"/>
          <c:tx>
            <c:strRef>
              <c:f>'ugunsgrēki_glābš&amp;ROBEŽS_PĀRB'!$C$30</c:f>
              <c:strCache>
                <c:ptCount val="1"/>
                <c:pt idx="0">
                  <c:v>Robežpārbaužu skaits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'ugunsgrēki_glābš&amp;ROBEŽS_PĀRB'!$D$28:$J$28</c:f>
              <c:strCache>
                <c:ptCount val="7"/>
                <c:pt idx="0">
                  <c:v>2014</c:v>
                </c:pt>
                <c:pt idx="1">
                  <c:v>2015</c:v>
                </c:pt>
                <c:pt idx="2">
                  <c:v>2016</c:v>
                </c:pt>
                <c:pt idx="3">
                  <c:v>2017</c:v>
                </c:pt>
                <c:pt idx="4">
                  <c:v>2018</c:v>
                </c:pt>
                <c:pt idx="5">
                  <c:v>2019</c:v>
                </c:pt>
                <c:pt idx="6">
                  <c:v>2020 (plāns)</c:v>
                </c:pt>
              </c:strCache>
            </c:strRef>
          </c:cat>
          <c:val>
            <c:numRef>
              <c:f>'ugunsgrēki_glābš&amp;ROBEŽS_PĀRB'!$D$30:$J$30</c:f>
              <c:numCache>
                <c:formatCode>General</c:formatCode>
                <c:ptCount val="7"/>
                <c:pt idx="0">
                  <c:v>5.9</c:v>
                </c:pt>
                <c:pt idx="1">
                  <c:v>5.0999999999999996</c:v>
                </c:pt>
                <c:pt idx="2">
                  <c:v>5.4</c:v>
                </c:pt>
                <c:pt idx="3">
                  <c:v>5.8</c:v>
                </c:pt>
                <c:pt idx="4">
                  <c:v>6.2</c:v>
                </c:pt>
                <c:pt idx="5" formatCode="0.0">
                  <c:v>6.389608</c:v>
                </c:pt>
                <c:pt idx="6" formatCode="0.0">
                  <c:v>6.3360000000000003</c:v>
                </c:pt>
              </c:numCache>
            </c:numRef>
          </c:val>
          <c:smooth val="0"/>
          <c:extLst>
            <c:ext xmlns:c16="http://schemas.microsoft.com/office/drawing/2014/chart" uri="{C3380CC4-5D6E-409C-BE32-E72D297353CC}">
              <c16:uniqueId val="{00000001-B656-44C6-8FD8-22393BAD8E1B}"/>
            </c:ext>
          </c:extLst>
        </c:ser>
        <c:dLbls>
          <c:showLegendKey val="0"/>
          <c:showVal val="1"/>
          <c:showCatName val="0"/>
          <c:showSerName val="0"/>
          <c:showPercent val="0"/>
          <c:showBubbleSize val="0"/>
        </c:dLbls>
        <c:marker val="1"/>
        <c:smooth val="0"/>
        <c:axId val="1571231887"/>
        <c:axId val="1571243535"/>
      </c:lineChart>
      <c:catAx>
        <c:axId val="1571238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71257263"/>
        <c:crosses val="autoZero"/>
        <c:auto val="1"/>
        <c:lblAlgn val="ctr"/>
        <c:lblOffset val="100"/>
        <c:noMultiLvlLbl val="0"/>
      </c:catAx>
      <c:valAx>
        <c:axId val="15712572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Izdevumi, milj. euro</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71238959"/>
        <c:crosses val="autoZero"/>
        <c:crossBetween val="between"/>
      </c:valAx>
      <c:valAx>
        <c:axId val="1571243535"/>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Skaits, milj.</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71231887"/>
        <c:crosses val="max"/>
        <c:crossBetween val="between"/>
        <c:majorUnit val="2"/>
      </c:valAx>
      <c:catAx>
        <c:axId val="1571231887"/>
        <c:scaling>
          <c:orientation val="minMax"/>
        </c:scaling>
        <c:delete val="1"/>
        <c:axPos val="b"/>
        <c:numFmt formatCode="General" sourceLinked="1"/>
        <c:majorTickMark val="out"/>
        <c:minorTickMark val="none"/>
        <c:tickLblPos val="nextTo"/>
        <c:crossAx val="1571243535"/>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Statistika!$B$17</c:f>
              <c:strCache>
                <c:ptCount val="1"/>
                <c:pt idx="0">
                  <c:v>Programmu skaits</c:v>
                </c:pt>
              </c:strCache>
            </c:strRef>
          </c:tx>
          <c:spPr>
            <a:solidFill>
              <a:schemeClr val="accent6"/>
            </a:solidFill>
            <a:ln>
              <a:noFill/>
            </a:ln>
            <a:effectLst/>
            <a:sp3d/>
          </c:spPr>
          <c:invertIfNegative val="0"/>
          <c:cat>
            <c:multiLvlStrRef>
              <c:f>Statistika!$C$14:$S$15</c:f>
              <c:multiLvlStrCache>
                <c:ptCount val="17"/>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lvl>
                <c:lvl>
                  <c:pt idx="0">
                    <c:v>Funkciju aktivitāšu skaits</c:v>
                  </c:pt>
                </c:lvl>
              </c:multiLvlStrCache>
            </c:multiLvlStrRef>
          </c:cat>
          <c:val>
            <c:numRef>
              <c:f>Statistika!$C$17:$S$17</c:f>
              <c:numCache>
                <c:formatCode>General</c:formatCode>
                <c:ptCount val="17"/>
                <c:pt idx="0">
                  <c:v>153</c:v>
                </c:pt>
                <c:pt idx="1">
                  <c:v>27</c:v>
                </c:pt>
                <c:pt idx="2">
                  <c:v>22</c:v>
                </c:pt>
                <c:pt idx="3">
                  <c:v>12</c:v>
                </c:pt>
                <c:pt idx="4">
                  <c:v>9</c:v>
                </c:pt>
                <c:pt idx="5">
                  <c:v>2</c:v>
                </c:pt>
                <c:pt idx="6">
                  <c:v>2</c:v>
                </c:pt>
                <c:pt idx="8">
                  <c:v>2</c:v>
                </c:pt>
                <c:pt idx="10">
                  <c:v>3</c:v>
                </c:pt>
                <c:pt idx="13">
                  <c:v>2</c:v>
                </c:pt>
                <c:pt idx="16">
                  <c:v>1</c:v>
                </c:pt>
              </c:numCache>
            </c:numRef>
          </c:val>
          <c:extLst>
            <c:ext xmlns:c16="http://schemas.microsoft.com/office/drawing/2014/chart" uri="{C3380CC4-5D6E-409C-BE32-E72D297353CC}">
              <c16:uniqueId val="{00000000-7344-4F02-B7A7-E781760CDF63}"/>
            </c:ext>
          </c:extLst>
        </c:ser>
        <c:dLbls>
          <c:showLegendKey val="0"/>
          <c:showVal val="0"/>
          <c:showCatName val="0"/>
          <c:showSerName val="0"/>
          <c:showPercent val="0"/>
          <c:showBubbleSize val="0"/>
        </c:dLbls>
        <c:gapWidth val="150"/>
        <c:shape val="box"/>
        <c:axId val="546151752"/>
        <c:axId val="546149784"/>
        <c:axId val="0"/>
      </c:bar3DChart>
      <c:catAx>
        <c:axId val="546151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6149784"/>
        <c:crosses val="autoZero"/>
        <c:auto val="1"/>
        <c:lblAlgn val="ctr"/>
        <c:lblOffset val="100"/>
        <c:noMultiLvlLbl val="0"/>
      </c:catAx>
      <c:valAx>
        <c:axId val="546149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baseline="0">
                    <a:solidFill>
                      <a:sysClr val="windowText" lastClr="000000"/>
                    </a:solidFill>
                    <a:latin typeface="Times New Roman" panose="02020603050405020304" pitchFamily="18" charset="0"/>
                  </a:rPr>
                  <a:t>Programmu/apakšprogrammu skaits</a:t>
                </a:r>
                <a:endParaRPr lang="lv-LV"/>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6151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'Robežs 10.00.00'!$L$5</c:f>
              <c:strCache>
                <c:ptCount val="1"/>
                <c:pt idx="0">
                  <c:v>Izdevumi, milj. euro</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'Robežs 10.00.00'!$M$4:$R$4</c:f>
              <c:strCache>
                <c:ptCount val="6"/>
                <c:pt idx="0">
                  <c:v>2015</c:v>
                </c:pt>
                <c:pt idx="1">
                  <c:v>2016</c:v>
                </c:pt>
                <c:pt idx="2">
                  <c:v>2017</c:v>
                </c:pt>
                <c:pt idx="3">
                  <c:v>2018</c:v>
                </c:pt>
                <c:pt idx="4">
                  <c:v>2019</c:v>
                </c:pt>
                <c:pt idx="5">
                  <c:v>2020 (plāns)</c:v>
                </c:pt>
              </c:strCache>
            </c:strRef>
          </c:cat>
          <c:val>
            <c:numRef>
              <c:f>'Robežs 10.00.00'!$M$5:$R$5</c:f>
              <c:numCache>
                <c:formatCode>General</c:formatCode>
                <c:ptCount val="6"/>
                <c:pt idx="0" formatCode="0.0">
                  <c:v>39</c:v>
                </c:pt>
                <c:pt idx="1">
                  <c:v>49.9</c:v>
                </c:pt>
                <c:pt idx="2">
                  <c:v>57.9</c:v>
                </c:pt>
                <c:pt idx="3">
                  <c:v>55.7</c:v>
                </c:pt>
                <c:pt idx="4">
                  <c:v>64.8</c:v>
                </c:pt>
                <c:pt idx="5">
                  <c:v>60.4</c:v>
                </c:pt>
              </c:numCache>
            </c:numRef>
          </c:val>
          <c:extLst>
            <c:ext xmlns:c16="http://schemas.microsoft.com/office/drawing/2014/chart" uri="{C3380CC4-5D6E-409C-BE32-E72D297353CC}">
              <c16:uniqueId val="{00000000-3920-4B6E-806C-F50F1BFA2D94}"/>
            </c:ext>
          </c:extLst>
        </c:ser>
        <c:dLbls>
          <c:dLblPos val="ctr"/>
          <c:showLegendKey val="0"/>
          <c:showVal val="1"/>
          <c:showCatName val="0"/>
          <c:showSerName val="0"/>
          <c:showPercent val="0"/>
          <c:showBubbleSize val="0"/>
        </c:dLbls>
        <c:gapWidth val="70"/>
        <c:overlap val="-27"/>
        <c:axId val="1261189583"/>
        <c:axId val="1261189167"/>
      </c:barChart>
      <c:lineChart>
        <c:grouping val="standard"/>
        <c:varyColors val="0"/>
        <c:ser>
          <c:idx val="1"/>
          <c:order val="1"/>
          <c:tx>
            <c:strRef>
              <c:f>'Robežs 10.00.00'!$L$6</c:f>
              <c:strCache>
                <c:ptCount val="1"/>
                <c:pt idx="0">
                  <c:v>Pārbaudītas personas, veicot imigrācijas kontroli</c:v>
                </c:pt>
              </c:strCache>
            </c:strRef>
          </c:tx>
          <c:spPr>
            <a:ln w="28575" cap="rnd">
              <a:solidFill>
                <a:schemeClr val="accent2"/>
              </a:solidFill>
              <a:round/>
            </a:ln>
            <a:effectLst/>
          </c:spPr>
          <c:marker>
            <c:symbol val="none"/>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'Robežs 10.00.00'!$M$4:$R$4</c:f>
              <c:strCache>
                <c:ptCount val="6"/>
                <c:pt idx="0">
                  <c:v>2015</c:v>
                </c:pt>
                <c:pt idx="1">
                  <c:v>2016</c:v>
                </c:pt>
                <c:pt idx="2">
                  <c:v>2017</c:v>
                </c:pt>
                <c:pt idx="3">
                  <c:v>2018</c:v>
                </c:pt>
                <c:pt idx="4">
                  <c:v>2019</c:v>
                </c:pt>
                <c:pt idx="5">
                  <c:v>2020 (plāns)</c:v>
                </c:pt>
              </c:strCache>
            </c:strRef>
          </c:cat>
          <c:val>
            <c:numRef>
              <c:f>'Robežs 10.00.00'!$M$6:$R$6</c:f>
              <c:numCache>
                <c:formatCode>0</c:formatCode>
                <c:ptCount val="6"/>
                <c:pt idx="0">
                  <c:v>234185</c:v>
                </c:pt>
                <c:pt idx="1">
                  <c:v>247520</c:v>
                </c:pt>
                <c:pt idx="2">
                  <c:v>211827</c:v>
                </c:pt>
                <c:pt idx="3">
                  <c:v>198702</c:v>
                </c:pt>
                <c:pt idx="4">
                  <c:v>126662</c:v>
                </c:pt>
                <c:pt idx="5">
                  <c:v>180000</c:v>
                </c:pt>
              </c:numCache>
            </c:numRef>
          </c:val>
          <c:smooth val="0"/>
          <c:extLst>
            <c:ext xmlns:c16="http://schemas.microsoft.com/office/drawing/2014/chart" uri="{C3380CC4-5D6E-409C-BE32-E72D297353CC}">
              <c16:uniqueId val="{00000001-3920-4B6E-806C-F50F1BFA2D94}"/>
            </c:ext>
          </c:extLst>
        </c:ser>
        <c:dLbls>
          <c:dLblPos val="ctr"/>
          <c:showLegendKey val="0"/>
          <c:showVal val="1"/>
          <c:showCatName val="0"/>
          <c:showSerName val="0"/>
          <c:showPercent val="0"/>
          <c:showBubbleSize val="0"/>
        </c:dLbls>
        <c:marker val="1"/>
        <c:smooth val="0"/>
        <c:axId val="1261175023"/>
        <c:axId val="1261177103"/>
      </c:lineChart>
      <c:catAx>
        <c:axId val="1261189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61189167"/>
        <c:crosses val="autoZero"/>
        <c:auto val="1"/>
        <c:lblAlgn val="ctr"/>
        <c:lblOffset val="100"/>
        <c:noMultiLvlLbl val="0"/>
      </c:catAx>
      <c:valAx>
        <c:axId val="126118916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61189583"/>
        <c:crosses val="autoZero"/>
        <c:crossBetween val="between"/>
      </c:valAx>
      <c:valAx>
        <c:axId val="1261177103"/>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61175023"/>
        <c:crosses val="max"/>
        <c:crossBetween val="between"/>
      </c:valAx>
      <c:catAx>
        <c:axId val="1261175023"/>
        <c:scaling>
          <c:orientation val="minMax"/>
        </c:scaling>
        <c:delete val="1"/>
        <c:axPos val="b"/>
        <c:numFmt formatCode="General" sourceLinked="1"/>
        <c:majorTickMark val="none"/>
        <c:minorTickMark val="none"/>
        <c:tickLblPos val="nextTo"/>
        <c:crossAx val="1261177103"/>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'11.01.00'!$F$1</c:f>
              <c:strCache>
                <c:ptCount val="1"/>
                <c:pt idx="0">
                  <c:v>plāns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'11.01.00'!$E$2:$E$6</c:f>
              <c:numCache>
                <c:formatCode>General</c:formatCode>
                <c:ptCount val="5"/>
                <c:pt idx="0">
                  <c:v>2015</c:v>
                </c:pt>
                <c:pt idx="1">
                  <c:v>2016</c:v>
                </c:pt>
                <c:pt idx="2">
                  <c:v>2017</c:v>
                </c:pt>
                <c:pt idx="3">
                  <c:v>2018</c:v>
                </c:pt>
                <c:pt idx="4">
                  <c:v>2019</c:v>
                </c:pt>
              </c:numCache>
            </c:numRef>
          </c:cat>
          <c:val>
            <c:numRef>
              <c:f>'11.01.00'!$F$2:$F$6</c:f>
              <c:numCache>
                <c:formatCode>#\ ##0.0</c:formatCode>
                <c:ptCount val="5"/>
                <c:pt idx="0">
                  <c:v>16.466345</c:v>
                </c:pt>
                <c:pt idx="1">
                  <c:v>16.548579</c:v>
                </c:pt>
                <c:pt idx="2">
                  <c:v>17.740614999999998</c:v>
                </c:pt>
                <c:pt idx="3">
                  <c:v>19.028956000000001</c:v>
                </c:pt>
                <c:pt idx="4">
                  <c:v>21.663357000000001</c:v>
                </c:pt>
              </c:numCache>
            </c:numRef>
          </c:val>
          <c:extLst>
            <c:ext xmlns:c16="http://schemas.microsoft.com/office/drawing/2014/chart" uri="{C3380CC4-5D6E-409C-BE32-E72D297353CC}">
              <c16:uniqueId val="{00000000-128D-463D-9D7B-1E642171E0D6}"/>
            </c:ext>
          </c:extLst>
        </c:ser>
        <c:ser>
          <c:idx val="1"/>
          <c:order val="1"/>
          <c:tx>
            <c:strRef>
              <c:f>'11.01.00'!$G$1</c:f>
              <c:strCache>
                <c:ptCount val="1"/>
                <c:pt idx="0">
                  <c:v>izpilde</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'11.01.00'!$E$2:$E$6</c:f>
              <c:numCache>
                <c:formatCode>General</c:formatCode>
                <c:ptCount val="5"/>
                <c:pt idx="0">
                  <c:v>2015</c:v>
                </c:pt>
                <c:pt idx="1">
                  <c:v>2016</c:v>
                </c:pt>
                <c:pt idx="2">
                  <c:v>2017</c:v>
                </c:pt>
                <c:pt idx="3">
                  <c:v>2018</c:v>
                </c:pt>
                <c:pt idx="4">
                  <c:v>2019</c:v>
                </c:pt>
              </c:numCache>
            </c:numRef>
          </c:cat>
          <c:val>
            <c:numRef>
              <c:f>'11.01.00'!$G$2:$G$6</c:f>
              <c:numCache>
                <c:formatCode>#\ ##0.0</c:formatCode>
                <c:ptCount val="5"/>
                <c:pt idx="0">
                  <c:v>16.36676700000001</c:v>
                </c:pt>
                <c:pt idx="1">
                  <c:v>16.287144999999992</c:v>
                </c:pt>
                <c:pt idx="2">
                  <c:v>17.552173999999994</c:v>
                </c:pt>
                <c:pt idx="3">
                  <c:v>16.599572999999996</c:v>
                </c:pt>
                <c:pt idx="4">
                  <c:v>16.722408719999994</c:v>
                </c:pt>
              </c:numCache>
            </c:numRef>
          </c:val>
          <c:extLst>
            <c:ext xmlns:c16="http://schemas.microsoft.com/office/drawing/2014/chart" uri="{C3380CC4-5D6E-409C-BE32-E72D297353CC}">
              <c16:uniqueId val="{00000001-128D-463D-9D7B-1E642171E0D6}"/>
            </c:ext>
          </c:extLst>
        </c:ser>
        <c:dLbls>
          <c:dLblPos val="outEnd"/>
          <c:showLegendKey val="0"/>
          <c:showVal val="1"/>
          <c:showCatName val="0"/>
          <c:showSerName val="0"/>
          <c:showPercent val="0"/>
          <c:showBubbleSize val="0"/>
        </c:dLbls>
        <c:gapWidth val="40"/>
        <c:overlap val="-27"/>
        <c:axId val="872993744"/>
        <c:axId val="873004144"/>
      </c:barChart>
      <c:catAx>
        <c:axId val="87299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3004144"/>
        <c:crosses val="autoZero"/>
        <c:auto val="1"/>
        <c:lblAlgn val="ctr"/>
        <c:lblOffset val="100"/>
        <c:noMultiLvlLbl val="0"/>
      </c:catAx>
      <c:valAx>
        <c:axId val="873004144"/>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2993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'11.01.00 PMLP'!$A$5</c:f>
              <c:strCache>
                <c:ptCount val="1"/>
                <c:pt idx="0">
                  <c:v>Izdevumi kopā, milj. euro</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'11.01.00 PMLP'!$B$2:$G$2</c:f>
              <c:strCache>
                <c:ptCount val="6"/>
                <c:pt idx="0">
                  <c:v>2015.gads</c:v>
                </c:pt>
                <c:pt idx="1">
                  <c:v>2016.gads</c:v>
                </c:pt>
                <c:pt idx="2">
                  <c:v>2017.gads</c:v>
                </c:pt>
                <c:pt idx="3">
                  <c:v>2018.gads</c:v>
                </c:pt>
                <c:pt idx="4">
                  <c:v>2019.gads</c:v>
                </c:pt>
                <c:pt idx="5">
                  <c:v>2020. gads (plāns)</c:v>
                </c:pt>
              </c:strCache>
            </c:strRef>
          </c:cat>
          <c:val>
            <c:numRef>
              <c:f>'11.01.00 PMLP'!$B$5:$G$5</c:f>
              <c:numCache>
                <c:formatCode>0.0</c:formatCode>
                <c:ptCount val="6"/>
                <c:pt idx="0">
                  <c:v>16.36676700000001</c:v>
                </c:pt>
                <c:pt idx="1">
                  <c:v>16.287144999999992</c:v>
                </c:pt>
                <c:pt idx="2">
                  <c:v>17.552173999999994</c:v>
                </c:pt>
                <c:pt idx="3">
                  <c:v>16.599572999999996</c:v>
                </c:pt>
                <c:pt idx="4">
                  <c:v>20.412604719999994</c:v>
                </c:pt>
                <c:pt idx="5">
                  <c:v>17.798490999999999</c:v>
                </c:pt>
              </c:numCache>
            </c:numRef>
          </c:val>
          <c:extLst>
            <c:ext xmlns:c16="http://schemas.microsoft.com/office/drawing/2014/chart" uri="{C3380CC4-5D6E-409C-BE32-E72D297353CC}">
              <c16:uniqueId val="{00000000-F029-4A5F-AA86-7D83D3808ABD}"/>
            </c:ext>
          </c:extLst>
        </c:ser>
        <c:ser>
          <c:idx val="3"/>
          <c:order val="3"/>
          <c:tx>
            <c:strRef>
              <c:f>'11.01.00 PMLP'!$A$6</c:f>
              <c:strCache>
                <c:ptCount val="1"/>
                <c:pt idx="0">
                  <c:v>ieņēmumi no nodevām par pasu un personas apliecību izsniegšanu, milj. euro</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'11.01.00 PMLP'!$B$2:$G$2</c:f>
              <c:strCache>
                <c:ptCount val="6"/>
                <c:pt idx="0">
                  <c:v>2015.gads</c:v>
                </c:pt>
                <c:pt idx="1">
                  <c:v>2016.gads</c:v>
                </c:pt>
                <c:pt idx="2">
                  <c:v>2017.gads</c:v>
                </c:pt>
                <c:pt idx="3">
                  <c:v>2018.gads</c:v>
                </c:pt>
                <c:pt idx="4">
                  <c:v>2019.gads</c:v>
                </c:pt>
                <c:pt idx="5">
                  <c:v>2020. gads (plāns)</c:v>
                </c:pt>
              </c:strCache>
            </c:strRef>
          </c:cat>
          <c:val>
            <c:numRef>
              <c:f>'11.01.00 PMLP'!$B$6:$G$6</c:f>
              <c:numCache>
                <c:formatCode>0.0</c:formatCode>
                <c:ptCount val="6"/>
                <c:pt idx="0">
                  <c:v>10.415692999999999</c:v>
                </c:pt>
                <c:pt idx="1">
                  <c:v>9.3055850000000007</c:v>
                </c:pt>
                <c:pt idx="2">
                  <c:v>7.7321809999999997</c:v>
                </c:pt>
                <c:pt idx="3">
                  <c:v>6.4519919999999997</c:v>
                </c:pt>
                <c:pt idx="4">
                  <c:v>6.0703649999999998</c:v>
                </c:pt>
                <c:pt idx="5">
                  <c:v>7.3633090000000001</c:v>
                </c:pt>
              </c:numCache>
            </c:numRef>
          </c:val>
          <c:extLst>
            <c:ext xmlns:c16="http://schemas.microsoft.com/office/drawing/2014/chart" uri="{C3380CC4-5D6E-409C-BE32-E72D297353CC}">
              <c16:uniqueId val="{00000001-F029-4A5F-AA86-7D83D3808ABD}"/>
            </c:ext>
          </c:extLst>
        </c:ser>
        <c:dLbls>
          <c:dLblPos val="ctr"/>
          <c:showLegendKey val="0"/>
          <c:showVal val="1"/>
          <c:showCatName val="0"/>
          <c:showSerName val="0"/>
          <c:showPercent val="0"/>
          <c:showBubbleSize val="0"/>
        </c:dLbls>
        <c:gapWidth val="219"/>
        <c:axId val="430935359"/>
        <c:axId val="382383551"/>
      </c:barChart>
      <c:lineChart>
        <c:grouping val="standard"/>
        <c:varyColors val="0"/>
        <c:ser>
          <c:idx val="0"/>
          <c:order val="0"/>
          <c:tx>
            <c:strRef>
              <c:f>'11.01.00 PMLP'!$A$3</c:f>
              <c:strCache>
                <c:ptCount val="1"/>
                <c:pt idx="0">
                  <c:v>izsniegtās pases, milj.</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'11.01.00 PMLP'!$B$2:$G$2</c:f>
              <c:strCache>
                <c:ptCount val="6"/>
                <c:pt idx="0">
                  <c:v>2015.gads</c:v>
                </c:pt>
                <c:pt idx="1">
                  <c:v>2016.gads</c:v>
                </c:pt>
                <c:pt idx="2">
                  <c:v>2017.gads</c:v>
                </c:pt>
                <c:pt idx="3">
                  <c:v>2018.gads</c:v>
                </c:pt>
                <c:pt idx="4">
                  <c:v>2019.gads</c:v>
                </c:pt>
                <c:pt idx="5">
                  <c:v>2020. gads (plāns)</c:v>
                </c:pt>
              </c:strCache>
            </c:strRef>
          </c:cat>
          <c:val>
            <c:numRef>
              <c:f>'11.01.00 PMLP'!$B$3:$G$3</c:f>
              <c:numCache>
                <c:formatCode>#,##0.00</c:formatCode>
                <c:ptCount val="6"/>
                <c:pt idx="0">
                  <c:v>0.32092799999999999</c:v>
                </c:pt>
                <c:pt idx="1">
                  <c:v>0.28484999999999999</c:v>
                </c:pt>
                <c:pt idx="2">
                  <c:v>0.23680200000000001</c:v>
                </c:pt>
                <c:pt idx="3">
                  <c:v>0.17146800000000001</c:v>
                </c:pt>
                <c:pt idx="4">
                  <c:v>0.14862</c:v>
                </c:pt>
                <c:pt idx="5">
                  <c:v>0.168491</c:v>
                </c:pt>
              </c:numCache>
            </c:numRef>
          </c:val>
          <c:smooth val="0"/>
          <c:extLst>
            <c:ext xmlns:c16="http://schemas.microsoft.com/office/drawing/2014/chart" uri="{C3380CC4-5D6E-409C-BE32-E72D297353CC}">
              <c16:uniqueId val="{00000002-F029-4A5F-AA86-7D83D3808ABD}"/>
            </c:ext>
          </c:extLst>
        </c:ser>
        <c:ser>
          <c:idx val="1"/>
          <c:order val="1"/>
          <c:tx>
            <c:strRef>
              <c:f>'11.01.00 PMLP'!$A$4</c:f>
              <c:strCache>
                <c:ptCount val="1"/>
                <c:pt idx="0">
                  <c:v>izsniegtās personu apliecības, milj.</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'11.01.00 PMLP'!$B$2:$G$2</c:f>
              <c:strCache>
                <c:ptCount val="6"/>
                <c:pt idx="0">
                  <c:v>2015.gads</c:v>
                </c:pt>
                <c:pt idx="1">
                  <c:v>2016.gads</c:v>
                </c:pt>
                <c:pt idx="2">
                  <c:v>2017.gads</c:v>
                </c:pt>
                <c:pt idx="3">
                  <c:v>2018.gads</c:v>
                </c:pt>
                <c:pt idx="4">
                  <c:v>2019.gads</c:v>
                </c:pt>
                <c:pt idx="5">
                  <c:v>2020. gads (plāns)</c:v>
                </c:pt>
              </c:strCache>
            </c:strRef>
          </c:cat>
          <c:val>
            <c:numRef>
              <c:f>'11.01.00 PMLP'!$B$4:$G$4</c:f>
              <c:numCache>
                <c:formatCode>#,##0.00</c:formatCode>
                <c:ptCount val="6"/>
                <c:pt idx="0">
                  <c:v>0.18601899999999999</c:v>
                </c:pt>
                <c:pt idx="1">
                  <c:v>0.183841</c:v>
                </c:pt>
                <c:pt idx="2">
                  <c:v>0.200321</c:v>
                </c:pt>
                <c:pt idx="3">
                  <c:v>0.236621</c:v>
                </c:pt>
                <c:pt idx="4">
                  <c:v>0.23802599999999999</c:v>
                </c:pt>
                <c:pt idx="5">
                  <c:v>0.28329500000000002</c:v>
                </c:pt>
              </c:numCache>
            </c:numRef>
          </c:val>
          <c:smooth val="0"/>
          <c:extLst>
            <c:ext xmlns:c16="http://schemas.microsoft.com/office/drawing/2014/chart" uri="{C3380CC4-5D6E-409C-BE32-E72D297353CC}">
              <c16:uniqueId val="{00000003-F029-4A5F-AA86-7D83D3808ABD}"/>
            </c:ext>
          </c:extLst>
        </c:ser>
        <c:dLbls>
          <c:dLblPos val="ctr"/>
          <c:showLegendKey val="0"/>
          <c:showVal val="1"/>
          <c:showCatName val="0"/>
          <c:showSerName val="0"/>
          <c:showPercent val="0"/>
          <c:showBubbleSize val="0"/>
        </c:dLbls>
        <c:marker val="1"/>
        <c:smooth val="0"/>
        <c:axId val="382387295"/>
        <c:axId val="382389375"/>
      </c:lineChart>
      <c:catAx>
        <c:axId val="382387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2389375"/>
        <c:crosses val="autoZero"/>
        <c:auto val="1"/>
        <c:lblAlgn val="ctr"/>
        <c:lblOffset val="100"/>
        <c:noMultiLvlLbl val="0"/>
      </c:catAx>
      <c:valAx>
        <c:axId val="38238937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2387295"/>
        <c:crosses val="autoZero"/>
        <c:crossBetween val="between"/>
      </c:valAx>
      <c:valAx>
        <c:axId val="382383551"/>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30935359"/>
        <c:crosses val="max"/>
        <c:crossBetween val="between"/>
      </c:valAx>
      <c:catAx>
        <c:axId val="430935359"/>
        <c:scaling>
          <c:orientation val="minMax"/>
        </c:scaling>
        <c:delete val="1"/>
        <c:axPos val="b"/>
        <c:numFmt formatCode="General" sourceLinked="1"/>
        <c:majorTickMark val="out"/>
        <c:minorTickMark val="none"/>
        <c:tickLblPos val="nextTo"/>
        <c:crossAx val="382383551"/>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'PP atalgojums'!$D$52</c:f>
              <c:strCache>
                <c:ptCount val="1"/>
                <c:pt idx="0">
                  <c:v>Piešķirtais PP finansējums atlīdzībai (milj. euro)</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'PP atalgojums'!$C$53:$C$62</c:f>
              <c:strCache>
                <c:ptCount val="10"/>
                <c:pt idx="0">
                  <c:v>2013</c:v>
                </c:pt>
                <c:pt idx="1">
                  <c:v>2014</c:v>
                </c:pt>
                <c:pt idx="2">
                  <c:v>2015</c:v>
                </c:pt>
                <c:pt idx="3">
                  <c:v>2016</c:v>
                </c:pt>
                <c:pt idx="4">
                  <c:v>2017</c:v>
                </c:pt>
                <c:pt idx="5">
                  <c:v>2018</c:v>
                </c:pt>
                <c:pt idx="6">
                  <c:v>2019</c:v>
                </c:pt>
                <c:pt idx="7">
                  <c:v>2020 (plāns)</c:v>
                </c:pt>
                <c:pt idx="8">
                  <c:v>2021 (plāns)</c:v>
                </c:pt>
                <c:pt idx="9">
                  <c:v>2022 (plāns)</c:v>
                </c:pt>
              </c:strCache>
            </c:strRef>
          </c:cat>
          <c:val>
            <c:numRef>
              <c:f>'PP atalgojums'!$D$53:$D$62</c:f>
              <c:numCache>
                <c:formatCode>#\ ##0.0</c:formatCode>
                <c:ptCount val="10"/>
                <c:pt idx="0">
                  <c:v>22.6395695</c:v>
                </c:pt>
                <c:pt idx="1">
                  <c:v>32.587962500000003</c:v>
                </c:pt>
                <c:pt idx="2">
                  <c:v>39.329250500000001</c:v>
                </c:pt>
                <c:pt idx="3">
                  <c:v>44.603448999999998</c:v>
                </c:pt>
                <c:pt idx="4">
                  <c:v>60.014358000000001</c:v>
                </c:pt>
                <c:pt idx="5">
                  <c:v>52.602435999999997</c:v>
                </c:pt>
                <c:pt idx="6">
                  <c:v>26.429825999999998</c:v>
                </c:pt>
                <c:pt idx="7">
                  <c:v>10.838685999999999</c:v>
                </c:pt>
                <c:pt idx="8">
                  <c:v>10.836008</c:v>
                </c:pt>
                <c:pt idx="9">
                  <c:v>10.836008</c:v>
                </c:pt>
              </c:numCache>
            </c:numRef>
          </c:val>
          <c:extLst>
            <c:ext xmlns:c16="http://schemas.microsoft.com/office/drawing/2014/chart" uri="{C3380CC4-5D6E-409C-BE32-E72D297353CC}">
              <c16:uniqueId val="{00000000-72E6-442A-9934-0FDFCC763F71}"/>
            </c:ext>
          </c:extLst>
        </c:ser>
        <c:dLbls>
          <c:showLegendKey val="0"/>
          <c:showVal val="0"/>
          <c:showCatName val="0"/>
          <c:showSerName val="0"/>
          <c:showPercent val="0"/>
          <c:showBubbleSize val="0"/>
        </c:dLbls>
        <c:gapWidth val="50"/>
        <c:overlap val="-27"/>
        <c:axId val="782142863"/>
        <c:axId val="782127471"/>
      </c:barChart>
      <c:lineChart>
        <c:grouping val="standard"/>
        <c:varyColors val="0"/>
        <c:ser>
          <c:idx val="1"/>
          <c:order val="1"/>
          <c:tx>
            <c:strRef>
              <c:f>'PP atalgojums'!$E$52</c:f>
              <c:strCache>
                <c:ptCount val="1"/>
                <c:pt idx="0">
                  <c:v>% no kopējā piešķirtā PP finansējuma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'PP atalgojums'!$C$53:$C$62</c:f>
              <c:strCache>
                <c:ptCount val="10"/>
                <c:pt idx="0">
                  <c:v>2013</c:v>
                </c:pt>
                <c:pt idx="1">
                  <c:v>2014</c:v>
                </c:pt>
                <c:pt idx="2">
                  <c:v>2015</c:v>
                </c:pt>
                <c:pt idx="3">
                  <c:v>2016</c:v>
                </c:pt>
                <c:pt idx="4">
                  <c:v>2017</c:v>
                </c:pt>
                <c:pt idx="5">
                  <c:v>2018</c:v>
                </c:pt>
                <c:pt idx="6">
                  <c:v>2019</c:v>
                </c:pt>
                <c:pt idx="7">
                  <c:v>2020 (plāns)</c:v>
                </c:pt>
                <c:pt idx="8">
                  <c:v>2021 (plāns)</c:v>
                </c:pt>
                <c:pt idx="9">
                  <c:v>2022 (plāns)</c:v>
                </c:pt>
              </c:strCache>
            </c:strRef>
          </c:cat>
          <c:val>
            <c:numRef>
              <c:f>'PP atalgojums'!$E$53:$E$62</c:f>
              <c:numCache>
                <c:formatCode>0.0%</c:formatCode>
                <c:ptCount val="10"/>
                <c:pt idx="0">
                  <c:v>0.80308316627118126</c:v>
                </c:pt>
                <c:pt idx="1">
                  <c:v>0.83874059414385838</c:v>
                </c:pt>
                <c:pt idx="2">
                  <c:v>0.72926865290110099</c:v>
                </c:pt>
                <c:pt idx="3">
                  <c:v>0.54943817146530949</c:v>
                </c:pt>
                <c:pt idx="4">
                  <c:v>0.70203119220594912</c:v>
                </c:pt>
                <c:pt idx="5">
                  <c:v>0.62913978579117225</c:v>
                </c:pt>
                <c:pt idx="6">
                  <c:v>0.51336673599396954</c:v>
                </c:pt>
                <c:pt idx="7">
                  <c:v>0.30167467556020872</c:v>
                </c:pt>
                <c:pt idx="8">
                  <c:v>0.51084943742252231</c:v>
                </c:pt>
                <c:pt idx="9">
                  <c:v>0.44224966803750626</c:v>
                </c:pt>
              </c:numCache>
            </c:numRef>
          </c:val>
          <c:smooth val="0"/>
          <c:extLst>
            <c:ext xmlns:c16="http://schemas.microsoft.com/office/drawing/2014/chart" uri="{C3380CC4-5D6E-409C-BE32-E72D297353CC}">
              <c16:uniqueId val="{00000001-72E6-442A-9934-0FDFCC763F71}"/>
            </c:ext>
          </c:extLst>
        </c:ser>
        <c:dLbls>
          <c:showLegendKey val="0"/>
          <c:showVal val="0"/>
          <c:showCatName val="0"/>
          <c:showSerName val="0"/>
          <c:showPercent val="0"/>
          <c:showBubbleSize val="0"/>
        </c:dLbls>
        <c:marker val="1"/>
        <c:smooth val="0"/>
        <c:axId val="782148271"/>
        <c:axId val="782132047"/>
      </c:lineChart>
      <c:catAx>
        <c:axId val="782142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2127471"/>
        <c:crosses val="autoZero"/>
        <c:auto val="1"/>
        <c:lblAlgn val="ctr"/>
        <c:lblOffset val="100"/>
        <c:noMultiLvlLbl val="0"/>
      </c:catAx>
      <c:valAx>
        <c:axId val="782127471"/>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2142863"/>
        <c:crosses val="autoZero"/>
        <c:crossBetween val="between"/>
      </c:valAx>
      <c:valAx>
        <c:axId val="782132047"/>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2148271"/>
        <c:crosses val="max"/>
        <c:crossBetween val="between"/>
      </c:valAx>
      <c:catAx>
        <c:axId val="782148271"/>
        <c:scaling>
          <c:orientation val="minMax"/>
        </c:scaling>
        <c:delete val="1"/>
        <c:axPos val="b"/>
        <c:numFmt formatCode="General" sourceLinked="1"/>
        <c:majorTickMark val="none"/>
        <c:minorTickMark val="none"/>
        <c:tickLblPos val="nextTo"/>
        <c:crossAx val="782132047"/>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konvojēšana!$L$4</c:f>
              <c:strCache>
                <c:ptCount val="1"/>
                <c:pt idx="0">
                  <c:v>Veikto zvanu ilgums tiesās, h</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konvojēšana!$M$3:$R$3</c:f>
              <c:strCache>
                <c:ptCount val="6"/>
                <c:pt idx="0">
                  <c:v>2014.gads</c:v>
                </c:pt>
                <c:pt idx="1">
                  <c:v>2015.gads</c:v>
                </c:pt>
                <c:pt idx="2">
                  <c:v>2016.gads</c:v>
                </c:pt>
                <c:pt idx="3">
                  <c:v>2017.gads</c:v>
                </c:pt>
                <c:pt idx="4">
                  <c:v>2018.gads</c:v>
                </c:pt>
                <c:pt idx="5">
                  <c:v>2019.gads</c:v>
                </c:pt>
              </c:strCache>
            </c:strRef>
          </c:cat>
          <c:val>
            <c:numRef>
              <c:f>konvojēšana!$M$4:$R$4</c:f>
              <c:numCache>
                <c:formatCode>#,##0</c:formatCode>
                <c:ptCount val="6"/>
                <c:pt idx="0">
                  <c:v>5385</c:v>
                </c:pt>
                <c:pt idx="1">
                  <c:v>8357</c:v>
                </c:pt>
                <c:pt idx="2">
                  <c:v>6895</c:v>
                </c:pt>
                <c:pt idx="3">
                  <c:v>8007</c:v>
                </c:pt>
                <c:pt idx="4">
                  <c:v>10000</c:v>
                </c:pt>
                <c:pt idx="5">
                  <c:v>10700</c:v>
                </c:pt>
              </c:numCache>
            </c:numRef>
          </c:val>
          <c:extLst>
            <c:ext xmlns:c16="http://schemas.microsoft.com/office/drawing/2014/chart" uri="{C3380CC4-5D6E-409C-BE32-E72D297353CC}">
              <c16:uniqueId val="{00000000-DFCB-41E5-B85B-D578B6438CCD}"/>
            </c:ext>
          </c:extLst>
        </c:ser>
        <c:dLbls>
          <c:dLblPos val="outEnd"/>
          <c:showLegendKey val="0"/>
          <c:showVal val="1"/>
          <c:showCatName val="0"/>
          <c:showSerName val="0"/>
          <c:showPercent val="0"/>
          <c:showBubbleSize val="0"/>
        </c:dLbls>
        <c:gapWidth val="50"/>
        <c:overlap val="-27"/>
        <c:axId val="1253814879"/>
        <c:axId val="1253817375"/>
      </c:barChart>
      <c:catAx>
        <c:axId val="1253814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53817375"/>
        <c:crosses val="autoZero"/>
        <c:auto val="1"/>
        <c:lblAlgn val="ctr"/>
        <c:lblOffset val="100"/>
        <c:noMultiLvlLbl val="0"/>
      </c:catAx>
      <c:valAx>
        <c:axId val="12538173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538148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vērtība (miljardi euro)</c:v>
                </c:pt>
              </c:strCache>
            </c:strRef>
          </c:tx>
          <c:spPr>
            <a:solidFill>
              <a:schemeClr val="accent6"/>
            </a:solidFill>
            <a:ln>
              <a:noFill/>
            </a:ln>
            <a:effectLst/>
          </c:spPr>
          <c:invertIfNegative val="0"/>
          <c:dLbls>
            <c:delete val="1"/>
          </c:dLbls>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Sheet1!$B$2:$B$11</c:f>
              <c:numCache>
                <c:formatCode>0.0</c:formatCode>
                <c:ptCount val="10"/>
                <c:pt idx="0">
                  <c:v>18</c:v>
                </c:pt>
                <c:pt idx="1">
                  <c:v>17.5</c:v>
                </c:pt>
                <c:pt idx="2">
                  <c:v>11</c:v>
                </c:pt>
                <c:pt idx="3">
                  <c:v>22</c:v>
                </c:pt>
                <c:pt idx="4">
                  <c:v>16</c:v>
                </c:pt>
                <c:pt idx="5">
                  <c:v>15.5</c:v>
                </c:pt>
                <c:pt idx="6">
                  <c:v>12.5</c:v>
                </c:pt>
                <c:pt idx="7">
                  <c:v>15.5</c:v>
                </c:pt>
                <c:pt idx="8">
                  <c:v>15</c:v>
                </c:pt>
                <c:pt idx="9">
                  <c:v>11</c:v>
                </c:pt>
              </c:numCache>
            </c:numRef>
          </c:val>
          <c:extLst>
            <c:ext xmlns:c16="http://schemas.microsoft.com/office/drawing/2014/chart" uri="{C3380CC4-5D6E-409C-BE32-E72D297353CC}">
              <c16:uniqueId val="{00000000-B46D-4DBF-B7C7-BA03BB21B3E6}"/>
            </c:ext>
          </c:extLst>
        </c:ser>
        <c:dLbls>
          <c:showLegendKey val="0"/>
          <c:showVal val="1"/>
          <c:showCatName val="0"/>
          <c:showSerName val="0"/>
          <c:showPercent val="0"/>
          <c:showBubbleSize val="0"/>
        </c:dLbls>
        <c:gapWidth val="51"/>
        <c:axId val="451308703"/>
        <c:axId val="451309119"/>
      </c:barChart>
      <c:lineChart>
        <c:grouping val="standard"/>
        <c:varyColors val="0"/>
        <c:ser>
          <c:idx val="1"/>
          <c:order val="1"/>
          <c:tx>
            <c:strRef>
              <c:f>Sheet1!$C$1</c:f>
              <c:strCache>
                <c:ptCount val="1"/>
                <c:pt idx="0">
                  <c:v>Projektu skaits</c:v>
                </c:pt>
              </c:strCache>
            </c:strRef>
          </c:tx>
          <c:spPr>
            <a:ln w="28575" cap="rnd">
              <a:solidFill>
                <a:schemeClr val="accent2"/>
              </a:solidFill>
              <a:round/>
            </a:ln>
            <a:effectLst/>
          </c:spPr>
          <c:marker>
            <c:symbol val="none"/>
          </c:marker>
          <c:dLbls>
            <c:delete val="1"/>
          </c:dLbls>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Sheet1!$C$2:$C$11</c:f>
              <c:numCache>
                <c:formatCode>General</c:formatCode>
                <c:ptCount val="10"/>
                <c:pt idx="0">
                  <c:v>107</c:v>
                </c:pt>
                <c:pt idx="1">
                  <c:v>80</c:v>
                </c:pt>
                <c:pt idx="2">
                  <c:v>61</c:v>
                </c:pt>
                <c:pt idx="3">
                  <c:v>80</c:v>
                </c:pt>
                <c:pt idx="4">
                  <c:v>79</c:v>
                </c:pt>
                <c:pt idx="5">
                  <c:v>49</c:v>
                </c:pt>
                <c:pt idx="6">
                  <c:v>68</c:v>
                </c:pt>
                <c:pt idx="7">
                  <c:v>42</c:v>
                </c:pt>
                <c:pt idx="8">
                  <c:v>38</c:v>
                </c:pt>
                <c:pt idx="9">
                  <c:v>29</c:v>
                </c:pt>
              </c:numCache>
            </c:numRef>
          </c:val>
          <c:smooth val="0"/>
          <c:extLst>
            <c:ext xmlns:c16="http://schemas.microsoft.com/office/drawing/2014/chart" uri="{C3380CC4-5D6E-409C-BE32-E72D297353CC}">
              <c16:uniqueId val="{00000001-B46D-4DBF-B7C7-BA03BB21B3E6}"/>
            </c:ext>
          </c:extLst>
        </c:ser>
        <c:dLbls>
          <c:showLegendKey val="0"/>
          <c:showVal val="1"/>
          <c:showCatName val="0"/>
          <c:showSerName val="0"/>
          <c:showPercent val="0"/>
          <c:showBubbleSize val="0"/>
        </c:dLbls>
        <c:marker val="1"/>
        <c:smooth val="0"/>
        <c:axId val="451310367"/>
        <c:axId val="451309951"/>
      </c:lineChart>
      <c:catAx>
        <c:axId val="451308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51309119"/>
        <c:crosses val="autoZero"/>
        <c:auto val="1"/>
        <c:lblAlgn val="ctr"/>
        <c:lblOffset val="100"/>
        <c:noMultiLvlLbl val="0"/>
      </c:catAx>
      <c:valAx>
        <c:axId val="451309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Projektu kopējā vērtība, miljardi</a:t>
                </a:r>
                <a:r>
                  <a:rPr lang="lv-LV" baseline="0"/>
                  <a:t> </a:t>
                </a:r>
                <a:r>
                  <a:rPr lang="lv-LV" i="1" baseline="0"/>
                  <a:t>euro</a:t>
                </a:r>
                <a:endParaRPr lang="lv-LV" i="1"/>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51308703"/>
        <c:crosses val="autoZero"/>
        <c:crossBetween val="between"/>
      </c:valAx>
      <c:valAx>
        <c:axId val="451309951"/>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Projektu skaits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51310367"/>
        <c:crosses val="max"/>
        <c:crossBetween val="between"/>
      </c:valAx>
      <c:catAx>
        <c:axId val="451310367"/>
        <c:scaling>
          <c:orientation val="minMax"/>
        </c:scaling>
        <c:delete val="1"/>
        <c:axPos val="b"/>
        <c:numFmt formatCode="General" sourceLinked="1"/>
        <c:majorTickMark val="none"/>
        <c:minorTickMark val="none"/>
        <c:tickLblPos val="nextTo"/>
        <c:crossAx val="451309951"/>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56116531945135"/>
          <c:y val="0.12403100775193798"/>
          <c:w val="0.84765043904395676"/>
          <c:h val="0.72548834496463133"/>
        </c:manualLayout>
      </c:layout>
      <c:barChart>
        <c:barDir val="bar"/>
        <c:grouping val="stacked"/>
        <c:varyColors val="0"/>
        <c:ser>
          <c:idx val="0"/>
          <c:order val="0"/>
          <c:tx>
            <c:v>Pamata un pārējo funkciju veicēju īpatsvars</c:v>
          </c:tx>
          <c:spPr>
            <a:solidFill>
              <a:schemeClr val="accent6"/>
            </a:solidFill>
            <a:ln>
              <a:noFill/>
            </a:ln>
            <a:effectLst/>
          </c:spPr>
          <c:invertIfNegative val="0"/>
          <c:dLbls>
            <c:spPr>
              <a:solidFill>
                <a:schemeClr val="accent6">
                  <a:lumMod val="20000"/>
                  <a:lumOff val="80000"/>
                </a:schemeClr>
              </a:solidFill>
              <a:ln>
                <a:solidFill>
                  <a:schemeClr val="accent6">
                    <a:lumMod val="7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Lit>
              <c:ptCount val="14"/>
              <c:pt idx="0">
                <c:v>MK</c:v>
              </c:pt>
              <c:pt idx="1">
                <c:v>VM</c:v>
              </c:pt>
              <c:pt idx="2">
                <c:v>FM</c:v>
              </c:pt>
              <c:pt idx="3">
                <c:v>IEM</c:v>
              </c:pt>
              <c:pt idx="4">
                <c:v>TM</c:v>
              </c:pt>
              <c:pt idx="5">
                <c:v>ZM</c:v>
              </c:pt>
              <c:pt idx="6">
                <c:v>AIM</c:v>
              </c:pt>
              <c:pt idx="7">
                <c:v>VARAM</c:v>
              </c:pt>
              <c:pt idx="8">
                <c:v>EM</c:v>
              </c:pt>
              <c:pt idx="9">
                <c:v>KM</c:v>
              </c:pt>
              <c:pt idx="10">
                <c:v>LM</c:v>
              </c:pt>
              <c:pt idx="11">
                <c:v>IZM</c:v>
              </c:pt>
              <c:pt idx="12">
                <c:v>SAM</c:v>
              </c:pt>
              <c:pt idx="13">
                <c:v>AM</c:v>
              </c:pt>
            </c:strLit>
          </c:cat>
          <c:val>
            <c:numLit>
              <c:formatCode>0.0</c:formatCode>
              <c:ptCount val="14"/>
              <c:pt idx="0">
                <c:v>97.837837837837839</c:v>
              </c:pt>
              <c:pt idx="1">
                <c:v>97.759000734753855</c:v>
              </c:pt>
              <c:pt idx="2">
                <c:v>97.38095238095238</c:v>
              </c:pt>
              <c:pt idx="3">
                <c:v>97.099465519488987</c:v>
              </c:pt>
              <c:pt idx="4">
                <c:v>96.86844471081811</c:v>
              </c:pt>
              <c:pt idx="5">
                <c:v>96.69703872437357</c:v>
              </c:pt>
              <c:pt idx="6">
                <c:v>96.682622731826783</c:v>
              </c:pt>
              <c:pt idx="7">
                <c:v>96.595330739299612</c:v>
              </c:pt>
              <c:pt idx="8">
                <c:v>96.258768511301639</c:v>
              </c:pt>
              <c:pt idx="9">
                <c:v>96.237925775292311</c:v>
              </c:pt>
              <c:pt idx="10">
                <c:v>96.002817397429126</c:v>
              </c:pt>
              <c:pt idx="11">
                <c:v>95.129870129870127</c:v>
              </c:pt>
              <c:pt idx="12">
                <c:v>94.982078853046588</c:v>
              </c:pt>
              <c:pt idx="13">
                <c:v>94.850498338870437</c:v>
              </c:pt>
            </c:numLit>
          </c:val>
          <c:extLst>
            <c:ext xmlns:c16="http://schemas.microsoft.com/office/drawing/2014/chart" uri="{C3380CC4-5D6E-409C-BE32-E72D297353CC}">
              <c16:uniqueId val="{00000000-65F8-4F0D-A390-039D3873BC85}"/>
            </c:ext>
          </c:extLst>
        </c:ser>
        <c:ser>
          <c:idx val="1"/>
          <c:order val="1"/>
          <c:tx>
            <c:v>Atbalsta funkciju veicēju īpatsvars</c:v>
          </c:tx>
          <c:spPr>
            <a:solidFill>
              <a:schemeClr val="accent2"/>
            </a:solidFill>
            <a:ln>
              <a:noFill/>
            </a:ln>
            <a:effectLst/>
          </c:spPr>
          <c:invertIfNegative val="0"/>
          <c:dLbls>
            <c:dLbl>
              <c:idx val="0"/>
              <c:layout>
                <c:manualLayout>
                  <c:x val="3.6451024909172812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5F8-4F0D-A390-039D3873BC85}"/>
                </c:ext>
              </c:extLst>
            </c:dLbl>
            <c:dLbl>
              <c:idx val="1"/>
              <c:layout>
                <c:manualLayout>
                  <c:x val="3.8556138965933559E-2"/>
                  <c:y val="-1.2222081031699194E-16"/>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5F8-4F0D-A390-039D3873BC85}"/>
                </c:ext>
              </c:extLst>
            </c:dLbl>
            <c:dLbl>
              <c:idx val="2"/>
              <c:layout>
                <c:manualLayout>
                  <c:x val="3.939929779629029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5F8-4F0D-A390-039D3873BC85}"/>
                </c:ext>
              </c:extLst>
            </c:dLbl>
            <c:dLbl>
              <c:idx val="3"/>
              <c:layout>
                <c:manualLayout>
                  <c:x val="4.0649737081465111E-2"/>
                  <c:y val="-3.3333333333333335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65F8-4F0D-A390-039D3873BC85}"/>
                </c:ext>
              </c:extLst>
            </c:dLbl>
            <c:dLbl>
              <c:idx val="4"/>
              <c:layout>
                <c:manualLayout>
                  <c:x val="3.9675296521091731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5F8-4F0D-A390-039D3873BC85}"/>
                </c:ext>
              </c:extLst>
            </c:dLbl>
            <c:dLbl>
              <c:idx val="5"/>
              <c:layout>
                <c:manualLayout>
                  <c:x val="4.3827561063758201E-2"/>
                  <c:y val="-3.3333333333333943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65F8-4F0D-A390-039D3873BC85}"/>
                </c:ext>
              </c:extLst>
            </c:dLbl>
            <c:dLbl>
              <c:idx val="6"/>
              <c:layout>
                <c:manualLayout>
                  <c:x val="4.3766718507595254E-2"/>
                  <c:y val="-6.6666666666667278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65F8-4F0D-A390-039D3873BC85}"/>
                </c:ext>
              </c:extLst>
            </c:dLbl>
            <c:dLbl>
              <c:idx val="7"/>
              <c:layout>
                <c:manualLayout>
                  <c:x val="4.3398592252957627E-2"/>
                  <c:y val="-3.3333333333333335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65F8-4F0D-A390-039D3873BC85}"/>
                </c:ext>
              </c:extLst>
            </c:dLbl>
            <c:dLbl>
              <c:idx val="8"/>
              <c:layout>
                <c:manualLayout>
                  <c:x val="4.4416793390003102E-2"/>
                  <c:y val="-3.3333333333333943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65F8-4F0D-A390-039D3873BC85}"/>
                </c:ext>
              </c:extLst>
            </c:dLbl>
            <c:dLbl>
              <c:idx val="9"/>
              <c:layout>
                <c:manualLayout>
                  <c:x val="4.1891347478363948E-2"/>
                  <c:y val="-6.6666666666666671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65F8-4F0D-A390-039D3873BC85}"/>
                </c:ext>
              </c:extLst>
            </c:dLbl>
            <c:dLbl>
              <c:idx val="10"/>
              <c:layout>
                <c:manualLayout>
                  <c:x val="3.8462092112559111E-2"/>
                  <c:y val="-6.111040515849597E-17"/>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65F8-4F0D-A390-039D3873BC85}"/>
                </c:ext>
              </c:extLst>
            </c:dLbl>
            <c:dLbl>
              <c:idx val="11"/>
              <c:layout>
                <c:manualLayout>
                  <c:x val="4.2093260314588647E-2"/>
                  <c:y val="3.3333333333333335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65F8-4F0D-A390-039D3873BC85}"/>
                </c:ext>
              </c:extLst>
            </c:dLbl>
            <c:dLbl>
              <c:idx val="12"/>
              <c:layout>
                <c:manualLayout>
                  <c:x val="4.3907404922949714E-2"/>
                  <c:y val="6.6666666666666671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65F8-4F0D-A390-039D3873BC85}"/>
                </c:ext>
              </c:extLst>
            </c:dLbl>
            <c:dLbl>
              <c:idx val="13"/>
              <c:layout>
                <c:manualLayout>
                  <c:x val="4.335252848803927E-2"/>
                  <c:y val="-3.0555202579247985E-17"/>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65F8-4F0D-A390-039D3873BC85}"/>
                </c:ext>
              </c:extLst>
            </c:dLbl>
            <c:spPr>
              <a:solidFill>
                <a:schemeClr val="accent2">
                  <a:lumMod val="60000"/>
                  <a:lumOff val="40000"/>
                </a:schemeClr>
              </a:solidFill>
              <a:ln>
                <a:solidFill>
                  <a:schemeClr val="accent2">
                    <a:lumMod val="7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4"/>
              <c:pt idx="0">
                <c:v>MK</c:v>
              </c:pt>
              <c:pt idx="1">
                <c:v>VM</c:v>
              </c:pt>
              <c:pt idx="2">
                <c:v>FM</c:v>
              </c:pt>
              <c:pt idx="3">
                <c:v>IEM</c:v>
              </c:pt>
              <c:pt idx="4">
                <c:v>TM</c:v>
              </c:pt>
              <c:pt idx="5">
                <c:v>ZM</c:v>
              </c:pt>
              <c:pt idx="6">
                <c:v>AIM</c:v>
              </c:pt>
              <c:pt idx="7">
                <c:v>VARAM</c:v>
              </c:pt>
              <c:pt idx="8">
                <c:v>EM</c:v>
              </c:pt>
              <c:pt idx="9">
                <c:v>KM</c:v>
              </c:pt>
              <c:pt idx="10">
                <c:v>LM</c:v>
              </c:pt>
              <c:pt idx="11">
                <c:v>IZM</c:v>
              </c:pt>
              <c:pt idx="12">
                <c:v>SAM</c:v>
              </c:pt>
              <c:pt idx="13">
                <c:v>AM</c:v>
              </c:pt>
            </c:strLit>
          </c:cat>
          <c:val>
            <c:numLit>
              <c:formatCode>0.0</c:formatCode>
              <c:ptCount val="14"/>
              <c:pt idx="0">
                <c:v>2.1621621621621618</c:v>
              </c:pt>
              <c:pt idx="1">
                <c:v>2.2409992652461428</c:v>
              </c:pt>
              <c:pt idx="2">
                <c:v>2.6190476190476191</c:v>
              </c:pt>
              <c:pt idx="3">
                <c:v>2.9005344805110158</c:v>
              </c:pt>
              <c:pt idx="4">
                <c:v>3.1315552891819003</c:v>
              </c:pt>
              <c:pt idx="5">
                <c:v>3.3029612756264237</c:v>
              </c:pt>
              <c:pt idx="6">
                <c:v>3.3173772681732161</c:v>
              </c:pt>
              <c:pt idx="7">
                <c:v>3.4046692607003894</c:v>
              </c:pt>
              <c:pt idx="8">
                <c:v>3.7412314886983631</c:v>
              </c:pt>
              <c:pt idx="9">
                <c:v>3.7620742247076762</c:v>
              </c:pt>
              <c:pt idx="10">
                <c:v>3.9971826025708754</c:v>
              </c:pt>
              <c:pt idx="11">
                <c:v>4.8701298701298699</c:v>
              </c:pt>
              <c:pt idx="12">
                <c:v>5.0179211469534053</c:v>
              </c:pt>
              <c:pt idx="13">
                <c:v>5.1495016611295688</c:v>
              </c:pt>
            </c:numLit>
          </c:val>
          <c:extLst>
            <c:ext xmlns:c16="http://schemas.microsoft.com/office/drawing/2014/chart" uri="{C3380CC4-5D6E-409C-BE32-E72D297353CC}">
              <c16:uniqueId val="{0000000F-65F8-4F0D-A390-039D3873BC85}"/>
            </c:ext>
          </c:extLst>
        </c:ser>
        <c:dLbls>
          <c:showLegendKey val="0"/>
          <c:showVal val="0"/>
          <c:showCatName val="0"/>
          <c:showSerName val="0"/>
          <c:showPercent val="0"/>
          <c:showBubbleSize val="0"/>
        </c:dLbls>
        <c:gapWidth val="150"/>
        <c:overlap val="100"/>
        <c:axId val="887172248"/>
        <c:axId val="887170280"/>
      </c:barChart>
      <c:catAx>
        <c:axId val="887172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87170280"/>
        <c:crosses val="autoZero"/>
        <c:auto val="1"/>
        <c:lblAlgn val="ctr"/>
        <c:lblOffset val="100"/>
        <c:noMultiLvlLbl val="0"/>
      </c:catAx>
      <c:valAx>
        <c:axId val="887170280"/>
        <c:scaling>
          <c:orientation val="minMax"/>
          <c:max val="100"/>
          <c:min val="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871722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539473684210529E-2"/>
          <c:y val="4.4756805660426932E-2"/>
          <c:w val="0.92833192635704853"/>
          <c:h val="0.70976062718008825"/>
        </c:manualLayout>
      </c:layout>
      <c:barChart>
        <c:barDir val="col"/>
        <c:grouping val="clustered"/>
        <c:varyColors val="0"/>
        <c:ser>
          <c:idx val="0"/>
          <c:order val="0"/>
          <c:tx>
            <c:v>Amatu saime "Grāmatvedība" klasificēto amata vietu skaits resorā</c:v>
          </c:tx>
          <c:spPr>
            <a:solidFill>
              <a:srgbClr val="0070C0"/>
            </a:solidFill>
            <a:ln>
              <a:noFill/>
            </a:ln>
            <a:effectLst/>
          </c:spPr>
          <c:invertIfNegative val="0"/>
          <c:dLbls>
            <c:dLbl>
              <c:idx val="5"/>
              <c:layout>
                <c:manualLayout>
                  <c:x val="0"/>
                  <c:y val="-2.175805047867710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631-447E-8CEE-FB73DCDB4F4C}"/>
                </c:ext>
              </c:extLst>
            </c:dLbl>
            <c:dLbl>
              <c:idx val="9"/>
              <c:layout>
                <c:manualLayout>
                  <c:x val="-8.0408427840126275E-17"/>
                  <c:y val="3.630363036303630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A88-4EF5-8C16-40CDA9D2C550}"/>
                </c:ext>
              </c:extLst>
            </c:dLbl>
            <c:dLbl>
              <c:idx val="10"/>
              <c:layout>
                <c:manualLayout>
                  <c:x val="-2.1929824561403508E-3"/>
                  <c:y val="3.300330033003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A88-4EF5-8C16-40CDA9D2C550}"/>
                </c:ext>
              </c:extLst>
            </c:dLbl>
            <c:dLbl>
              <c:idx val="11"/>
              <c:layout>
                <c:manualLayout>
                  <c:x val="2.1929824561403508E-3"/>
                  <c:y val="2.970297029702958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A88-4EF5-8C16-40CDA9D2C550}"/>
                </c:ext>
              </c:extLst>
            </c:dLbl>
            <c:dLbl>
              <c:idx val="12"/>
              <c:layout>
                <c:manualLayout>
                  <c:x val="-4.3859649122808628E-3"/>
                  <c:y val="2.970297029702970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A88-4EF5-8C16-40CDA9D2C550}"/>
                </c:ext>
              </c:extLst>
            </c:dLbl>
            <c:spPr>
              <a:solidFill>
                <a:schemeClr val="accent2">
                  <a:lumMod val="20000"/>
                  <a:lumOff val="80000"/>
                </a:schemeClr>
              </a:solidFill>
              <a:ln w="12700">
                <a:solidFill>
                  <a:srgbClr val="0070C0"/>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Lit>
              <c:ptCount val="14"/>
              <c:pt idx="0">
                <c:v>SAM</c:v>
              </c:pt>
              <c:pt idx="1">
                <c:v>IZM</c:v>
              </c:pt>
              <c:pt idx="2">
                <c:v>KM</c:v>
              </c:pt>
              <c:pt idx="3">
                <c:v>AM</c:v>
              </c:pt>
              <c:pt idx="4">
                <c:v>VARAM</c:v>
              </c:pt>
              <c:pt idx="5">
                <c:v>EM</c:v>
              </c:pt>
              <c:pt idx="6">
                <c:v>LM</c:v>
              </c:pt>
              <c:pt idx="7">
                <c:v>TM</c:v>
              </c:pt>
              <c:pt idx="8">
                <c:v>ZM</c:v>
              </c:pt>
              <c:pt idx="9">
                <c:v>AIM</c:v>
              </c:pt>
              <c:pt idx="10">
                <c:v>VM</c:v>
              </c:pt>
              <c:pt idx="11">
                <c:v>IEM</c:v>
              </c:pt>
              <c:pt idx="12">
                <c:v>FM</c:v>
              </c:pt>
              <c:pt idx="13">
                <c:v>MK</c:v>
              </c:pt>
            </c:strLit>
          </c:cat>
          <c:val>
            <c:numLit>
              <c:formatCode>0.0</c:formatCode>
              <c:ptCount val="14"/>
              <c:pt idx="0">
                <c:v>3.225806451612903</c:v>
              </c:pt>
              <c:pt idx="1">
                <c:v>2.5974025974025974</c:v>
              </c:pt>
              <c:pt idx="2">
                <c:v>2.1860701576004065</c:v>
              </c:pt>
              <c:pt idx="3">
                <c:v>2.1594684385382061</c:v>
              </c:pt>
              <c:pt idx="4">
                <c:v>2.0428015564202338</c:v>
              </c:pt>
              <c:pt idx="5">
                <c:v>1.8706157443491815</c:v>
              </c:pt>
              <c:pt idx="6">
                <c:v>1.6904384574749076</c:v>
              </c:pt>
              <c:pt idx="7">
                <c:v>1.6781540305663771</c:v>
              </c:pt>
              <c:pt idx="8">
                <c:v>1.5186028853454823</c:v>
              </c:pt>
              <c:pt idx="9">
                <c:v>1.2356673717021041</c:v>
              </c:pt>
              <c:pt idx="10">
                <c:v>1.230712711241734</c:v>
              </c:pt>
              <c:pt idx="11">
                <c:v>1.1080693521053318</c:v>
              </c:pt>
              <c:pt idx="12">
                <c:v>1.0119047619047619</c:v>
              </c:pt>
              <c:pt idx="13">
                <c:v>0</c:v>
              </c:pt>
            </c:numLit>
          </c:val>
          <c:extLst>
            <c:ext xmlns:c16="http://schemas.microsoft.com/office/drawing/2014/chart" uri="{C3380CC4-5D6E-409C-BE32-E72D297353CC}">
              <c16:uniqueId val="{00000004-AA88-4EF5-8C16-40CDA9D2C550}"/>
            </c:ext>
          </c:extLst>
        </c:ser>
        <c:dLbls>
          <c:showLegendKey val="0"/>
          <c:showVal val="0"/>
          <c:showCatName val="0"/>
          <c:showSerName val="0"/>
          <c:showPercent val="0"/>
          <c:showBubbleSize val="0"/>
        </c:dLbls>
        <c:gapWidth val="50"/>
        <c:overlap val="-27"/>
        <c:axId val="1073635080"/>
        <c:axId val="1073636064"/>
      </c:barChart>
      <c:lineChart>
        <c:grouping val="standard"/>
        <c:varyColors val="0"/>
        <c:ser>
          <c:idx val="1"/>
          <c:order val="1"/>
          <c:tx>
            <c:v>Vidējais valsts pārvaldē amatu saimē "Grāmatvedībā" klasificētais amata vietu skaits uz 100 amata vietām</c:v>
          </c:tx>
          <c:spPr>
            <a:ln w="28575" cap="rnd">
              <a:solidFill>
                <a:schemeClr val="accent2"/>
              </a:solidFill>
              <a:round/>
            </a:ln>
            <a:effectLst/>
          </c:spPr>
          <c:marker>
            <c:symbol val="none"/>
          </c:marker>
          <c:cat>
            <c:strLit>
              <c:ptCount val="14"/>
              <c:pt idx="0">
                <c:v>SAM</c:v>
              </c:pt>
              <c:pt idx="1">
                <c:v>IZM</c:v>
              </c:pt>
              <c:pt idx="2">
                <c:v>KM</c:v>
              </c:pt>
              <c:pt idx="3">
                <c:v>AM</c:v>
              </c:pt>
              <c:pt idx="4">
                <c:v>VARAM</c:v>
              </c:pt>
              <c:pt idx="5">
                <c:v>EM</c:v>
              </c:pt>
              <c:pt idx="6">
                <c:v>LM</c:v>
              </c:pt>
              <c:pt idx="7">
                <c:v>TM</c:v>
              </c:pt>
              <c:pt idx="8">
                <c:v>ZM</c:v>
              </c:pt>
              <c:pt idx="9">
                <c:v>AIM</c:v>
              </c:pt>
              <c:pt idx="10">
                <c:v>VM</c:v>
              </c:pt>
              <c:pt idx="11">
                <c:v>IEM</c:v>
              </c:pt>
              <c:pt idx="12">
                <c:v>FM</c:v>
              </c:pt>
              <c:pt idx="13">
                <c:v>MK</c:v>
              </c:pt>
            </c:strLit>
          </c:cat>
          <c:val>
            <c:numLit>
              <c:formatCode>0.0</c:formatCode>
              <c:ptCount val="14"/>
              <c:pt idx="0">
                <c:v>1.39305079908676</c:v>
              </c:pt>
              <c:pt idx="1">
                <c:v>1.39305079908676</c:v>
              </c:pt>
              <c:pt idx="2">
                <c:v>1.39305079908676</c:v>
              </c:pt>
              <c:pt idx="3">
                <c:v>1.393050799086758</c:v>
              </c:pt>
              <c:pt idx="4">
                <c:v>1.39305079908676</c:v>
              </c:pt>
              <c:pt idx="5">
                <c:v>1.39305079908676</c:v>
              </c:pt>
              <c:pt idx="6">
                <c:v>1.39305079908676</c:v>
              </c:pt>
              <c:pt idx="7">
                <c:v>1.39305079908676</c:v>
              </c:pt>
              <c:pt idx="8">
                <c:v>1.39305079908676</c:v>
              </c:pt>
              <c:pt idx="9">
                <c:v>1.393050799086758</c:v>
              </c:pt>
              <c:pt idx="10">
                <c:v>1.39305079908676</c:v>
              </c:pt>
              <c:pt idx="11">
                <c:v>1.39305079908676</c:v>
              </c:pt>
              <c:pt idx="12">
                <c:v>1.39305079908676</c:v>
              </c:pt>
              <c:pt idx="13">
                <c:v>1.39305079908676</c:v>
              </c:pt>
            </c:numLit>
          </c:val>
          <c:smooth val="0"/>
          <c:extLst>
            <c:ext xmlns:c16="http://schemas.microsoft.com/office/drawing/2014/chart" uri="{C3380CC4-5D6E-409C-BE32-E72D297353CC}">
              <c16:uniqueId val="{00000005-AA88-4EF5-8C16-40CDA9D2C550}"/>
            </c:ext>
          </c:extLst>
        </c:ser>
        <c:dLbls>
          <c:showLegendKey val="0"/>
          <c:showVal val="0"/>
          <c:showCatName val="0"/>
          <c:showSerName val="0"/>
          <c:showPercent val="0"/>
          <c:showBubbleSize val="0"/>
        </c:dLbls>
        <c:marker val="1"/>
        <c:smooth val="0"/>
        <c:axId val="1073635080"/>
        <c:axId val="1073636064"/>
      </c:lineChart>
      <c:catAx>
        <c:axId val="107363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3636064"/>
        <c:crosses val="autoZero"/>
        <c:auto val="1"/>
        <c:lblAlgn val="ctr"/>
        <c:lblOffset val="100"/>
        <c:noMultiLvlLbl val="0"/>
      </c:catAx>
      <c:valAx>
        <c:axId val="1073636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3635080"/>
        <c:crosses val="autoZero"/>
        <c:crossBetween val="between"/>
      </c:valAx>
      <c:spPr>
        <a:noFill/>
        <a:ln>
          <a:noFill/>
        </a:ln>
        <a:effectLst/>
      </c:spPr>
    </c:plotArea>
    <c:legend>
      <c:legendPos val="b"/>
      <c:layout>
        <c:manualLayout>
          <c:xMode val="edge"/>
          <c:yMode val="edge"/>
          <c:x val="2.5458131260215785E-2"/>
          <c:y val="0.9020497136289809"/>
          <c:w val="0.95330397845006221"/>
          <c:h val="7.821423308594477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5141694957626495E-2"/>
          <c:y val="4.5004689225975003E-2"/>
          <c:w val="0.95265350877192978"/>
          <c:h val="0.63525941635305383"/>
        </c:manualLayout>
      </c:layout>
      <c:barChart>
        <c:barDir val="col"/>
        <c:grouping val="clustered"/>
        <c:varyColors val="0"/>
        <c:ser>
          <c:idx val="0"/>
          <c:order val="0"/>
          <c:tx>
            <c:v>Amatu saime "Apgāde (iepirkšana)" klasificēto amata vietu skaits resorā</c:v>
          </c:tx>
          <c:spPr>
            <a:solidFill>
              <a:srgbClr val="0070C0"/>
            </a:solidFill>
            <a:ln>
              <a:noFill/>
            </a:ln>
            <a:effectLst/>
          </c:spPr>
          <c:invertIfNegative val="0"/>
          <c:dLbls>
            <c:spPr>
              <a:solidFill>
                <a:schemeClr val="accent2">
                  <a:lumMod val="40000"/>
                  <a:lumOff val="60000"/>
                </a:schemeClr>
              </a:solidFill>
              <a:ln w="12700">
                <a:solidFill>
                  <a:schemeClr val="accent1">
                    <a:lumMod val="7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Lit>
              <c:ptCount val="14"/>
              <c:pt idx="0">
                <c:v>AM</c:v>
              </c:pt>
              <c:pt idx="1">
                <c:v>AIM</c:v>
              </c:pt>
              <c:pt idx="2">
                <c:v>LM</c:v>
              </c:pt>
              <c:pt idx="3">
                <c:v>MK</c:v>
              </c:pt>
              <c:pt idx="4">
                <c:v>ZM</c:v>
              </c:pt>
              <c:pt idx="5">
                <c:v>IZM</c:v>
              </c:pt>
              <c:pt idx="6">
                <c:v>FM</c:v>
              </c:pt>
              <c:pt idx="7">
                <c:v>IEM</c:v>
              </c:pt>
              <c:pt idx="8">
                <c:v>TM</c:v>
              </c:pt>
              <c:pt idx="9">
                <c:v>VARAM</c:v>
              </c:pt>
              <c:pt idx="10">
                <c:v>EM</c:v>
              </c:pt>
              <c:pt idx="11">
                <c:v>KM</c:v>
              </c:pt>
              <c:pt idx="12">
                <c:v>VM</c:v>
              </c:pt>
              <c:pt idx="13">
                <c:v>SAM</c:v>
              </c:pt>
            </c:strLit>
          </c:cat>
          <c:val>
            <c:numLit>
              <c:formatCode>0.0</c:formatCode>
              <c:ptCount val="14"/>
              <c:pt idx="0">
                <c:v>2.1594684385382061</c:v>
              </c:pt>
              <c:pt idx="1">
                <c:v>1.6141600801513971</c:v>
              </c:pt>
              <c:pt idx="2">
                <c:v>1.5495685860186652</c:v>
              </c:pt>
              <c:pt idx="3">
                <c:v>1.0810810810810809</c:v>
              </c:pt>
              <c:pt idx="4">
                <c:v>0.79726651480637811</c:v>
              </c:pt>
              <c:pt idx="5">
                <c:v>0.75757575757575757</c:v>
              </c:pt>
              <c:pt idx="6">
                <c:v>0.75396825396825395</c:v>
              </c:pt>
              <c:pt idx="7">
                <c:v>0.74957632642419503</c:v>
              </c:pt>
              <c:pt idx="8">
                <c:v>0.70422535211267612</c:v>
              </c:pt>
              <c:pt idx="9">
                <c:v>0.58365758754863817</c:v>
              </c:pt>
              <c:pt idx="10">
                <c:v>0.46765393608729539</c:v>
              </c:pt>
              <c:pt idx="11">
                <c:v>0.40671072699542449</c:v>
              </c:pt>
              <c:pt idx="12">
                <c:v>0.34900808229243208</c:v>
              </c:pt>
              <c:pt idx="13">
                <c:v>0</c:v>
              </c:pt>
            </c:numLit>
          </c:val>
          <c:extLst>
            <c:ext xmlns:c16="http://schemas.microsoft.com/office/drawing/2014/chart" uri="{C3380CC4-5D6E-409C-BE32-E72D297353CC}">
              <c16:uniqueId val="{00000000-363B-47F7-9AB4-8CD07DE5FFD4}"/>
            </c:ext>
          </c:extLst>
        </c:ser>
        <c:dLbls>
          <c:showLegendKey val="0"/>
          <c:showVal val="0"/>
          <c:showCatName val="0"/>
          <c:showSerName val="0"/>
          <c:showPercent val="0"/>
          <c:showBubbleSize val="0"/>
        </c:dLbls>
        <c:gapWidth val="50"/>
        <c:overlap val="-27"/>
        <c:axId val="1073635080"/>
        <c:axId val="1073636064"/>
      </c:barChart>
      <c:lineChart>
        <c:grouping val="standard"/>
        <c:varyColors val="0"/>
        <c:ser>
          <c:idx val="1"/>
          <c:order val="1"/>
          <c:tx>
            <c:v>Vidējais valsts pārvaldē amatu saimē "Apgāde (Iepirkšana)" klasificētais amata vietu skaits uz 100 amata vietām</c:v>
          </c:tx>
          <c:spPr>
            <a:ln w="28575" cap="rnd">
              <a:solidFill>
                <a:schemeClr val="accent2"/>
              </a:solidFill>
              <a:round/>
            </a:ln>
            <a:effectLst/>
          </c:spPr>
          <c:marker>
            <c:symbol val="none"/>
          </c:marker>
          <c:cat>
            <c:strLit>
              <c:ptCount val="14"/>
              <c:pt idx="0">
                <c:v>AM</c:v>
              </c:pt>
              <c:pt idx="1">
                <c:v>AIM</c:v>
              </c:pt>
              <c:pt idx="2">
                <c:v>LM</c:v>
              </c:pt>
              <c:pt idx="3">
                <c:v>MK</c:v>
              </c:pt>
              <c:pt idx="4">
                <c:v>ZM</c:v>
              </c:pt>
              <c:pt idx="5">
                <c:v>IZM</c:v>
              </c:pt>
              <c:pt idx="6">
                <c:v>FM</c:v>
              </c:pt>
              <c:pt idx="7">
                <c:v>IEM</c:v>
              </c:pt>
              <c:pt idx="8">
                <c:v>TM</c:v>
              </c:pt>
              <c:pt idx="9">
                <c:v>VARAM</c:v>
              </c:pt>
              <c:pt idx="10">
                <c:v>EM</c:v>
              </c:pt>
              <c:pt idx="11">
                <c:v>KM</c:v>
              </c:pt>
              <c:pt idx="12">
                <c:v>VM</c:v>
              </c:pt>
              <c:pt idx="13">
                <c:v>SAM</c:v>
              </c:pt>
            </c:strLit>
          </c:cat>
          <c:val>
            <c:numLit>
              <c:formatCode>0.0</c:formatCode>
              <c:ptCount val="14"/>
              <c:pt idx="0">
                <c:v>0.91859303652968038</c:v>
              </c:pt>
              <c:pt idx="1">
                <c:v>0.91859303652968038</c:v>
              </c:pt>
              <c:pt idx="2">
                <c:v>0.91859303652968038</c:v>
              </c:pt>
              <c:pt idx="3">
                <c:v>0.91859303652968038</c:v>
              </c:pt>
              <c:pt idx="4">
                <c:v>0.91859303652968038</c:v>
              </c:pt>
              <c:pt idx="5">
                <c:v>0.91859303652968038</c:v>
              </c:pt>
              <c:pt idx="6">
                <c:v>0.91859303652968038</c:v>
              </c:pt>
              <c:pt idx="7">
                <c:v>0.91859303652968038</c:v>
              </c:pt>
              <c:pt idx="8">
                <c:v>0.91859303652968038</c:v>
              </c:pt>
              <c:pt idx="9">
                <c:v>0.91859303652968038</c:v>
              </c:pt>
              <c:pt idx="10">
                <c:v>0.91859303652968038</c:v>
              </c:pt>
              <c:pt idx="11">
                <c:v>0.91859303652968038</c:v>
              </c:pt>
              <c:pt idx="12">
                <c:v>0.91859303652968038</c:v>
              </c:pt>
              <c:pt idx="13">
                <c:v>0.91859303652968038</c:v>
              </c:pt>
            </c:numLit>
          </c:val>
          <c:smooth val="0"/>
          <c:extLst>
            <c:ext xmlns:c16="http://schemas.microsoft.com/office/drawing/2014/chart" uri="{C3380CC4-5D6E-409C-BE32-E72D297353CC}">
              <c16:uniqueId val="{00000001-363B-47F7-9AB4-8CD07DE5FFD4}"/>
            </c:ext>
          </c:extLst>
        </c:ser>
        <c:dLbls>
          <c:showLegendKey val="0"/>
          <c:showVal val="0"/>
          <c:showCatName val="0"/>
          <c:showSerName val="0"/>
          <c:showPercent val="0"/>
          <c:showBubbleSize val="0"/>
        </c:dLbls>
        <c:marker val="1"/>
        <c:smooth val="0"/>
        <c:axId val="1073635080"/>
        <c:axId val="1073636064"/>
      </c:lineChart>
      <c:catAx>
        <c:axId val="107363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3636064"/>
        <c:crosses val="autoZero"/>
        <c:auto val="1"/>
        <c:lblAlgn val="ctr"/>
        <c:lblOffset val="100"/>
        <c:noMultiLvlLbl val="0"/>
      </c:catAx>
      <c:valAx>
        <c:axId val="1073636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3635080"/>
        <c:crosses val="autoZero"/>
        <c:crossBetween val="between"/>
      </c:valAx>
      <c:spPr>
        <a:noFill/>
        <a:ln>
          <a:noFill/>
        </a:ln>
        <a:effectLst/>
      </c:spPr>
    </c:plotArea>
    <c:legend>
      <c:legendPos val="b"/>
      <c:layout>
        <c:manualLayout>
          <c:xMode val="edge"/>
          <c:yMode val="edge"/>
          <c:x val="4.0885844084792837E-2"/>
          <c:y val="0.85711303986000253"/>
          <c:w val="0.95330397845006221"/>
          <c:h val="9.56232083892739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346523532204823E-2"/>
          <c:y val="6.2413654843267906E-2"/>
          <c:w val="0.95265350877192978"/>
          <c:h val="0.63014357282818312"/>
        </c:manualLayout>
      </c:layout>
      <c:barChart>
        <c:barDir val="col"/>
        <c:grouping val="clustered"/>
        <c:varyColors val="0"/>
        <c:ser>
          <c:idx val="0"/>
          <c:order val="0"/>
          <c:tx>
            <c:v>Amatu saime "Personālvadība" klasificēto amata vietu skaits resorā</c:v>
          </c:tx>
          <c:spPr>
            <a:solidFill>
              <a:srgbClr val="0070C0"/>
            </a:solidFill>
            <a:ln>
              <a:noFill/>
            </a:ln>
            <a:effectLst/>
          </c:spPr>
          <c:invertIfNegative val="0"/>
          <c:dLbls>
            <c:spPr>
              <a:solidFill>
                <a:schemeClr val="accent2">
                  <a:lumMod val="40000"/>
                  <a:lumOff val="60000"/>
                </a:schemeClr>
              </a:solidFill>
              <a:ln w="12700">
                <a:solidFill>
                  <a:srgbClr val="0070C0"/>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Lit>
              <c:ptCount val="14"/>
              <c:pt idx="0">
                <c:v>SAM</c:v>
              </c:pt>
              <c:pt idx="1">
                <c:v>IZM</c:v>
              </c:pt>
              <c:pt idx="2">
                <c:v>EM</c:v>
              </c:pt>
              <c:pt idx="3">
                <c:v>KM</c:v>
              </c:pt>
              <c:pt idx="4">
                <c:v>MK</c:v>
              </c:pt>
              <c:pt idx="5">
                <c:v>IEM</c:v>
              </c:pt>
              <c:pt idx="6">
                <c:v>ZM</c:v>
              </c:pt>
              <c:pt idx="7">
                <c:v>FM</c:v>
              </c:pt>
              <c:pt idx="8">
                <c:v>AM</c:v>
              </c:pt>
              <c:pt idx="9">
                <c:v>VARAM</c:v>
              </c:pt>
              <c:pt idx="10">
                <c:v>LM</c:v>
              </c:pt>
              <c:pt idx="11">
                <c:v>TM</c:v>
              </c:pt>
              <c:pt idx="12">
                <c:v>VM</c:v>
              </c:pt>
              <c:pt idx="13">
                <c:v>AIM</c:v>
              </c:pt>
            </c:strLit>
          </c:cat>
          <c:val>
            <c:numLit>
              <c:formatCode>0.0</c:formatCode>
              <c:ptCount val="14"/>
              <c:pt idx="0">
                <c:v>1.7921146953405018</c:v>
              </c:pt>
              <c:pt idx="1">
                <c:v>1.5151515151515151</c:v>
              </c:pt>
              <c:pt idx="2">
                <c:v>1.4029618082618862</c:v>
              </c:pt>
              <c:pt idx="3">
                <c:v>1.1692933401118453</c:v>
              </c:pt>
              <c:pt idx="4">
                <c:v>1.0810810810810809</c:v>
              </c:pt>
              <c:pt idx="5">
                <c:v>1.0428888019814888</c:v>
              </c:pt>
              <c:pt idx="6">
                <c:v>0.98709187547456345</c:v>
              </c:pt>
              <c:pt idx="7">
                <c:v>0.85317460317460325</c:v>
              </c:pt>
              <c:pt idx="8">
                <c:v>0.83056478405315626</c:v>
              </c:pt>
              <c:pt idx="9">
                <c:v>0.77821011673151752</c:v>
              </c:pt>
              <c:pt idx="10">
                <c:v>0.75717555907730238</c:v>
              </c:pt>
              <c:pt idx="11">
                <c:v>0.74917590650284693</c:v>
              </c:pt>
              <c:pt idx="12">
                <c:v>0.66127847171197651</c:v>
              </c:pt>
              <c:pt idx="13">
                <c:v>0.46754981631971504</c:v>
              </c:pt>
            </c:numLit>
          </c:val>
          <c:extLst>
            <c:ext xmlns:c16="http://schemas.microsoft.com/office/drawing/2014/chart" uri="{C3380CC4-5D6E-409C-BE32-E72D297353CC}">
              <c16:uniqueId val="{00000000-23C4-4CDA-8AEF-9627BE3DEAA5}"/>
            </c:ext>
          </c:extLst>
        </c:ser>
        <c:dLbls>
          <c:showLegendKey val="0"/>
          <c:showVal val="0"/>
          <c:showCatName val="0"/>
          <c:showSerName val="0"/>
          <c:showPercent val="0"/>
          <c:showBubbleSize val="0"/>
        </c:dLbls>
        <c:gapWidth val="50"/>
        <c:overlap val="-27"/>
        <c:axId val="1073635080"/>
        <c:axId val="1073636064"/>
      </c:barChart>
      <c:lineChart>
        <c:grouping val="standard"/>
        <c:varyColors val="0"/>
        <c:ser>
          <c:idx val="1"/>
          <c:order val="1"/>
          <c:tx>
            <c:v>Vidējais valsts pārvaldē amatu saimē "Personālvadība" klasificētais amata vietu skaits uz 100 amata vietām</c:v>
          </c:tx>
          <c:spPr>
            <a:ln w="28575" cap="rnd">
              <a:solidFill>
                <a:schemeClr val="accent2"/>
              </a:solidFill>
              <a:round/>
            </a:ln>
            <a:effectLst/>
          </c:spPr>
          <c:marker>
            <c:symbol val="none"/>
          </c:marker>
          <c:cat>
            <c:strLit>
              <c:ptCount val="14"/>
              <c:pt idx="0">
                <c:v>SAM</c:v>
              </c:pt>
              <c:pt idx="1">
                <c:v>IZM</c:v>
              </c:pt>
              <c:pt idx="2">
                <c:v>EM</c:v>
              </c:pt>
              <c:pt idx="3">
                <c:v>KM</c:v>
              </c:pt>
              <c:pt idx="4">
                <c:v>MK</c:v>
              </c:pt>
              <c:pt idx="5">
                <c:v>IEM</c:v>
              </c:pt>
              <c:pt idx="6">
                <c:v>ZM</c:v>
              </c:pt>
              <c:pt idx="7">
                <c:v>FM</c:v>
              </c:pt>
              <c:pt idx="8">
                <c:v>AM</c:v>
              </c:pt>
              <c:pt idx="9">
                <c:v>VARAM</c:v>
              </c:pt>
              <c:pt idx="10">
                <c:v>LM</c:v>
              </c:pt>
              <c:pt idx="11">
                <c:v>TM</c:v>
              </c:pt>
              <c:pt idx="12">
                <c:v>VM</c:v>
              </c:pt>
              <c:pt idx="13">
                <c:v>AIM</c:v>
              </c:pt>
            </c:strLit>
          </c:cat>
          <c:val>
            <c:numLit>
              <c:formatCode>0.0</c:formatCode>
              <c:ptCount val="14"/>
              <c:pt idx="0">
                <c:v>0.84724600456621002</c:v>
              </c:pt>
              <c:pt idx="1">
                <c:v>0.84724600456621002</c:v>
              </c:pt>
              <c:pt idx="2">
                <c:v>0.84724600456621002</c:v>
              </c:pt>
              <c:pt idx="3">
                <c:v>0.84724600456621002</c:v>
              </c:pt>
              <c:pt idx="4">
                <c:v>0.84724600456621002</c:v>
              </c:pt>
              <c:pt idx="5">
                <c:v>0.84724600456621002</c:v>
              </c:pt>
              <c:pt idx="6">
                <c:v>0.84724600456621002</c:v>
              </c:pt>
              <c:pt idx="7">
                <c:v>0.84724600456621002</c:v>
              </c:pt>
              <c:pt idx="8">
                <c:v>0.84724600456621002</c:v>
              </c:pt>
              <c:pt idx="9">
                <c:v>0.84724600456621002</c:v>
              </c:pt>
              <c:pt idx="10">
                <c:v>0.84724600456621002</c:v>
              </c:pt>
              <c:pt idx="11">
                <c:v>0.84724600456621002</c:v>
              </c:pt>
              <c:pt idx="12">
                <c:v>0.84724600456621002</c:v>
              </c:pt>
              <c:pt idx="13">
                <c:v>0.84724600456621002</c:v>
              </c:pt>
            </c:numLit>
          </c:val>
          <c:smooth val="0"/>
          <c:extLst>
            <c:ext xmlns:c16="http://schemas.microsoft.com/office/drawing/2014/chart" uri="{C3380CC4-5D6E-409C-BE32-E72D297353CC}">
              <c16:uniqueId val="{00000001-23C4-4CDA-8AEF-9627BE3DEAA5}"/>
            </c:ext>
          </c:extLst>
        </c:ser>
        <c:dLbls>
          <c:showLegendKey val="0"/>
          <c:showVal val="0"/>
          <c:showCatName val="0"/>
          <c:showSerName val="0"/>
          <c:showPercent val="0"/>
          <c:showBubbleSize val="0"/>
        </c:dLbls>
        <c:marker val="1"/>
        <c:smooth val="0"/>
        <c:axId val="1073635080"/>
        <c:axId val="1073636064"/>
      </c:lineChart>
      <c:catAx>
        <c:axId val="107363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3636064"/>
        <c:crosses val="autoZero"/>
        <c:auto val="1"/>
        <c:lblAlgn val="ctr"/>
        <c:lblOffset val="100"/>
        <c:noMultiLvlLbl val="0"/>
      </c:catAx>
      <c:valAx>
        <c:axId val="1073636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3635080"/>
        <c:crosses val="autoZero"/>
        <c:crossBetween val="between"/>
      </c:valAx>
      <c:spPr>
        <a:noFill/>
        <a:ln>
          <a:noFill/>
        </a:ln>
        <a:effectLst/>
      </c:spPr>
    </c:plotArea>
    <c:legend>
      <c:legendPos val="b"/>
      <c:layout>
        <c:manualLayout>
          <c:xMode val="edge"/>
          <c:yMode val="edge"/>
          <c:x val="2.3128190658785058E-2"/>
          <c:y val="0.8621087334536236"/>
          <c:w val="0.95330397845006221"/>
          <c:h val="9.56232083892739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manualLayout>
          <c:layoutTarget val="inner"/>
          <c:xMode val="edge"/>
          <c:yMode val="edge"/>
          <c:x val="5.988431457266051E-2"/>
          <c:y val="1.9674267100977201E-2"/>
          <c:w val="0.90428141890998226"/>
          <c:h val="0.70743857989482772"/>
        </c:manualLayout>
      </c:layout>
      <c:lineChart>
        <c:grouping val="standard"/>
        <c:varyColors val="0"/>
        <c:ser>
          <c:idx val="0"/>
          <c:order val="0"/>
          <c:tx>
            <c:strRef>
              <c:f>Sheet1!$A$2</c:f>
              <c:strCache>
                <c:ptCount val="1"/>
                <c:pt idx="0">
                  <c:v>Vīrieši / Males</c:v>
                </c:pt>
              </c:strCache>
            </c:strRef>
          </c:tx>
          <c:spPr>
            <a:ln w="25400"/>
          </c:spPr>
          <c:marker>
            <c:spPr>
              <a:ln>
                <a:noFill/>
              </a:ln>
            </c:spPr>
          </c:marker>
          <c:dLbls>
            <c:numFmt formatCode="#,##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Sheet1!$B$1:$L$1</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Sheet1!$B$2:$L$2</c:f>
              <c:numCache>
                <c:formatCode>0</c:formatCode>
                <c:ptCount val="11"/>
                <c:pt idx="0">
                  <c:v>11084.735355309445</c:v>
                </c:pt>
                <c:pt idx="1">
                  <c:v>9979.2165296855874</c:v>
                </c:pt>
                <c:pt idx="2">
                  <c:v>9447.7309528454189</c:v>
                </c:pt>
                <c:pt idx="3">
                  <c:v>8933.8019023347606</c:v>
                </c:pt>
                <c:pt idx="4">
                  <c:v>8819.465200798777</c:v>
                </c:pt>
                <c:pt idx="5">
                  <c:v>8557.0821842906789</c:v>
                </c:pt>
                <c:pt idx="6">
                  <c:v>8548.747419686455</c:v>
                </c:pt>
                <c:pt idx="7">
                  <c:v>8165.333991623429</c:v>
                </c:pt>
                <c:pt idx="8">
                  <c:v>7785.8690379951495</c:v>
                </c:pt>
                <c:pt idx="9">
                  <c:v>7891.4228466605191</c:v>
                </c:pt>
                <c:pt idx="10">
                  <c:v>7597.6837526789504</c:v>
                </c:pt>
              </c:numCache>
            </c:numRef>
          </c:val>
          <c:smooth val="0"/>
          <c:extLst>
            <c:ext xmlns:c16="http://schemas.microsoft.com/office/drawing/2014/chart" uri="{C3380CC4-5D6E-409C-BE32-E72D297353CC}">
              <c16:uniqueId val="{00000000-81DB-4970-864E-9EC3D9CCC6F0}"/>
            </c:ext>
          </c:extLst>
        </c:ser>
        <c:ser>
          <c:idx val="1"/>
          <c:order val="1"/>
          <c:tx>
            <c:strRef>
              <c:f>Sheet1!$A$3</c:f>
              <c:strCache>
                <c:ptCount val="1"/>
                <c:pt idx="0">
                  <c:v>Kopā / Total</c:v>
                </c:pt>
              </c:strCache>
            </c:strRef>
          </c:tx>
          <c:spPr>
            <a:ln w="25400"/>
          </c:spPr>
          <c:marker>
            <c:spPr>
              <a:ln>
                <a:noFill/>
              </a:ln>
            </c:spPr>
          </c:marker>
          <c:dLbls>
            <c:numFmt formatCode="#,##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Sheet1!$B$1:$L$1</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Sheet1!$B$3:$L$3</c:f>
              <c:numCache>
                <c:formatCode>0</c:formatCode>
                <c:ptCount val="11"/>
                <c:pt idx="0">
                  <c:v>7390.7952508973067</c:v>
                </c:pt>
                <c:pt idx="1">
                  <c:v>6900.0680196602434</c:v>
                </c:pt>
                <c:pt idx="2">
                  <c:v>6481.8216381634802</c:v>
                </c:pt>
                <c:pt idx="3">
                  <c:v>6140.4720590984934</c:v>
                </c:pt>
                <c:pt idx="4">
                  <c:v>5973.3636155957684</c:v>
                </c:pt>
                <c:pt idx="5">
                  <c:v>5925.8971032760255</c:v>
                </c:pt>
                <c:pt idx="6">
                  <c:v>5798.645274122885</c:v>
                </c:pt>
                <c:pt idx="7">
                  <c:v>5544.8088077120256</c:v>
                </c:pt>
                <c:pt idx="8">
                  <c:v>5389.4654896569618</c:v>
                </c:pt>
                <c:pt idx="9">
                  <c:v>5404.4913811688921</c:v>
                </c:pt>
                <c:pt idx="10">
                  <c:v>5235.2144246471325</c:v>
                </c:pt>
              </c:numCache>
            </c:numRef>
          </c:val>
          <c:smooth val="0"/>
          <c:extLst>
            <c:ext xmlns:c16="http://schemas.microsoft.com/office/drawing/2014/chart" uri="{C3380CC4-5D6E-409C-BE32-E72D297353CC}">
              <c16:uniqueId val="{00000001-81DB-4970-864E-9EC3D9CCC6F0}"/>
            </c:ext>
          </c:extLst>
        </c:ser>
        <c:ser>
          <c:idx val="2"/>
          <c:order val="2"/>
          <c:tx>
            <c:strRef>
              <c:f>Sheet1!$A$4</c:f>
              <c:strCache>
                <c:ptCount val="1"/>
                <c:pt idx="0">
                  <c:v>Sievietes / Females</c:v>
                </c:pt>
              </c:strCache>
            </c:strRef>
          </c:tx>
          <c:spPr>
            <a:ln w="25400">
              <a:solidFill>
                <a:schemeClr val="tx2"/>
              </a:solidFill>
            </a:ln>
          </c:spPr>
          <c:marker>
            <c:spPr>
              <a:solidFill>
                <a:schemeClr val="tx2"/>
              </a:solidFill>
              <a:ln>
                <a:noFill/>
              </a:ln>
            </c:spPr>
          </c:marker>
          <c:dLbls>
            <c:numFmt formatCode="#,##0" sourceLinked="0"/>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Sheet1!$B$1:$L$1</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Sheet1!$B$4:$L$4</c:f>
              <c:numCache>
                <c:formatCode>0</c:formatCode>
                <c:ptCount val="11"/>
                <c:pt idx="0">
                  <c:v>3868.6950676972574</c:v>
                </c:pt>
                <c:pt idx="1">
                  <c:v>3967.9902746262424</c:v>
                </c:pt>
                <c:pt idx="2">
                  <c:v>3663.491882978421</c:v>
                </c:pt>
                <c:pt idx="3">
                  <c:v>3484.4812454732005</c:v>
                </c:pt>
                <c:pt idx="4">
                  <c:v>3257.2960964060903</c:v>
                </c:pt>
                <c:pt idx="5">
                  <c:v>3406.2167308932239</c:v>
                </c:pt>
                <c:pt idx="6">
                  <c:v>3154.5735561710308</c:v>
                </c:pt>
                <c:pt idx="7">
                  <c:v>3015.0424912563399</c:v>
                </c:pt>
                <c:pt idx="8">
                  <c:v>3071.1449269831178</c:v>
                </c:pt>
                <c:pt idx="9">
                  <c:v>2992.1960625963129</c:v>
                </c:pt>
                <c:pt idx="10">
                  <c:v>2933.2034393663434</c:v>
                </c:pt>
              </c:numCache>
            </c:numRef>
          </c:val>
          <c:smooth val="0"/>
          <c:extLst>
            <c:ext xmlns:c16="http://schemas.microsoft.com/office/drawing/2014/chart" uri="{C3380CC4-5D6E-409C-BE32-E72D297353CC}">
              <c16:uniqueId val="{00000002-81DB-4970-864E-9EC3D9CCC6F0}"/>
            </c:ext>
          </c:extLst>
        </c:ser>
        <c:dLbls>
          <c:showLegendKey val="0"/>
          <c:showVal val="0"/>
          <c:showCatName val="0"/>
          <c:showSerName val="0"/>
          <c:showPercent val="0"/>
          <c:showBubbleSize val="0"/>
        </c:dLbls>
        <c:marker val="1"/>
        <c:smooth val="0"/>
        <c:axId val="692738344"/>
        <c:axId val="692737560"/>
      </c:lineChart>
      <c:catAx>
        <c:axId val="692738344"/>
        <c:scaling>
          <c:orientation val="minMax"/>
        </c:scaling>
        <c:delete val="0"/>
        <c:axPos val="b"/>
        <c:numFmt formatCode="General" sourceLinked="1"/>
        <c:majorTickMark val="none"/>
        <c:minorTickMark val="none"/>
        <c:tickLblPos val="nextTo"/>
        <c:crossAx val="692737560"/>
        <c:crosses val="autoZero"/>
        <c:auto val="1"/>
        <c:lblAlgn val="ctr"/>
        <c:lblOffset val="100"/>
        <c:noMultiLvlLbl val="0"/>
      </c:catAx>
      <c:valAx>
        <c:axId val="692737560"/>
        <c:scaling>
          <c:orientation val="minMax"/>
          <c:min val="500"/>
        </c:scaling>
        <c:delete val="0"/>
        <c:axPos val="l"/>
        <c:numFmt formatCode="#,##0" sourceLinked="0"/>
        <c:majorTickMark val="none"/>
        <c:minorTickMark val="none"/>
        <c:tickLblPos val="nextTo"/>
        <c:crossAx val="692738344"/>
        <c:crosses val="autoZero"/>
        <c:crossBetween val="between"/>
      </c:valAx>
      <c:spPr>
        <a:noFill/>
      </c:spPr>
    </c:plotArea>
    <c:legend>
      <c:legendPos val="b"/>
      <c:layout/>
      <c:overlay val="0"/>
      <c:txPr>
        <a:bodyPr/>
        <a:lstStyle/>
        <a:p>
          <a:pPr>
            <a:defRPr sz="900"/>
          </a:pPr>
          <a:endParaRPr lang="lv-LV"/>
        </a:p>
      </c:txPr>
    </c:legend>
    <c:plotVisOnly val="1"/>
    <c:dispBlanksAs val="gap"/>
    <c:showDLblsOverMax val="0"/>
  </c:chart>
  <c:spPr>
    <a:ln>
      <a:solidFill>
        <a:schemeClr val="bg1">
          <a:lumMod val="85000"/>
        </a:schemeClr>
      </a:solidFill>
    </a:ln>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Sheet1!$B$23</c:f>
              <c:strCache>
                <c:ptCount val="1"/>
                <c:pt idx="0">
                  <c:v>vidējais protokolu skaits uz 1 radaru</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Sheet1!$C$1:$G$1</c:f>
              <c:numCache>
                <c:formatCode>General</c:formatCode>
                <c:ptCount val="5"/>
                <c:pt idx="0">
                  <c:v>2015</c:v>
                </c:pt>
                <c:pt idx="1">
                  <c:v>2016</c:v>
                </c:pt>
                <c:pt idx="2">
                  <c:v>2017</c:v>
                </c:pt>
                <c:pt idx="3">
                  <c:v>2018</c:v>
                </c:pt>
                <c:pt idx="4">
                  <c:v>2019</c:v>
                </c:pt>
              </c:numCache>
            </c:numRef>
          </c:cat>
          <c:val>
            <c:numRef>
              <c:f>Sheet1!$C$23:$G$23</c:f>
              <c:numCache>
                <c:formatCode>0</c:formatCode>
                <c:ptCount val="5"/>
                <c:pt idx="0">
                  <c:v>3104.125</c:v>
                </c:pt>
                <c:pt idx="1">
                  <c:v>2551.5250000000001</c:v>
                </c:pt>
                <c:pt idx="2">
                  <c:v>3962.75</c:v>
                </c:pt>
                <c:pt idx="3">
                  <c:v>2739.47</c:v>
                </c:pt>
                <c:pt idx="4">
                  <c:v>3026.38</c:v>
                </c:pt>
              </c:numCache>
            </c:numRef>
          </c:val>
          <c:smooth val="0"/>
          <c:extLst>
            <c:ext xmlns:c16="http://schemas.microsoft.com/office/drawing/2014/chart" uri="{C3380CC4-5D6E-409C-BE32-E72D297353CC}">
              <c16:uniqueId val="{00000000-4B81-4AD8-8973-C94571212866}"/>
            </c:ext>
          </c:extLst>
        </c:ser>
        <c:dLbls>
          <c:dLblPos val="ctr"/>
          <c:showLegendKey val="0"/>
          <c:showVal val="1"/>
          <c:showCatName val="0"/>
          <c:showSerName val="0"/>
          <c:showPercent val="0"/>
          <c:showBubbleSize val="0"/>
        </c:dLbls>
        <c:marker val="1"/>
        <c:smooth val="0"/>
        <c:axId val="1307334543"/>
        <c:axId val="1307321647"/>
      </c:lineChart>
      <c:lineChart>
        <c:grouping val="standard"/>
        <c:varyColors val="0"/>
        <c:ser>
          <c:idx val="1"/>
          <c:order val="1"/>
          <c:tx>
            <c:strRef>
              <c:f>Sheet1!$B$24</c:f>
              <c:strCache>
                <c:ptCount val="1"/>
                <c:pt idx="0">
                  <c:v>vidējie ieņēmumi uz 1 radaru, euro</c:v>
                </c:pt>
              </c:strCache>
            </c:strRef>
          </c:tx>
          <c:spPr>
            <a:ln w="28575" cap="rnd">
              <a:solidFill>
                <a:schemeClr val="accent2"/>
              </a:solidFill>
              <a:round/>
            </a:ln>
            <a:effectLst/>
          </c:spPr>
          <c:marker>
            <c:symbol val="none"/>
          </c:marker>
          <c:dLbls>
            <c:dLbl>
              <c:idx val="2"/>
              <c:layout>
                <c:manualLayout>
                  <c:x val="-5.6382131747727694E-2"/>
                  <c:y val="0.13172043010752685"/>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B81-4AD8-8973-C94571212866}"/>
                </c:ext>
              </c:extLst>
            </c:dLbl>
            <c:spPr>
              <a:noFill/>
              <a:ln>
                <a:noFill/>
              </a:ln>
              <a:effectLst/>
            </c:spPr>
            <c:txPr>
              <a:bodyPr rot="0" spcFirstLastPara="1" vertOverflow="ellipsis" vert="horz" wrap="square" anchor="ctr" anchorCtr="1"/>
              <a:lstStyle/>
              <a:p>
                <a:pPr>
                  <a:defRPr sz="900" b="0"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Sheet1!$C$24:$G$24</c:f>
              <c:numCache>
                <c:formatCode>#\ ##0.00_ ;\-#\ ##0.00\ </c:formatCode>
                <c:ptCount val="5"/>
                <c:pt idx="0">
                  <c:v>55397.8125</c:v>
                </c:pt>
                <c:pt idx="1">
                  <c:v>69189.625</c:v>
                </c:pt>
                <c:pt idx="2">
                  <c:v>140529.96666666667</c:v>
                </c:pt>
                <c:pt idx="3">
                  <c:v>90527.039999999994</c:v>
                </c:pt>
                <c:pt idx="4">
                  <c:v>106573.93</c:v>
                </c:pt>
              </c:numCache>
            </c:numRef>
          </c:val>
          <c:smooth val="0"/>
          <c:extLst>
            <c:ext xmlns:c16="http://schemas.microsoft.com/office/drawing/2014/chart" uri="{C3380CC4-5D6E-409C-BE32-E72D297353CC}">
              <c16:uniqueId val="{00000002-4B81-4AD8-8973-C94571212866}"/>
            </c:ext>
          </c:extLst>
        </c:ser>
        <c:dLbls>
          <c:dLblPos val="ctr"/>
          <c:showLegendKey val="0"/>
          <c:showVal val="1"/>
          <c:showCatName val="0"/>
          <c:showSerName val="0"/>
          <c:showPercent val="0"/>
          <c:showBubbleSize val="0"/>
        </c:dLbls>
        <c:marker val="1"/>
        <c:smooth val="0"/>
        <c:axId val="1307325807"/>
        <c:axId val="1307334959"/>
      </c:lineChart>
      <c:catAx>
        <c:axId val="1307334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07321647"/>
        <c:crosses val="autoZero"/>
        <c:auto val="1"/>
        <c:lblAlgn val="ctr"/>
        <c:lblOffset val="100"/>
        <c:noMultiLvlLbl val="0"/>
      </c:catAx>
      <c:valAx>
        <c:axId val="13073216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07334543"/>
        <c:crosses val="autoZero"/>
        <c:crossBetween val="between"/>
      </c:valAx>
      <c:valAx>
        <c:axId val="1307334959"/>
        <c:scaling>
          <c:orientation val="minMax"/>
        </c:scaling>
        <c:delete val="0"/>
        <c:axPos val="r"/>
        <c:numFmt formatCode="#\ ##0.00_ ;\-#\ ##0.00\ "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07325807"/>
        <c:crosses val="max"/>
        <c:crossBetween val="between"/>
      </c:valAx>
      <c:catAx>
        <c:axId val="1307325807"/>
        <c:scaling>
          <c:orientation val="minMax"/>
        </c:scaling>
        <c:delete val="1"/>
        <c:axPos val="b"/>
        <c:majorTickMark val="out"/>
        <c:minorTickMark val="none"/>
        <c:tickLblPos val="nextTo"/>
        <c:crossAx val="1307334959"/>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775708591981569E-2"/>
          <c:y val="4.1964705189685272E-2"/>
          <c:w val="0.86276604313349725"/>
          <c:h val="0.62820419805247918"/>
        </c:manualLayout>
      </c:layout>
      <c:barChart>
        <c:barDir val="col"/>
        <c:grouping val="clustered"/>
        <c:varyColors val="0"/>
        <c:ser>
          <c:idx val="2"/>
          <c:order val="2"/>
          <c:tx>
            <c:strRef>
              <c:f>Sheet7!$D$10</c:f>
              <c:strCache>
                <c:ptCount val="1"/>
                <c:pt idx="0">
                  <c:v>Plānotais finanšu apjoms pakalpojumu nodrošināšanai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Sheet7!$A$11:$A$15</c:f>
              <c:strCache>
                <c:ptCount val="5"/>
                <c:pt idx="0">
                  <c:v>2016.gads </c:v>
                </c:pt>
                <c:pt idx="1">
                  <c:v>2017. gads </c:v>
                </c:pt>
                <c:pt idx="2">
                  <c:v>2018. gads </c:v>
                </c:pt>
                <c:pt idx="3">
                  <c:v>2019. gads </c:v>
                </c:pt>
                <c:pt idx="4">
                  <c:v>2020. gads </c:v>
                </c:pt>
              </c:strCache>
            </c:strRef>
          </c:cat>
          <c:val>
            <c:numRef>
              <c:f>Sheet7!$D$11:$D$15</c:f>
              <c:numCache>
                <c:formatCode>#,##0</c:formatCode>
                <c:ptCount val="5"/>
                <c:pt idx="0">
                  <c:v>133.42428473000001</c:v>
                </c:pt>
                <c:pt idx="1">
                  <c:v>157.78710968999999</c:v>
                </c:pt>
                <c:pt idx="2">
                  <c:v>183.0050201</c:v>
                </c:pt>
                <c:pt idx="3">
                  <c:v>203.12219902000001</c:v>
                </c:pt>
                <c:pt idx="4">
                  <c:v>212.26909762</c:v>
                </c:pt>
              </c:numCache>
            </c:numRef>
          </c:val>
          <c:extLst>
            <c:ext xmlns:c16="http://schemas.microsoft.com/office/drawing/2014/chart" uri="{C3380CC4-5D6E-409C-BE32-E72D297353CC}">
              <c16:uniqueId val="{00000000-01F4-4A68-81FC-8D446DF1950F}"/>
            </c:ext>
          </c:extLst>
        </c:ser>
        <c:ser>
          <c:idx val="3"/>
          <c:order val="3"/>
          <c:tx>
            <c:strRef>
              <c:f>Sheet7!$E$10</c:f>
              <c:strCache>
                <c:ptCount val="1"/>
                <c:pt idx="0">
                  <c:v>Izpildītais finanšu apjoms pakalpojumu nodrošināšanai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Sheet7!$A$11:$A$15</c:f>
              <c:strCache>
                <c:ptCount val="5"/>
                <c:pt idx="0">
                  <c:v>2016.gads </c:v>
                </c:pt>
                <c:pt idx="1">
                  <c:v>2017. gads </c:v>
                </c:pt>
                <c:pt idx="2">
                  <c:v>2018. gads </c:v>
                </c:pt>
                <c:pt idx="3">
                  <c:v>2019. gads </c:v>
                </c:pt>
                <c:pt idx="4">
                  <c:v>2020. gads </c:v>
                </c:pt>
              </c:strCache>
            </c:strRef>
          </c:cat>
          <c:val>
            <c:numRef>
              <c:f>Sheet7!$E$11:$E$15</c:f>
              <c:numCache>
                <c:formatCode>#,##0</c:formatCode>
                <c:ptCount val="5"/>
                <c:pt idx="0" formatCode="0">
                  <c:v>135.10699203999999</c:v>
                </c:pt>
                <c:pt idx="1">
                  <c:v>152.86567062999998</c:v>
                </c:pt>
                <c:pt idx="2">
                  <c:v>177.39434072</c:v>
                </c:pt>
                <c:pt idx="3">
                  <c:v>204.02802727000002</c:v>
                </c:pt>
              </c:numCache>
            </c:numRef>
          </c:val>
          <c:extLst>
            <c:ext xmlns:c16="http://schemas.microsoft.com/office/drawing/2014/chart" uri="{C3380CC4-5D6E-409C-BE32-E72D297353CC}">
              <c16:uniqueId val="{00000001-01F4-4A68-81FC-8D446DF1950F}"/>
            </c:ext>
          </c:extLst>
        </c:ser>
        <c:dLbls>
          <c:showLegendKey val="0"/>
          <c:showVal val="0"/>
          <c:showCatName val="0"/>
          <c:showSerName val="0"/>
          <c:showPercent val="0"/>
          <c:showBubbleSize val="0"/>
        </c:dLbls>
        <c:gapWidth val="50"/>
        <c:axId val="111988912"/>
        <c:axId val="111985168"/>
      </c:barChart>
      <c:lineChart>
        <c:grouping val="standard"/>
        <c:varyColors val="0"/>
        <c:ser>
          <c:idx val="0"/>
          <c:order val="0"/>
          <c:tx>
            <c:strRef>
              <c:f>Sheet7!$B$10</c:f>
              <c:strCache>
                <c:ptCount val="1"/>
                <c:pt idx="0">
                  <c:v>SAVA pakalpojumu nodrošināšanas plānotais darbs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5837742504409167E-2"/>
                  <c:y val="-4.577967838874757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1F4-4A68-81FC-8D446DF1950F}"/>
                </c:ext>
              </c:extLst>
            </c:dLbl>
            <c:dLbl>
              <c:idx val="1"/>
              <c:layout>
                <c:manualLayout>
                  <c:x val="-7.4074074074074112E-2"/>
                  <c:y val="-4.959465158780990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01F4-4A68-81FC-8D446DF1950F}"/>
                </c:ext>
              </c:extLst>
            </c:dLbl>
            <c:dLbl>
              <c:idx val="2"/>
              <c:layout>
                <c:manualLayout>
                  <c:x val="-4.2328042328042326E-2"/>
                  <c:y val="-4.196470518968527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01F4-4A68-81FC-8D446DF1950F}"/>
                </c:ext>
              </c:extLst>
            </c:dLbl>
            <c:dLbl>
              <c:idx val="3"/>
              <c:layout>
                <c:manualLayout>
                  <c:x val="-1.9400352733686198E-2"/>
                  <c:y val="-3.814973199062297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01F4-4A68-81FC-8D446DF1950F}"/>
                </c:ext>
              </c:extLst>
            </c:dLbl>
            <c:dLbl>
              <c:idx val="4"/>
              <c:layout>
                <c:manualLayout>
                  <c:x val="-2.4691358024691488E-2"/>
                  <c:y val="-3.433475879156074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01F4-4A68-81FC-8D446DF1950F}"/>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Sheet7!$A$11:$A$15</c:f>
              <c:strCache>
                <c:ptCount val="5"/>
                <c:pt idx="0">
                  <c:v>2016.gads </c:v>
                </c:pt>
                <c:pt idx="1">
                  <c:v>2017. gads </c:v>
                </c:pt>
                <c:pt idx="2">
                  <c:v>2018. gads </c:v>
                </c:pt>
                <c:pt idx="3">
                  <c:v>2019. gads </c:v>
                </c:pt>
                <c:pt idx="4">
                  <c:v>2020. gads </c:v>
                </c:pt>
              </c:strCache>
            </c:strRef>
          </c:cat>
          <c:val>
            <c:numRef>
              <c:f>Sheet7!$B$11:$B$15</c:f>
              <c:numCache>
                <c:formatCode>#,##0</c:formatCode>
                <c:ptCount val="5"/>
                <c:pt idx="0">
                  <c:v>6299367</c:v>
                </c:pt>
                <c:pt idx="1">
                  <c:v>6890286</c:v>
                </c:pt>
                <c:pt idx="2">
                  <c:v>7273660</c:v>
                </c:pt>
                <c:pt idx="3">
                  <c:v>6774921</c:v>
                </c:pt>
                <c:pt idx="4">
                  <c:v>6464571</c:v>
                </c:pt>
              </c:numCache>
            </c:numRef>
          </c:val>
          <c:smooth val="1"/>
          <c:extLst>
            <c:ext xmlns:c16="http://schemas.microsoft.com/office/drawing/2014/chart" uri="{C3380CC4-5D6E-409C-BE32-E72D297353CC}">
              <c16:uniqueId val="{00000007-01F4-4A68-81FC-8D446DF1950F}"/>
            </c:ext>
          </c:extLst>
        </c:ser>
        <c:ser>
          <c:idx val="1"/>
          <c:order val="1"/>
          <c:tx>
            <c:strRef>
              <c:f>Sheet7!$C$10</c:f>
              <c:strCache>
                <c:ptCount val="1"/>
                <c:pt idx="0">
                  <c:v>SAVA pakalpojumu nodrošināšanas veiktais darbs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9.3474426807760178E-2"/>
                  <c:y val="1.144491959718682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01F4-4A68-81FC-8D446DF1950F}"/>
                </c:ext>
              </c:extLst>
            </c:dLbl>
            <c:dLbl>
              <c:idx val="1"/>
              <c:layout>
                <c:manualLayout>
                  <c:x val="-2.4691358024691423E-2"/>
                  <c:y val="-6.866951758312135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01F4-4A68-81FC-8D446DF1950F}"/>
                </c:ext>
              </c:extLst>
            </c:dLbl>
            <c:dLbl>
              <c:idx val="2"/>
              <c:layout>
                <c:manualLayout>
                  <c:x val="-4.7619047619047616E-2"/>
                  <c:y val="-4.196470518968527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01F4-4A68-81FC-8D446DF1950F}"/>
                </c:ext>
              </c:extLst>
            </c:dLbl>
            <c:dLbl>
              <c:idx val="3"/>
              <c:layout>
                <c:manualLayout>
                  <c:x val="-3.527336860670207E-2"/>
                  <c:y val="-3.433475879156069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01F4-4A68-81FC-8D446DF1950F}"/>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Sheet7!$A$11:$A$15</c:f>
              <c:strCache>
                <c:ptCount val="5"/>
                <c:pt idx="0">
                  <c:v>2016.gads </c:v>
                </c:pt>
                <c:pt idx="1">
                  <c:v>2017. gads </c:v>
                </c:pt>
                <c:pt idx="2">
                  <c:v>2018. gads </c:v>
                </c:pt>
                <c:pt idx="3">
                  <c:v>2019. gads </c:v>
                </c:pt>
                <c:pt idx="4">
                  <c:v>2020. gads </c:v>
                </c:pt>
              </c:strCache>
            </c:strRef>
          </c:cat>
          <c:val>
            <c:numRef>
              <c:f>Sheet7!$C$11:$C$15</c:f>
              <c:numCache>
                <c:formatCode>#,##0</c:formatCode>
                <c:ptCount val="5"/>
                <c:pt idx="0">
                  <c:v>6267958</c:v>
                </c:pt>
                <c:pt idx="1">
                  <c:v>6593531</c:v>
                </c:pt>
                <c:pt idx="2">
                  <c:v>6971824</c:v>
                </c:pt>
                <c:pt idx="3">
                  <c:v>7107595</c:v>
                </c:pt>
              </c:numCache>
            </c:numRef>
          </c:val>
          <c:smooth val="1"/>
          <c:extLst>
            <c:ext xmlns:c16="http://schemas.microsoft.com/office/drawing/2014/chart" uri="{C3380CC4-5D6E-409C-BE32-E72D297353CC}">
              <c16:uniqueId val="{0000000C-01F4-4A68-81FC-8D446DF1950F}"/>
            </c:ext>
          </c:extLst>
        </c:ser>
        <c:dLbls>
          <c:showLegendKey val="0"/>
          <c:showVal val="0"/>
          <c:showCatName val="0"/>
          <c:showSerName val="0"/>
          <c:showPercent val="0"/>
          <c:showBubbleSize val="0"/>
        </c:dLbls>
        <c:marker val="1"/>
        <c:smooth val="0"/>
        <c:axId val="119280000"/>
        <c:axId val="119277920"/>
      </c:lineChart>
      <c:catAx>
        <c:axId val="11198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1985168"/>
        <c:crosses val="autoZero"/>
        <c:auto val="1"/>
        <c:lblAlgn val="ctr"/>
        <c:lblOffset val="100"/>
        <c:noMultiLvlLbl val="0"/>
      </c:catAx>
      <c:valAx>
        <c:axId val="111985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1988912"/>
        <c:crosses val="autoZero"/>
        <c:crossBetween val="between"/>
      </c:valAx>
      <c:valAx>
        <c:axId val="11927792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9280000"/>
        <c:crosses val="max"/>
        <c:crossBetween val="between"/>
      </c:valAx>
      <c:catAx>
        <c:axId val="119280000"/>
        <c:scaling>
          <c:orientation val="minMax"/>
        </c:scaling>
        <c:delete val="1"/>
        <c:axPos val="b"/>
        <c:numFmt formatCode="General" sourceLinked="1"/>
        <c:majorTickMark val="out"/>
        <c:minorTickMark val="none"/>
        <c:tickLblPos val="nextTo"/>
        <c:crossAx val="119277920"/>
        <c:crosses val="autoZero"/>
        <c:auto val="1"/>
        <c:lblAlgn val="ctr"/>
        <c:lblOffset val="100"/>
        <c:noMultiLvlLbl val="0"/>
      </c:catAx>
      <c:spPr>
        <a:noFill/>
        <a:ln>
          <a:noFill/>
        </a:ln>
        <a:effectLst/>
      </c:spPr>
    </c:plotArea>
    <c:legend>
      <c:legendPos val="b"/>
      <c:layout>
        <c:manualLayout>
          <c:xMode val="edge"/>
          <c:yMode val="edge"/>
          <c:x val="0"/>
          <c:y val="0.76001394134676259"/>
          <c:w val="0.97822368596259179"/>
          <c:h val="0.2169799913222229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2700000" scaled="1"/>
              <a:tileRect/>
            </a:gradFill>
            <a:ln>
              <a:noFill/>
            </a:ln>
            <a:effectLst/>
          </c:spPr>
          <c:invertIfNegative val="0"/>
          <c:dLbls>
            <c:numFmt formatCode="###\ ###"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analīzei!$A$2:$A$6</c:f>
              <c:strCache>
                <c:ptCount val="5"/>
                <c:pt idx="0">
                  <c:v>2016. gada
1.aprīlis</c:v>
                </c:pt>
                <c:pt idx="1">
                  <c:v>2017. gada 1.janvāris</c:v>
                </c:pt>
                <c:pt idx="2">
                  <c:v>2018. gada 1.janvāris</c:v>
                </c:pt>
                <c:pt idx="3">
                  <c:v>2019. gada 1.janvāris</c:v>
                </c:pt>
                <c:pt idx="4">
                  <c:v>2020. gada 1.janvāris</c:v>
                </c:pt>
              </c:strCache>
            </c:strRef>
          </c:cat>
          <c:val>
            <c:numRef>
              <c:f>analīzei!$B$2:$B$6</c:f>
              <c:numCache>
                <c:formatCode>General</c:formatCode>
                <c:ptCount val="5"/>
                <c:pt idx="0" formatCode="0">
                  <c:v>446927.18</c:v>
                </c:pt>
                <c:pt idx="1">
                  <c:v>418372</c:v>
                </c:pt>
                <c:pt idx="2">
                  <c:v>418484</c:v>
                </c:pt>
                <c:pt idx="3">
                  <c:v>452310</c:v>
                </c:pt>
                <c:pt idx="4" formatCode="0">
                  <c:v>511196</c:v>
                </c:pt>
              </c:numCache>
            </c:numRef>
          </c:val>
          <c:extLst>
            <c:ext xmlns:c16="http://schemas.microsoft.com/office/drawing/2014/chart" uri="{C3380CC4-5D6E-409C-BE32-E72D297353CC}">
              <c16:uniqueId val="{00000000-2FB9-4474-AFE9-E5C85B0CDBB2}"/>
            </c:ext>
          </c:extLst>
        </c:ser>
        <c:dLbls>
          <c:showLegendKey val="0"/>
          <c:showVal val="0"/>
          <c:showCatName val="0"/>
          <c:showSerName val="0"/>
          <c:showPercent val="0"/>
          <c:showBubbleSize val="0"/>
        </c:dLbls>
        <c:gapWidth val="50"/>
        <c:overlap val="-27"/>
        <c:axId val="422182399"/>
        <c:axId val="420460815"/>
      </c:barChart>
      <c:catAx>
        <c:axId val="422182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0460815"/>
        <c:crosses val="autoZero"/>
        <c:auto val="1"/>
        <c:lblAlgn val="ctr"/>
        <c:lblOffset val="100"/>
        <c:noMultiLvlLbl val="0"/>
      </c:catAx>
      <c:valAx>
        <c:axId val="4204608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21823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297290707514017E-2"/>
          <c:y val="3.7130801687763712E-2"/>
          <c:w val="0.8230994076560102"/>
          <c:h val="0.66035704148463437"/>
        </c:manualLayout>
      </c:layout>
      <c:lineChart>
        <c:grouping val="standard"/>
        <c:varyColors val="0"/>
        <c:ser>
          <c:idx val="1"/>
          <c:order val="1"/>
          <c:tx>
            <c:strRef>
              <c:f>'Kopā valstī'!$A$10</c:f>
              <c:strCache>
                <c:ptCount val="1"/>
                <c:pt idx="0">
                  <c:v>Datortomogrāfijas plānotais izmeklējumu skaits</c:v>
                </c:pt>
              </c:strCache>
            </c:strRef>
          </c:tx>
          <c:spPr>
            <a:ln w="28575" cap="rnd">
              <a:solidFill>
                <a:schemeClr val="accent4"/>
              </a:solidFill>
              <a:round/>
            </a:ln>
            <a:effectLst/>
          </c:spPr>
          <c:marker>
            <c:symbol val="diamond"/>
            <c:size val="14"/>
            <c:spPr>
              <a:solidFill>
                <a:schemeClr val="accent4"/>
              </a:solidFill>
              <a:ln w="9525">
                <a:solidFill>
                  <a:schemeClr val="accent4"/>
                </a:solidFill>
              </a:ln>
              <a:effectLst/>
            </c:spPr>
          </c:marker>
          <c:dLbls>
            <c:dLbl>
              <c:idx val="0"/>
              <c:layout>
                <c:manualLayout>
                  <c:x val="-0.1262200942461443"/>
                  <c:y val="4.935193286024432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CC1-4D38-9B1C-6CF68FFB1852}"/>
                </c:ext>
              </c:extLst>
            </c:dLbl>
            <c:dLbl>
              <c:idx val="1"/>
              <c:layout>
                <c:manualLayout>
                  <c:x val="-0.12130484184036837"/>
                  <c:y val="-9.4169804208385829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CC1-4D38-9B1C-6CF68FFB1852}"/>
                </c:ext>
              </c:extLst>
            </c:dLbl>
            <c:dLbl>
              <c:idx val="2"/>
              <c:layout>
                <c:manualLayout>
                  <c:x val="-7.1038598561346976E-3"/>
                  <c:y val="-2.060691487638117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CC1-4D38-9B1C-6CF68FFB1852}"/>
                </c:ext>
              </c:extLst>
            </c:dLbl>
            <c:dLbl>
              <c:idx val="3"/>
              <c:layout>
                <c:manualLayout>
                  <c:x val="-9.0250894430703374E-3"/>
                  <c:y val="8.1996694857587246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CC1-4D38-9B1C-6CF68FFB1852}"/>
                </c:ext>
              </c:extLst>
            </c:dLbl>
            <c:spPr>
              <a:noFill/>
              <a:ln>
                <a:noFill/>
              </a:ln>
              <a:effectLst/>
            </c:spPr>
            <c:txPr>
              <a:bodyPr rot="0" spcFirstLastPara="1" vertOverflow="ellipsis" vert="horz" wrap="square" anchor="ctr" anchorCtr="1"/>
              <a:lstStyle/>
              <a:p>
                <a:pPr>
                  <a:defRPr sz="10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 valstī'!$B$8:$F$8</c:f>
              <c:strCache>
                <c:ptCount val="5"/>
                <c:pt idx="0">
                  <c:v>2016.gads</c:v>
                </c:pt>
                <c:pt idx="1">
                  <c:v>2017.gads</c:v>
                </c:pt>
                <c:pt idx="2">
                  <c:v>2018.gads</c:v>
                </c:pt>
                <c:pt idx="3">
                  <c:v>2019.gads</c:v>
                </c:pt>
                <c:pt idx="4">
                  <c:v>2020.gads*</c:v>
                </c:pt>
              </c:strCache>
            </c:strRef>
          </c:cat>
          <c:val>
            <c:numRef>
              <c:f>'Kopā valstī'!$B$10:$F$10</c:f>
              <c:numCache>
                <c:formatCode>#\ ###\ ###</c:formatCode>
                <c:ptCount val="5"/>
                <c:pt idx="0">
                  <c:v>139894</c:v>
                </c:pt>
                <c:pt idx="1">
                  <c:v>165257</c:v>
                </c:pt>
                <c:pt idx="2">
                  <c:v>191525</c:v>
                </c:pt>
                <c:pt idx="3">
                  <c:v>184869</c:v>
                </c:pt>
              </c:numCache>
            </c:numRef>
          </c:val>
          <c:smooth val="1"/>
          <c:extLst>
            <c:ext xmlns:c16="http://schemas.microsoft.com/office/drawing/2014/chart" uri="{C3380CC4-5D6E-409C-BE32-E72D297353CC}">
              <c16:uniqueId val="{00000004-8CC1-4D38-9B1C-6CF68FFB1852}"/>
            </c:ext>
          </c:extLst>
        </c:ser>
        <c:ser>
          <c:idx val="2"/>
          <c:order val="2"/>
          <c:tx>
            <c:strRef>
              <c:f>'Kopā valstī'!$A$11</c:f>
              <c:strCache>
                <c:ptCount val="1"/>
                <c:pt idx="0">
                  <c:v>Datortomogrāfijas precizētais izmeklējumu skaits</c:v>
                </c:pt>
              </c:strCache>
            </c:strRef>
          </c:tx>
          <c:spPr>
            <a:ln w="28575" cap="rnd">
              <a:solidFill>
                <a:srgbClr val="FA505C"/>
              </a:solidFill>
              <a:round/>
            </a:ln>
            <a:effectLst/>
          </c:spPr>
          <c:marker>
            <c:symbol val="diamond"/>
            <c:size val="14"/>
            <c:spPr>
              <a:solidFill>
                <a:srgbClr val="FA505C"/>
              </a:solidFill>
              <a:ln w="9525">
                <a:solidFill>
                  <a:srgbClr val="FA505C"/>
                </a:solidFill>
              </a:ln>
              <a:effectLst/>
            </c:spPr>
          </c:marker>
          <c:dLbls>
            <c:dLbl>
              <c:idx val="0"/>
              <c:layout>
                <c:manualLayout>
                  <c:x val="-0.13390501259388685"/>
                  <c:y val="4.1460095265869546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8CC1-4D38-9B1C-6CF68FFB1852}"/>
                </c:ext>
              </c:extLst>
            </c:dLbl>
            <c:dLbl>
              <c:idx val="1"/>
              <c:layout>
                <c:manualLayout>
                  <c:x val="-1.0946319030005975E-2"/>
                  <c:y val="-4.935193286024432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8CC1-4D38-9B1C-6CF68FFB1852}"/>
                </c:ext>
              </c:extLst>
            </c:dLbl>
            <c:dLbl>
              <c:idx val="2"/>
              <c:layout>
                <c:manualLayout>
                  <c:x val="-5.1826302691989883E-3"/>
                  <c:y val="-4.112148018534720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8CC1-4D38-9B1C-6CF68FFB1852}"/>
                </c:ext>
              </c:extLst>
            </c:dLbl>
            <c:spPr>
              <a:noFill/>
              <a:ln>
                <a:noFill/>
              </a:ln>
              <a:effectLst/>
            </c:spPr>
            <c:txPr>
              <a:bodyPr rot="0" spcFirstLastPara="1" vertOverflow="ellipsis" vert="horz" wrap="square" anchor="ctr" anchorCtr="1"/>
              <a:lstStyle/>
              <a:p>
                <a:pPr>
                  <a:defRPr sz="1000" b="1" i="0" u="none" strike="noStrike" kern="1200" baseline="0">
                    <a:solidFill>
                      <a:srgbClr val="FA505C"/>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'Kopā valstī'!$B$8:$F$8</c:f>
              <c:strCache>
                <c:ptCount val="5"/>
                <c:pt idx="0">
                  <c:v>2016.gads</c:v>
                </c:pt>
                <c:pt idx="1">
                  <c:v>2017.gads</c:v>
                </c:pt>
                <c:pt idx="2">
                  <c:v>2018.gads</c:v>
                </c:pt>
                <c:pt idx="3">
                  <c:v>2019.gads</c:v>
                </c:pt>
                <c:pt idx="4">
                  <c:v>2020.gads*</c:v>
                </c:pt>
              </c:strCache>
            </c:strRef>
          </c:cat>
          <c:val>
            <c:numRef>
              <c:f>'Kopā valstī'!$B$11:$F$11</c:f>
              <c:numCache>
                <c:formatCode>#\ ###\ ###</c:formatCode>
                <c:ptCount val="5"/>
                <c:pt idx="0">
                  <c:v>145986</c:v>
                </c:pt>
                <c:pt idx="1">
                  <c:v>195387</c:v>
                </c:pt>
                <c:pt idx="2">
                  <c:v>212265</c:v>
                </c:pt>
                <c:pt idx="3">
                  <c:v>203555</c:v>
                </c:pt>
                <c:pt idx="4" formatCode="#,##0">
                  <c:v>185311</c:v>
                </c:pt>
              </c:numCache>
            </c:numRef>
          </c:val>
          <c:smooth val="1"/>
          <c:extLst>
            <c:ext xmlns:c16="http://schemas.microsoft.com/office/drawing/2014/chart" uri="{C3380CC4-5D6E-409C-BE32-E72D297353CC}">
              <c16:uniqueId val="{00000008-8CC1-4D38-9B1C-6CF68FFB1852}"/>
            </c:ext>
          </c:extLst>
        </c:ser>
        <c:ser>
          <c:idx val="3"/>
          <c:order val="3"/>
          <c:tx>
            <c:strRef>
              <c:f>'Kopā valstī'!$A$12</c:f>
              <c:strCache>
                <c:ptCount val="1"/>
                <c:pt idx="0">
                  <c:v>Faktiskais izmeklējumu skaits</c:v>
                </c:pt>
              </c:strCache>
            </c:strRef>
          </c:tx>
          <c:spPr>
            <a:ln w="28575" cap="rnd">
              <a:solidFill>
                <a:schemeClr val="accent6"/>
              </a:solidFill>
              <a:round/>
            </a:ln>
            <a:effectLst/>
          </c:spPr>
          <c:marker>
            <c:symbol val="triangle"/>
            <c:size val="14"/>
            <c:spPr>
              <a:solidFill>
                <a:schemeClr val="accent6"/>
              </a:solidFill>
              <a:ln w="9525">
                <a:solidFill>
                  <a:schemeClr val="accent6"/>
                </a:solidFill>
              </a:ln>
              <a:effectLst/>
            </c:spPr>
          </c:marker>
          <c:dLbls>
            <c:dLbl>
              <c:idx val="0"/>
              <c:layout>
                <c:manualLayout>
                  <c:x val="-0.1287223823246878"/>
                  <c:y val="-4.526748971193415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8CC1-4D38-9B1C-6CF68FFB1852}"/>
                </c:ext>
              </c:extLst>
            </c:dLbl>
            <c:dLbl>
              <c:idx val="1"/>
              <c:layout>
                <c:manualLayout>
                  <c:x val="2.6897214217098942E-2"/>
                  <c:y val="-2.057613168724279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8CC1-4D38-9B1C-6CF68FFB1852}"/>
                </c:ext>
              </c:extLst>
            </c:dLbl>
            <c:dLbl>
              <c:idx val="2"/>
              <c:layout>
                <c:manualLayout>
                  <c:x val="0"/>
                  <c:y val="3.583450600050160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8CC1-4D38-9B1C-6CF68FFB1852}"/>
                </c:ext>
              </c:extLst>
            </c:dLbl>
            <c:dLbl>
              <c:idx val="3"/>
              <c:layout>
                <c:manualLayout>
                  <c:x val="-1.4088854215215208E-16"/>
                  <c:y val="3.70370370370370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8CC1-4D38-9B1C-6CF68FFB1852}"/>
                </c:ext>
              </c:extLst>
            </c:dLbl>
            <c:spPr>
              <a:noFill/>
              <a:ln>
                <a:noFill/>
              </a:ln>
              <a:effectLst/>
            </c:spPr>
            <c:txPr>
              <a:bodyPr rot="0" spcFirstLastPara="1" vertOverflow="ellipsis" vert="horz" wrap="square" anchor="ctr" anchorCtr="1"/>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 valstī'!$B$8:$F$8</c:f>
              <c:strCache>
                <c:ptCount val="5"/>
                <c:pt idx="0">
                  <c:v>2016.gads</c:v>
                </c:pt>
                <c:pt idx="1">
                  <c:v>2017.gads</c:v>
                </c:pt>
                <c:pt idx="2">
                  <c:v>2018.gads</c:v>
                </c:pt>
                <c:pt idx="3">
                  <c:v>2019.gads</c:v>
                </c:pt>
                <c:pt idx="4">
                  <c:v>2020.gads*</c:v>
                </c:pt>
              </c:strCache>
            </c:strRef>
          </c:cat>
          <c:val>
            <c:numRef>
              <c:f>'Kopā valstī'!$B$12:$F$12</c:f>
              <c:numCache>
                <c:formatCode>#\ ###\ ###</c:formatCode>
                <c:ptCount val="5"/>
                <c:pt idx="0">
                  <c:v>152986</c:v>
                </c:pt>
                <c:pt idx="1">
                  <c:v>186573</c:v>
                </c:pt>
                <c:pt idx="2">
                  <c:v>178324</c:v>
                </c:pt>
                <c:pt idx="3">
                  <c:v>176560</c:v>
                </c:pt>
              </c:numCache>
            </c:numRef>
          </c:val>
          <c:smooth val="1"/>
          <c:extLst>
            <c:ext xmlns:c16="http://schemas.microsoft.com/office/drawing/2014/chart" uri="{C3380CC4-5D6E-409C-BE32-E72D297353CC}">
              <c16:uniqueId val="{0000000D-8CC1-4D38-9B1C-6CF68FFB1852}"/>
            </c:ext>
          </c:extLst>
        </c:ser>
        <c:dLbls>
          <c:showLegendKey val="0"/>
          <c:showVal val="0"/>
          <c:showCatName val="0"/>
          <c:showSerName val="0"/>
          <c:showPercent val="0"/>
          <c:showBubbleSize val="0"/>
        </c:dLbls>
        <c:marker val="1"/>
        <c:smooth val="0"/>
        <c:axId val="802134344"/>
        <c:axId val="802134016"/>
      </c:lineChart>
      <c:lineChart>
        <c:grouping val="standard"/>
        <c:varyColors val="0"/>
        <c:ser>
          <c:idx val="0"/>
          <c:order val="0"/>
          <c:tx>
            <c:strRef>
              <c:f>'Kopā valstī'!$A$9</c:f>
              <c:strCache>
                <c:ptCount val="1"/>
                <c:pt idx="0">
                  <c:v>Iedzīvotāju skaits</c:v>
                </c:pt>
              </c:strCache>
            </c:strRef>
          </c:tx>
          <c:spPr>
            <a:ln w="28575" cap="rnd">
              <a:solidFill>
                <a:srgbClr val="0070C0"/>
              </a:solidFill>
              <a:round/>
            </a:ln>
            <a:effectLst/>
          </c:spPr>
          <c:marker>
            <c:symbol val="circle"/>
            <c:size val="5"/>
            <c:spPr>
              <a:solidFill>
                <a:srgbClr val="0070C0"/>
              </a:solidFill>
              <a:ln w="9525">
                <a:solidFill>
                  <a:srgbClr val="0070C0"/>
                </a:solidFill>
              </a:ln>
              <a:effectLst/>
            </c:spPr>
          </c:marker>
          <c:dLbls>
            <c:dLbl>
              <c:idx val="0"/>
              <c:layout>
                <c:manualLayout>
                  <c:x val="-0.10897295108141156"/>
                  <c:y val="-1.96743764839808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8CC1-4D38-9B1C-6CF68FFB1852}"/>
                </c:ext>
              </c:extLst>
            </c:dLbl>
            <c:dLbl>
              <c:idx val="1"/>
              <c:layout>
                <c:manualLayout>
                  <c:x val="-8.8376560999039386E-2"/>
                  <c:y val="9.053497942386827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8CC1-4D38-9B1C-6CF68FFB1852}"/>
                </c:ext>
              </c:extLst>
            </c:dLbl>
            <c:dLbl>
              <c:idx val="2"/>
              <c:layout>
                <c:manualLayout>
                  <c:x val="-0.11335254562920283"/>
                  <c:y val="3.292181069958840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8CC1-4D38-9B1C-6CF68FFB1852}"/>
                </c:ext>
              </c:extLst>
            </c:dLbl>
            <c:dLbl>
              <c:idx val="3"/>
              <c:layout>
                <c:manualLayout>
                  <c:x val="-0.1159450765983629"/>
                  <c:y val="2.335051910233510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8CC1-4D38-9B1C-6CF68FFB1852}"/>
                </c:ext>
              </c:extLst>
            </c:dLbl>
            <c:dLbl>
              <c:idx val="4"/>
              <c:layout>
                <c:manualLayout>
                  <c:x val="0"/>
                  <c:y val="1.687763713080168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8CC1-4D38-9B1C-6CF68FFB1852}"/>
                </c:ext>
              </c:extLst>
            </c:dLbl>
            <c:spPr>
              <a:noFill/>
              <a:ln>
                <a:noFill/>
              </a:ln>
              <a:effectLst/>
            </c:spPr>
            <c:txPr>
              <a:bodyPr rot="0" spcFirstLastPara="1" vertOverflow="ellipsis" vert="horz" wrap="square" anchor="ctr" anchorCtr="1"/>
              <a:lstStyle/>
              <a:p>
                <a:pPr>
                  <a:defRPr sz="1000" b="1" i="0" u="none" strike="noStrike" kern="1200" baseline="0">
                    <a:solidFill>
                      <a:srgbClr val="0070C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 valstī'!$B$8:$F$8</c:f>
              <c:strCache>
                <c:ptCount val="5"/>
                <c:pt idx="0">
                  <c:v>2016.gads</c:v>
                </c:pt>
                <c:pt idx="1">
                  <c:v>2017.gads</c:v>
                </c:pt>
                <c:pt idx="2">
                  <c:v>2018.gads</c:v>
                </c:pt>
                <c:pt idx="3">
                  <c:v>2019.gads</c:v>
                </c:pt>
                <c:pt idx="4">
                  <c:v>2020.gads*</c:v>
                </c:pt>
              </c:strCache>
            </c:strRef>
          </c:cat>
          <c:val>
            <c:numRef>
              <c:f>'Kopā valstī'!$B$9:$F$9</c:f>
              <c:numCache>
                <c:formatCode>#\ ###\ ###</c:formatCode>
                <c:ptCount val="5"/>
                <c:pt idx="0">
                  <c:v>1968957</c:v>
                </c:pt>
                <c:pt idx="1">
                  <c:v>1950116</c:v>
                </c:pt>
                <c:pt idx="2">
                  <c:v>1934379</c:v>
                </c:pt>
                <c:pt idx="3">
                  <c:v>1919968</c:v>
                </c:pt>
                <c:pt idx="4" formatCode="#,##0">
                  <c:v>1907675</c:v>
                </c:pt>
              </c:numCache>
            </c:numRef>
          </c:val>
          <c:smooth val="1"/>
          <c:extLst>
            <c:ext xmlns:c16="http://schemas.microsoft.com/office/drawing/2014/chart" uri="{C3380CC4-5D6E-409C-BE32-E72D297353CC}">
              <c16:uniqueId val="{00000013-8CC1-4D38-9B1C-6CF68FFB1852}"/>
            </c:ext>
          </c:extLst>
        </c:ser>
        <c:dLbls>
          <c:showLegendKey val="0"/>
          <c:showVal val="0"/>
          <c:showCatName val="0"/>
          <c:showSerName val="0"/>
          <c:showPercent val="0"/>
          <c:showBubbleSize val="0"/>
        </c:dLbls>
        <c:marker val="1"/>
        <c:smooth val="0"/>
        <c:axId val="800310480"/>
        <c:axId val="800304904"/>
      </c:lineChart>
      <c:valAx>
        <c:axId val="802134016"/>
        <c:scaling>
          <c:orientation val="minMax"/>
        </c:scaling>
        <c:delete val="0"/>
        <c:axPos val="l"/>
        <c:majorGridlines>
          <c:spPr>
            <a:ln w="9525" cap="flat" cmpd="sng" algn="ctr">
              <a:solidFill>
                <a:schemeClr val="tx1">
                  <a:lumMod val="15000"/>
                  <a:lumOff val="85000"/>
                </a:schemeClr>
              </a:solidFill>
              <a:round/>
            </a:ln>
            <a:effectLst/>
          </c:spPr>
        </c:majorGridlines>
        <c:numFmt formatCode="#\ ###\ ###"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02134344"/>
        <c:crosses val="autoZero"/>
        <c:crossBetween val="between"/>
      </c:valAx>
      <c:catAx>
        <c:axId val="802134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02134016"/>
        <c:crosses val="autoZero"/>
        <c:auto val="1"/>
        <c:lblAlgn val="ctr"/>
        <c:lblOffset val="100"/>
        <c:noMultiLvlLbl val="0"/>
      </c:catAx>
      <c:valAx>
        <c:axId val="800304904"/>
        <c:scaling>
          <c:orientation val="minMax"/>
        </c:scaling>
        <c:delete val="0"/>
        <c:axPos val="r"/>
        <c:numFmt formatCode="#\ ###\ ###"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00310480"/>
        <c:crosses val="max"/>
        <c:crossBetween val="between"/>
      </c:valAx>
      <c:catAx>
        <c:axId val="800310480"/>
        <c:scaling>
          <c:orientation val="minMax"/>
        </c:scaling>
        <c:delete val="1"/>
        <c:axPos val="b"/>
        <c:numFmt formatCode="General" sourceLinked="1"/>
        <c:majorTickMark val="none"/>
        <c:minorTickMark val="none"/>
        <c:tickLblPos val="nextTo"/>
        <c:crossAx val="800304904"/>
        <c:crosses val="autoZero"/>
        <c:auto val="1"/>
        <c:lblAlgn val="ctr"/>
        <c:lblOffset val="100"/>
        <c:noMultiLvlLbl val="0"/>
      </c:catAx>
      <c:spPr>
        <a:noFill/>
        <a:ln>
          <a:noFill/>
        </a:ln>
        <a:effectLst/>
      </c:spPr>
    </c:plotArea>
    <c:legend>
      <c:legendPos val="b"/>
      <c:layout>
        <c:manualLayout>
          <c:xMode val="edge"/>
          <c:yMode val="edge"/>
          <c:x val="3.9779556243994089E-2"/>
          <c:y val="0.77831949911468012"/>
          <c:w val="0.91043590732714608"/>
          <c:h val="0.1758775480167782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110388958726542E-2"/>
          <c:y val="3.7225052220326474E-2"/>
          <c:w val="0.8905786621894386"/>
          <c:h val="0.63976808019720488"/>
        </c:manualLayout>
      </c:layout>
      <c:lineChart>
        <c:grouping val="standard"/>
        <c:varyColors val="0"/>
        <c:ser>
          <c:idx val="0"/>
          <c:order val="0"/>
          <c:tx>
            <c:strRef>
              <c:f>'Kopā valstī'!$A$24</c:f>
              <c:strCache>
                <c:ptCount val="1"/>
                <c:pt idx="0">
                  <c:v>Plānotā līguma summa datortomogrāfijai</c:v>
                </c:pt>
              </c:strCache>
            </c:strRef>
          </c:tx>
          <c:spPr>
            <a:ln w="28575" cap="rnd">
              <a:solidFill>
                <a:schemeClr val="accent4"/>
              </a:solidFill>
              <a:round/>
            </a:ln>
            <a:effectLst/>
          </c:spPr>
          <c:marker>
            <c:symbol val="diamond"/>
            <c:size val="14"/>
            <c:spPr>
              <a:solidFill>
                <a:srgbClr val="FFC000"/>
              </a:solidFill>
              <a:ln w="9525">
                <a:solidFill>
                  <a:srgbClr val="FFC000"/>
                </a:solidFill>
              </a:ln>
              <a:effectLst/>
            </c:spPr>
          </c:marker>
          <c:dLbls>
            <c:dLbl>
              <c:idx val="0"/>
              <c:layout>
                <c:manualLayout>
                  <c:x val="-5.1270414749681192E-2"/>
                  <c:y val="5.107679369536172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43D-4BAF-BA4D-97BF4E92AFE9}"/>
                </c:ext>
              </c:extLst>
            </c:dLbl>
            <c:dLbl>
              <c:idx val="1"/>
              <c:layout>
                <c:manualLayout>
                  <c:x val="-4.9191952981594324E-2"/>
                  <c:y val="-4.539176788947893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F43D-4BAF-BA4D-97BF4E92AFE9}"/>
                </c:ext>
              </c:extLst>
            </c:dLbl>
            <c:dLbl>
              <c:idx val="2"/>
              <c:layout>
                <c:manualLayout>
                  <c:x val="-9.1092869767348122E-2"/>
                  <c:y val="8.1625453089106376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0.18977188751600374"/>
                      <c:h val="0.10160254249504842"/>
                    </c:manualLayout>
                  </c15:layout>
                </c:ext>
                <c:ext xmlns:c16="http://schemas.microsoft.com/office/drawing/2014/chart" uri="{C3380CC4-5D6E-409C-BE32-E72D297353CC}">
                  <c16:uniqueId val="{00000002-F43D-4BAF-BA4D-97BF4E92AFE9}"/>
                </c:ext>
              </c:extLst>
            </c:dLbl>
            <c:spPr>
              <a:noFill/>
              <a:ln>
                <a:noFill/>
              </a:ln>
              <a:effectLst/>
            </c:spPr>
            <c:txPr>
              <a:bodyPr rot="0" spcFirstLastPara="1" vertOverflow="ellipsis" vert="horz" wrap="square" anchor="ctr" anchorCtr="1"/>
              <a:lstStyle/>
              <a:p>
                <a:pPr>
                  <a:defRPr sz="10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'Kopā valstī'!$B$23:$F$23</c:f>
              <c:strCache>
                <c:ptCount val="5"/>
                <c:pt idx="0">
                  <c:v>2016. gads</c:v>
                </c:pt>
                <c:pt idx="1">
                  <c:v>2017. gads</c:v>
                </c:pt>
                <c:pt idx="2">
                  <c:v>2018. gads</c:v>
                </c:pt>
                <c:pt idx="3">
                  <c:v>2019. gads</c:v>
                </c:pt>
                <c:pt idx="4">
                  <c:v>2020. gads*</c:v>
                </c:pt>
              </c:strCache>
            </c:strRef>
          </c:cat>
          <c:val>
            <c:numRef>
              <c:f>'Kopā valstī'!$B$24:$F$24</c:f>
              <c:numCache>
                <c:formatCode>#\ ###\ ###</c:formatCode>
                <c:ptCount val="5"/>
                <c:pt idx="0">
                  <c:v>13410023</c:v>
                </c:pt>
                <c:pt idx="1">
                  <c:v>16301129</c:v>
                </c:pt>
                <c:pt idx="2">
                  <c:v>11828142</c:v>
                </c:pt>
                <c:pt idx="3">
                  <c:v>13613534</c:v>
                </c:pt>
              </c:numCache>
            </c:numRef>
          </c:val>
          <c:smooth val="1"/>
          <c:extLst>
            <c:ext xmlns:c16="http://schemas.microsoft.com/office/drawing/2014/chart" uri="{C3380CC4-5D6E-409C-BE32-E72D297353CC}">
              <c16:uniqueId val="{00000003-F43D-4BAF-BA4D-97BF4E92AFE9}"/>
            </c:ext>
          </c:extLst>
        </c:ser>
        <c:ser>
          <c:idx val="1"/>
          <c:order val="1"/>
          <c:tx>
            <c:strRef>
              <c:f>'Kopā valstī'!$A$25</c:f>
              <c:strCache>
                <c:ptCount val="1"/>
                <c:pt idx="0">
                  <c:v>Precizētā līguma summa datortomogrāfijai</c:v>
                </c:pt>
              </c:strCache>
            </c:strRef>
          </c:tx>
          <c:spPr>
            <a:ln w="28575" cap="rnd">
              <a:solidFill>
                <a:srgbClr val="FA505C"/>
              </a:solidFill>
              <a:round/>
            </a:ln>
            <a:effectLst/>
          </c:spPr>
          <c:marker>
            <c:symbol val="diamond"/>
            <c:size val="14"/>
            <c:spPr>
              <a:solidFill>
                <a:srgbClr val="FA505C"/>
              </a:solidFill>
              <a:ln w="9525">
                <a:solidFill>
                  <a:srgbClr val="FA505C"/>
                </a:solidFill>
              </a:ln>
              <a:effectLst/>
            </c:spPr>
          </c:marker>
          <c:dLbls>
            <c:dLbl>
              <c:idx val="0"/>
              <c:layout>
                <c:manualLayout>
                  <c:x val="-0.14503324191595998"/>
                  <c:y val="-3.31132862621914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F43D-4BAF-BA4D-97BF4E92AFE9}"/>
                </c:ext>
              </c:extLst>
            </c:dLbl>
            <c:dLbl>
              <c:idx val="1"/>
              <c:layout>
                <c:manualLayout>
                  <c:x val="-7.6209384452539601E-17"/>
                  <c:y val="2.411714039621016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F43D-4BAF-BA4D-97BF4E92AFE9}"/>
                </c:ext>
              </c:extLst>
            </c:dLbl>
            <c:dLbl>
              <c:idx val="2"/>
              <c:layout>
                <c:manualLayout>
                  <c:x val="1.0870624356920766E-2"/>
                  <c:y val="-8.237354864540236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F43D-4BAF-BA4D-97BF4E92AFE9}"/>
                </c:ext>
              </c:extLst>
            </c:dLbl>
            <c:dLbl>
              <c:idx val="4"/>
              <c:layout>
                <c:manualLayout>
                  <c:x val="0"/>
                  <c:y val="-4.661016949152542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F43D-4BAF-BA4D-97BF4E92AFE9}"/>
                </c:ext>
              </c:extLst>
            </c:dLbl>
            <c:spPr>
              <a:noFill/>
              <a:ln>
                <a:noFill/>
              </a:ln>
              <a:effectLst/>
            </c:spPr>
            <c:txPr>
              <a:bodyPr rot="0" spcFirstLastPara="1" vertOverflow="ellipsis" vert="horz" wrap="square" anchor="ctr" anchorCtr="1"/>
              <a:lstStyle/>
              <a:p>
                <a:pPr>
                  <a:defRPr sz="1000" b="1" i="0" u="none" strike="noStrike" kern="1200" baseline="0">
                    <a:solidFill>
                      <a:srgbClr val="F83F2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'Kopā valstī'!$B$23:$F$23</c:f>
              <c:strCache>
                <c:ptCount val="5"/>
                <c:pt idx="0">
                  <c:v>2016. gads</c:v>
                </c:pt>
                <c:pt idx="1">
                  <c:v>2017. gads</c:v>
                </c:pt>
                <c:pt idx="2">
                  <c:v>2018. gads</c:v>
                </c:pt>
                <c:pt idx="3">
                  <c:v>2019. gads</c:v>
                </c:pt>
                <c:pt idx="4">
                  <c:v>2020. gads*</c:v>
                </c:pt>
              </c:strCache>
            </c:strRef>
          </c:cat>
          <c:val>
            <c:numRef>
              <c:f>'Kopā valstī'!$B$25:$F$25</c:f>
              <c:numCache>
                <c:formatCode>#\ ###\ ###</c:formatCode>
                <c:ptCount val="5"/>
                <c:pt idx="0">
                  <c:v>14144001</c:v>
                </c:pt>
                <c:pt idx="1">
                  <c:v>12478068</c:v>
                </c:pt>
                <c:pt idx="2">
                  <c:v>13085164</c:v>
                </c:pt>
                <c:pt idx="3" formatCode="#,##0">
                  <c:v>14984509</c:v>
                </c:pt>
                <c:pt idx="4" formatCode="#,##0">
                  <c:v>16532936</c:v>
                </c:pt>
              </c:numCache>
            </c:numRef>
          </c:val>
          <c:smooth val="1"/>
          <c:extLst>
            <c:ext xmlns:c16="http://schemas.microsoft.com/office/drawing/2014/chart" uri="{C3380CC4-5D6E-409C-BE32-E72D297353CC}">
              <c16:uniqueId val="{00000008-F43D-4BAF-BA4D-97BF4E92AFE9}"/>
            </c:ext>
          </c:extLst>
        </c:ser>
        <c:ser>
          <c:idx val="2"/>
          <c:order val="2"/>
          <c:tx>
            <c:strRef>
              <c:f>'Kopā valstī'!$A$26</c:f>
              <c:strCache>
                <c:ptCount val="1"/>
                <c:pt idx="0">
                  <c:v>Faktiskā līguma izpildes summa datortomogrāfijai</c:v>
                </c:pt>
              </c:strCache>
            </c:strRef>
          </c:tx>
          <c:spPr>
            <a:ln w="28575" cap="rnd">
              <a:solidFill>
                <a:schemeClr val="accent6">
                  <a:lumMod val="75000"/>
                </a:schemeClr>
              </a:solidFill>
              <a:round/>
            </a:ln>
            <a:effectLst/>
          </c:spPr>
          <c:marker>
            <c:symbol val="triangle"/>
            <c:size val="14"/>
            <c:spPr>
              <a:solidFill>
                <a:schemeClr val="accent6">
                  <a:lumMod val="75000"/>
                </a:schemeClr>
              </a:solidFill>
              <a:ln w="9525">
                <a:solidFill>
                  <a:schemeClr val="accent6">
                    <a:lumMod val="75000"/>
                  </a:schemeClr>
                </a:solidFill>
              </a:ln>
              <a:effectLst/>
            </c:spPr>
          </c:marker>
          <c:dPt>
            <c:idx val="1"/>
            <c:marker>
              <c:symbol val="triangle"/>
              <c:size val="14"/>
              <c:spPr>
                <a:solidFill>
                  <a:schemeClr val="accent6">
                    <a:lumMod val="75000"/>
                  </a:schemeClr>
                </a:solidFill>
                <a:ln w="9525">
                  <a:solidFill>
                    <a:schemeClr val="accent6">
                      <a:lumMod val="75000"/>
                    </a:schemeClr>
                  </a:solidFill>
                </a:ln>
                <a:effectLst/>
              </c:spPr>
            </c:marker>
            <c:bubble3D val="0"/>
            <c:spPr>
              <a:ln w="28575" cap="rnd">
                <a:solidFill>
                  <a:schemeClr val="accent6">
                    <a:lumMod val="75000"/>
                  </a:schemeClr>
                </a:solidFill>
                <a:round/>
              </a:ln>
              <a:effectLst/>
            </c:spPr>
            <c:extLst>
              <c:ext xmlns:c16="http://schemas.microsoft.com/office/drawing/2014/chart" uri="{C3380CC4-5D6E-409C-BE32-E72D297353CC}">
                <c16:uniqueId val="{0000000A-F43D-4BAF-BA4D-97BF4E92AFE9}"/>
              </c:ext>
            </c:extLst>
          </c:dPt>
          <c:dPt>
            <c:idx val="2"/>
            <c:marker>
              <c:symbol val="triangle"/>
              <c:size val="14"/>
              <c:spPr>
                <a:solidFill>
                  <a:schemeClr val="accent6">
                    <a:lumMod val="75000"/>
                  </a:schemeClr>
                </a:solidFill>
                <a:ln w="9525">
                  <a:solidFill>
                    <a:schemeClr val="accent6">
                      <a:lumMod val="75000"/>
                    </a:schemeClr>
                  </a:solidFill>
                </a:ln>
                <a:effectLst/>
              </c:spPr>
            </c:marker>
            <c:bubble3D val="0"/>
            <c:spPr>
              <a:ln w="28575" cap="rnd">
                <a:solidFill>
                  <a:schemeClr val="accent6">
                    <a:lumMod val="75000"/>
                  </a:schemeClr>
                </a:solidFill>
                <a:round/>
              </a:ln>
              <a:effectLst/>
            </c:spPr>
            <c:extLst>
              <c:ext xmlns:c16="http://schemas.microsoft.com/office/drawing/2014/chart" uri="{C3380CC4-5D6E-409C-BE32-E72D297353CC}">
                <c16:uniqueId val="{0000000C-F43D-4BAF-BA4D-97BF4E92AFE9}"/>
              </c:ext>
            </c:extLst>
          </c:dPt>
          <c:dPt>
            <c:idx val="3"/>
            <c:marker>
              <c:symbol val="triangle"/>
              <c:size val="14"/>
              <c:spPr>
                <a:solidFill>
                  <a:schemeClr val="accent6">
                    <a:lumMod val="75000"/>
                  </a:schemeClr>
                </a:solidFill>
                <a:ln w="9525">
                  <a:solidFill>
                    <a:schemeClr val="accent6">
                      <a:lumMod val="75000"/>
                    </a:schemeClr>
                  </a:solidFill>
                </a:ln>
                <a:effectLst/>
              </c:spPr>
            </c:marker>
            <c:bubble3D val="0"/>
            <c:spPr>
              <a:ln w="28575" cap="rnd">
                <a:solidFill>
                  <a:schemeClr val="accent6">
                    <a:lumMod val="75000"/>
                  </a:schemeClr>
                </a:solidFill>
                <a:round/>
              </a:ln>
              <a:effectLst/>
            </c:spPr>
            <c:extLst>
              <c:ext xmlns:c16="http://schemas.microsoft.com/office/drawing/2014/chart" uri="{C3380CC4-5D6E-409C-BE32-E72D297353CC}">
                <c16:uniqueId val="{0000000E-F43D-4BAF-BA4D-97BF4E92AFE9}"/>
              </c:ext>
            </c:extLst>
          </c:dPt>
          <c:dLbls>
            <c:numFmt formatCode="#\ ###\ ###\ " sourceLinked="0"/>
            <c:spPr>
              <a:noFill/>
              <a:ln>
                <a:noFill/>
              </a:ln>
              <a:effectLst/>
            </c:spPr>
            <c:txPr>
              <a:bodyPr rot="0" spcFirstLastPara="1" vertOverflow="ellipsis" vert="horz" wrap="square" anchor="ctr" anchorCtr="1"/>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'Kopā valstī'!$B$23:$F$23</c:f>
              <c:strCache>
                <c:ptCount val="5"/>
                <c:pt idx="0">
                  <c:v>2016. gads</c:v>
                </c:pt>
                <c:pt idx="1">
                  <c:v>2017. gads</c:v>
                </c:pt>
                <c:pt idx="2">
                  <c:v>2018. gads</c:v>
                </c:pt>
                <c:pt idx="3">
                  <c:v>2019. gads</c:v>
                </c:pt>
                <c:pt idx="4">
                  <c:v>2020. gads*</c:v>
                </c:pt>
              </c:strCache>
            </c:strRef>
          </c:cat>
          <c:val>
            <c:numRef>
              <c:f>'Kopā valstī'!$B$26:$F$26</c:f>
              <c:numCache>
                <c:formatCode>#\ ###\ ###</c:formatCode>
                <c:ptCount val="5"/>
                <c:pt idx="0">
                  <c:v>15452330.289999997</c:v>
                </c:pt>
                <c:pt idx="1">
                  <c:v>12935199.969999999</c:v>
                </c:pt>
                <c:pt idx="2">
                  <c:v>13247639.469999997</c:v>
                </c:pt>
                <c:pt idx="3" formatCode="#,##0">
                  <c:v>15404750.93</c:v>
                </c:pt>
              </c:numCache>
            </c:numRef>
          </c:val>
          <c:smooth val="1"/>
          <c:extLst>
            <c:ext xmlns:c16="http://schemas.microsoft.com/office/drawing/2014/chart" uri="{C3380CC4-5D6E-409C-BE32-E72D297353CC}">
              <c16:uniqueId val="{0000000F-F43D-4BAF-BA4D-97BF4E92AFE9}"/>
            </c:ext>
          </c:extLst>
        </c:ser>
        <c:dLbls>
          <c:showLegendKey val="0"/>
          <c:showVal val="0"/>
          <c:showCatName val="0"/>
          <c:showSerName val="0"/>
          <c:showPercent val="0"/>
          <c:showBubbleSize val="0"/>
        </c:dLbls>
        <c:marker val="1"/>
        <c:smooth val="0"/>
        <c:axId val="804348968"/>
        <c:axId val="804349296"/>
      </c:lineChart>
      <c:catAx>
        <c:axId val="804348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04349296"/>
        <c:crosses val="autoZero"/>
        <c:auto val="1"/>
        <c:lblAlgn val="ctr"/>
        <c:lblOffset val="100"/>
        <c:noMultiLvlLbl val="0"/>
      </c:catAx>
      <c:valAx>
        <c:axId val="804349296"/>
        <c:scaling>
          <c:orientation val="minMax"/>
          <c:min val="6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04348968"/>
        <c:crosses val="autoZero"/>
        <c:crossBetween val="between"/>
      </c:valAx>
      <c:spPr>
        <a:noFill/>
        <a:ln>
          <a:noFill/>
        </a:ln>
        <a:effectLst/>
      </c:spPr>
    </c:plotArea>
    <c:legend>
      <c:legendPos val="b"/>
      <c:layout>
        <c:manualLayout>
          <c:xMode val="edge"/>
          <c:yMode val="edge"/>
          <c:x val="3.6959555809212098E-2"/>
          <c:y val="0.80483273851676818"/>
          <c:w val="0.93600632345587964"/>
          <c:h val="0.1604297403608164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flip="none" rotWithShape="1">
              <a:gsLst>
                <a:gs pos="0">
                  <a:schemeClr val="accent5">
                    <a:shade val="30000"/>
                    <a:satMod val="115000"/>
                  </a:schemeClr>
                </a:gs>
                <a:gs pos="50000">
                  <a:schemeClr val="accent5">
                    <a:shade val="67500"/>
                    <a:satMod val="115000"/>
                  </a:schemeClr>
                </a:gs>
                <a:gs pos="100000">
                  <a:schemeClr val="accent5">
                    <a:shade val="100000"/>
                    <a:satMod val="115000"/>
                  </a:schemeClr>
                </a:gs>
              </a:gsLst>
              <a:lin ang="2700000" scaled="1"/>
              <a:tileRect/>
            </a:gradFill>
            <a:ln>
              <a:noFill/>
            </a:ln>
            <a:effectLst/>
          </c:spPr>
          <c:invertIfNegative val="0"/>
          <c:dLbls>
            <c:numFmt formatCode="#\ ###"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Sheet1!$A$2:$E$2</c:f>
              <c:strCache>
                <c:ptCount val="5"/>
                <c:pt idx="0">
                  <c:v>2016. gada
1. aprīlis</c:v>
                </c:pt>
                <c:pt idx="1">
                  <c:v>2017.gada 1. janvāris</c:v>
                </c:pt>
                <c:pt idx="2">
                  <c:v>2018. gada 1. janvāris</c:v>
                </c:pt>
                <c:pt idx="3">
                  <c:v>2019. gada 1. janvāris</c:v>
                </c:pt>
                <c:pt idx="4">
                  <c:v>2020. gada 1. janvāris</c:v>
                </c:pt>
              </c:strCache>
            </c:strRef>
          </c:cat>
          <c:val>
            <c:numRef>
              <c:f>Sheet1!$A$3:$E$3</c:f>
              <c:numCache>
                <c:formatCode>General</c:formatCode>
                <c:ptCount val="5"/>
                <c:pt idx="0">
                  <c:v>12001</c:v>
                </c:pt>
                <c:pt idx="1">
                  <c:v>8187</c:v>
                </c:pt>
                <c:pt idx="2">
                  <c:v>4971</c:v>
                </c:pt>
                <c:pt idx="3">
                  <c:v>5418</c:v>
                </c:pt>
                <c:pt idx="4" formatCode="0">
                  <c:v>11304</c:v>
                </c:pt>
              </c:numCache>
            </c:numRef>
          </c:val>
          <c:extLst>
            <c:ext xmlns:c16="http://schemas.microsoft.com/office/drawing/2014/chart" uri="{C3380CC4-5D6E-409C-BE32-E72D297353CC}">
              <c16:uniqueId val="{00000000-9710-4758-A34C-687BD84B6FDF}"/>
            </c:ext>
          </c:extLst>
        </c:ser>
        <c:dLbls>
          <c:showLegendKey val="0"/>
          <c:showVal val="0"/>
          <c:showCatName val="0"/>
          <c:showSerName val="0"/>
          <c:showPercent val="0"/>
          <c:showBubbleSize val="0"/>
        </c:dLbls>
        <c:gapWidth val="50"/>
        <c:overlap val="-27"/>
        <c:axId val="568407232"/>
        <c:axId val="499793440"/>
      </c:barChart>
      <c:catAx>
        <c:axId val="56840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99793440"/>
        <c:crosses val="autoZero"/>
        <c:auto val="1"/>
        <c:lblAlgn val="ctr"/>
        <c:lblOffset val="100"/>
        <c:noMultiLvlLbl val="0"/>
      </c:catAx>
      <c:valAx>
        <c:axId val="499793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8407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DD4DC9-EA9E-45A9-8D0D-972AD75B2C1B}" type="doc">
      <dgm:prSet loTypeId="urn:microsoft.com/office/officeart/2005/8/layout/default" loCatId="list" qsTypeId="urn:microsoft.com/office/officeart/2005/8/quickstyle/simple5" qsCatId="simple" csTypeId="urn:microsoft.com/office/officeart/2005/8/colors/accent6_5" csCatId="accent6" phldr="1"/>
      <dgm:spPr/>
      <dgm:t>
        <a:bodyPr/>
        <a:lstStyle/>
        <a:p>
          <a:endParaRPr lang="en-US"/>
        </a:p>
      </dgm:t>
    </dgm:pt>
    <dgm:pt modelId="{94A16CBB-CF4C-403B-A125-7F8D1A30C2FF}">
      <dgm:prSet phldrT="[Text]" custT="1"/>
      <dgm:spPr>
        <a:xfrm>
          <a:off x="0" y="61385"/>
          <a:ext cx="1800026" cy="1080015"/>
        </a:xfrm>
        <a:prstGeom prst="rect">
          <a:avLst/>
        </a:prstGeom>
        <a:gradFill rotWithShape="0">
          <a:gsLst>
            <a:gs pos="0">
              <a:srgbClr val="70AD47">
                <a:alpha val="90000"/>
                <a:hueOff val="0"/>
                <a:satOff val="0"/>
                <a:lumOff val="0"/>
                <a:alphaOff val="0"/>
                <a:satMod val="103000"/>
                <a:lumMod val="102000"/>
                <a:tint val="94000"/>
              </a:srgbClr>
            </a:gs>
            <a:gs pos="50000">
              <a:srgbClr val="70AD47">
                <a:alpha val="90000"/>
                <a:hueOff val="0"/>
                <a:satOff val="0"/>
                <a:lumOff val="0"/>
                <a:alphaOff val="0"/>
                <a:satMod val="110000"/>
                <a:lumMod val="100000"/>
                <a:shade val="100000"/>
              </a:srgbClr>
            </a:gs>
            <a:gs pos="100000">
              <a:srgbClr val="70AD47">
                <a:alpha val="9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b="1" u="sng">
              <a:solidFill>
                <a:sysClr val="windowText" lastClr="000000"/>
              </a:solidFill>
              <a:latin typeface="Times New Roman" panose="02020603050405020304" pitchFamily="18" charset="0"/>
              <a:ea typeface="+mn-ea"/>
              <a:cs typeface="Times New Roman" panose="02020603050405020304" pitchFamily="18" charset="0"/>
            </a:rPr>
            <a:t>FM</a:t>
          </a:r>
          <a:endParaRPr lang="en-US" sz="1200" b="1" u="sng">
            <a:solidFill>
              <a:sysClr val="windowText" lastClr="000000"/>
            </a:solidFill>
            <a:latin typeface="Times New Roman" panose="02020603050405020304" pitchFamily="18" charset="0"/>
            <a:ea typeface="+mn-ea"/>
            <a:cs typeface="Times New Roman" panose="02020603050405020304" pitchFamily="18" charset="0"/>
          </a:endParaRPr>
        </a:p>
      </dgm:t>
    </dgm:pt>
    <dgm:pt modelId="{5DE2FCCD-C4A3-45D3-A167-17EBBCBFD2B2}" type="parTrans" cxnId="{52516AD5-9AB7-415A-A1B9-E751B3B5F7B0}">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D9082B3A-6D6A-42DC-99E5-BFBF8DC4320F}" type="sibTrans" cxnId="{52516AD5-9AB7-415A-A1B9-E751B3B5F7B0}">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14F66609-1A50-47FE-AA21-FD78015E4C64}">
      <dgm:prSet phldrT="[Text]" custT="1"/>
      <dgm:spPr>
        <a:xfrm>
          <a:off x="0" y="61385"/>
          <a:ext cx="1800026" cy="1080015"/>
        </a:xfrm>
        <a:prstGeom prst="rect">
          <a:avLst/>
        </a:prstGeom>
        <a:gradFill rotWithShape="0">
          <a:gsLst>
            <a:gs pos="0">
              <a:srgbClr val="70AD47">
                <a:alpha val="90000"/>
                <a:hueOff val="0"/>
                <a:satOff val="0"/>
                <a:lumOff val="0"/>
                <a:alphaOff val="0"/>
                <a:satMod val="103000"/>
                <a:lumMod val="102000"/>
                <a:tint val="94000"/>
              </a:srgbClr>
            </a:gs>
            <a:gs pos="50000">
              <a:srgbClr val="70AD47">
                <a:alpha val="90000"/>
                <a:hueOff val="0"/>
                <a:satOff val="0"/>
                <a:lumOff val="0"/>
                <a:alphaOff val="0"/>
                <a:satMod val="110000"/>
                <a:lumMod val="100000"/>
                <a:shade val="100000"/>
              </a:srgbClr>
            </a:gs>
            <a:gs pos="100000">
              <a:srgbClr val="70AD47">
                <a:alpha val="9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PPP politikas izstrāde un tās īstenošanas koordinēšana</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2A68EE10-4BC2-4437-B7CC-1614E968629B}" type="parTrans" cxnId="{4CAADF9C-8CDF-40F7-B826-F377B5C3D001}">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4B634887-6A47-4DF4-BDBF-FC58D5FD68D3}" type="sibTrans" cxnId="{4CAADF9C-8CDF-40F7-B826-F377B5C3D001}">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6F60DFBC-104D-49E3-998F-8090D05B0157}">
      <dgm:prSet phldrT="[Text]" custT="1"/>
      <dgm:spPr>
        <a:xfrm>
          <a:off x="1980029" y="61385"/>
          <a:ext cx="1800026" cy="1080015"/>
        </a:xfrm>
        <a:prstGeom prst="rect">
          <a:avLst/>
        </a:prstGeom>
        <a:gradFill rotWithShape="0">
          <a:gsLst>
            <a:gs pos="0">
              <a:srgbClr val="70AD47">
                <a:alpha val="90000"/>
                <a:hueOff val="0"/>
                <a:satOff val="0"/>
                <a:lumOff val="0"/>
                <a:alphaOff val="-8000"/>
                <a:satMod val="103000"/>
                <a:lumMod val="102000"/>
                <a:tint val="94000"/>
              </a:srgbClr>
            </a:gs>
            <a:gs pos="50000">
              <a:srgbClr val="70AD47">
                <a:alpha val="90000"/>
                <a:hueOff val="0"/>
                <a:satOff val="0"/>
                <a:lumOff val="0"/>
                <a:alphaOff val="-8000"/>
                <a:satMod val="110000"/>
                <a:lumMod val="100000"/>
                <a:shade val="100000"/>
              </a:srgbClr>
            </a:gs>
            <a:gs pos="100000">
              <a:srgbClr val="70AD47">
                <a:alpha val="90000"/>
                <a:hueOff val="0"/>
                <a:satOff val="0"/>
                <a:lumOff val="0"/>
                <a:alphaOff val="-800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b="1" u="sng">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rPr>
            <a:t>CFLA</a:t>
          </a:r>
          <a:endParaRPr lang="en-US" sz="1200" b="1" u="sng">
            <a:solidFill>
              <a:sysClr val="windowText" lastClr="000000"/>
            </a:solidFill>
            <a:latin typeface="Times New Roman" panose="02020603050405020304" pitchFamily="18" charset="0"/>
            <a:ea typeface="+mn-ea"/>
            <a:cs typeface="Times New Roman" panose="02020603050405020304" pitchFamily="18" charset="0"/>
          </a:endParaRPr>
        </a:p>
      </dgm:t>
    </dgm:pt>
    <dgm:pt modelId="{0ECCC6DD-FAF0-4E58-956A-860AD747AB06}" type="parTrans" cxnId="{3A5B5B59-4D78-4789-9962-82DC379572BA}">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13BECA6D-FBF3-4E65-BA33-238C42BF2695}" type="sibTrans" cxnId="{3A5B5B59-4D78-4789-9962-82DC379572BA}">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277B77BE-E5A1-4087-9C55-9949B8987183}">
      <dgm:prSet phldrT="[Text]" custT="1"/>
      <dgm:spPr>
        <a:xfrm>
          <a:off x="1980029" y="61385"/>
          <a:ext cx="1800026" cy="1080015"/>
        </a:xfrm>
        <a:prstGeom prst="rect">
          <a:avLst/>
        </a:prstGeom>
        <a:gradFill rotWithShape="0">
          <a:gsLst>
            <a:gs pos="0">
              <a:srgbClr val="70AD47">
                <a:alpha val="90000"/>
                <a:hueOff val="0"/>
                <a:satOff val="0"/>
                <a:lumOff val="0"/>
                <a:alphaOff val="-8000"/>
                <a:satMod val="103000"/>
                <a:lumMod val="102000"/>
                <a:tint val="94000"/>
              </a:srgbClr>
            </a:gs>
            <a:gs pos="50000">
              <a:srgbClr val="70AD47">
                <a:alpha val="90000"/>
                <a:hueOff val="0"/>
                <a:satOff val="0"/>
                <a:lumOff val="0"/>
                <a:alphaOff val="-8000"/>
                <a:satMod val="110000"/>
                <a:lumMod val="100000"/>
                <a:shade val="100000"/>
              </a:srgbClr>
            </a:gs>
            <a:gs pos="100000">
              <a:srgbClr val="70AD47">
                <a:alpha val="90000"/>
                <a:hueOff val="0"/>
                <a:satOff val="0"/>
                <a:lumOff val="0"/>
                <a:alphaOff val="-800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PPP projektu uzraudzība</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B08EE385-161F-4D8D-A7C6-422EF09C5EC6}" type="parTrans" cxnId="{071DC271-2A9A-49D0-AEAC-481AEDFDD158}">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70A9710D-D83B-43BA-8F3F-9DB20E324333}" type="sibTrans" cxnId="{071DC271-2A9A-49D0-AEAC-481AEDFDD158}">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0F879319-C194-4C9F-80F5-DF23F1D7B91C}">
      <dgm:prSet phldrT="[Text]" custT="1"/>
      <dgm:spPr>
        <a:xfrm>
          <a:off x="3960058" y="61385"/>
          <a:ext cx="1800026" cy="1080015"/>
        </a:xfrm>
        <a:prstGeom prst="rect">
          <a:avLst/>
        </a:prstGeom>
        <a:gradFill rotWithShape="0">
          <a:gsLst>
            <a:gs pos="0">
              <a:srgbClr val="70AD47">
                <a:alpha val="90000"/>
                <a:hueOff val="0"/>
                <a:satOff val="0"/>
                <a:lumOff val="0"/>
                <a:alphaOff val="-16000"/>
                <a:satMod val="103000"/>
                <a:lumMod val="102000"/>
                <a:tint val="94000"/>
              </a:srgbClr>
            </a:gs>
            <a:gs pos="50000">
              <a:srgbClr val="70AD47">
                <a:alpha val="90000"/>
                <a:hueOff val="0"/>
                <a:satOff val="0"/>
                <a:lumOff val="0"/>
                <a:alphaOff val="-16000"/>
                <a:satMod val="110000"/>
                <a:lumMod val="100000"/>
                <a:shade val="100000"/>
              </a:srgbClr>
            </a:gs>
            <a:gs pos="100000">
              <a:srgbClr val="70AD47">
                <a:alpha val="90000"/>
                <a:hueOff val="0"/>
                <a:satOff val="0"/>
                <a:lumOff val="0"/>
                <a:alphaOff val="-1600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b="1" u="sng">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rPr>
            <a:t>EM</a:t>
          </a:r>
          <a:endParaRPr lang="en-US" sz="1200" b="1" u="sng">
            <a:solidFill>
              <a:sysClr val="windowText" lastClr="000000"/>
            </a:solidFill>
            <a:latin typeface="Times New Roman" panose="02020603050405020304" pitchFamily="18" charset="0"/>
            <a:ea typeface="+mn-ea"/>
            <a:cs typeface="Times New Roman" panose="02020603050405020304" pitchFamily="18" charset="0"/>
          </a:endParaRPr>
        </a:p>
      </dgm:t>
    </dgm:pt>
    <dgm:pt modelId="{D4048426-F997-458F-A882-EC84CB3BD5FF}" type="parTrans" cxnId="{B3F78BF3-9417-4C68-9742-26C43389C395}">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7567D554-D5B2-44EE-8A0A-AB97E4C3F92E}" type="sibTrans" cxnId="{B3F78BF3-9417-4C68-9742-26C43389C395}">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FA2224A5-DDAF-4C75-928E-DE918EDCC6B0}">
      <dgm:prSet phldrT="[Text]" custT="1"/>
      <dgm:spPr>
        <a:xfrm>
          <a:off x="3960058" y="61385"/>
          <a:ext cx="1800026" cy="1080015"/>
        </a:xfrm>
        <a:prstGeom prst="rect">
          <a:avLst/>
        </a:prstGeom>
        <a:gradFill rotWithShape="0">
          <a:gsLst>
            <a:gs pos="0">
              <a:srgbClr val="70AD47">
                <a:alpha val="90000"/>
                <a:hueOff val="0"/>
                <a:satOff val="0"/>
                <a:lumOff val="0"/>
                <a:alphaOff val="-16000"/>
                <a:satMod val="103000"/>
                <a:lumMod val="102000"/>
                <a:tint val="94000"/>
              </a:srgbClr>
            </a:gs>
            <a:gs pos="50000">
              <a:srgbClr val="70AD47">
                <a:alpha val="90000"/>
                <a:hueOff val="0"/>
                <a:satOff val="0"/>
                <a:lumOff val="0"/>
                <a:alphaOff val="-16000"/>
                <a:satMod val="110000"/>
                <a:lumMod val="100000"/>
                <a:shade val="100000"/>
              </a:srgbClr>
            </a:gs>
            <a:gs pos="100000">
              <a:srgbClr val="70AD47">
                <a:alpha val="90000"/>
                <a:hueOff val="0"/>
                <a:satOff val="0"/>
                <a:lumOff val="0"/>
                <a:alphaOff val="-1600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izvērtē FEA atbilstību ES nosacījumiem </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6B538534-D101-43E9-A90A-FA4917C85481}" type="parTrans" cxnId="{F9DC985C-4E17-4AF9-8E03-2435D4A7953A}">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1588423A-35BB-4D65-A9FB-5213AFDED1F8}" type="sibTrans" cxnId="{F9DC985C-4E17-4AF9-8E03-2435D4A7953A}">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B8D4FE68-E510-436E-9C59-F5CB5C3BB8D5}">
      <dgm:prSet custT="1"/>
      <dgm:spPr>
        <a:xfrm>
          <a:off x="0" y="1321404"/>
          <a:ext cx="1800026" cy="1080015"/>
        </a:xfrm>
        <a:prstGeom prst="rect">
          <a:avLst/>
        </a:prstGeom>
        <a:gradFill rotWithShape="0">
          <a:gsLst>
            <a:gs pos="0">
              <a:srgbClr val="70AD47">
                <a:alpha val="90000"/>
                <a:hueOff val="0"/>
                <a:satOff val="0"/>
                <a:lumOff val="0"/>
                <a:alphaOff val="-24000"/>
                <a:satMod val="103000"/>
                <a:lumMod val="102000"/>
                <a:tint val="94000"/>
              </a:srgbClr>
            </a:gs>
            <a:gs pos="50000">
              <a:srgbClr val="70AD47">
                <a:alpha val="90000"/>
                <a:hueOff val="0"/>
                <a:satOff val="0"/>
                <a:lumOff val="0"/>
                <a:alphaOff val="-24000"/>
                <a:satMod val="110000"/>
                <a:lumMod val="100000"/>
                <a:shade val="100000"/>
              </a:srgbClr>
            </a:gs>
            <a:gs pos="100000">
              <a:srgbClr val="70AD47">
                <a:alpha val="90000"/>
                <a:hueOff val="0"/>
                <a:satOff val="0"/>
                <a:lumOff val="0"/>
                <a:alphaOff val="-2400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b="1" i="0" u="sng">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rPr>
            <a:t>IUB</a:t>
          </a:r>
          <a:endParaRPr lang="en-US" sz="1200" b="1" i="0" u="sng">
            <a:solidFill>
              <a:sysClr val="windowText" lastClr="000000"/>
            </a:solidFill>
            <a:latin typeface="Times New Roman" panose="02020603050405020304" pitchFamily="18" charset="0"/>
            <a:ea typeface="+mn-ea"/>
            <a:cs typeface="Times New Roman" panose="02020603050405020304" pitchFamily="18" charset="0"/>
          </a:endParaRPr>
        </a:p>
      </dgm:t>
    </dgm:pt>
    <dgm:pt modelId="{2DE16EEE-A134-480E-8A66-679D1D44F6C8}" type="parTrans" cxnId="{0F819830-9921-4F0D-A64F-04105DDE90FB}">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5ED5598B-125B-4EA0-BE51-ADAAD38254FF}" type="sibTrans" cxnId="{0F819830-9921-4F0D-A64F-04105DDE90FB}">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70CB1700-4838-4707-B154-107D7C934F53}">
      <dgm:prSet custT="1"/>
      <dgm:spPr>
        <a:xfrm>
          <a:off x="1980029" y="1321404"/>
          <a:ext cx="1800026" cy="1080015"/>
        </a:xfrm>
        <a:prstGeom prst="rect">
          <a:avLst/>
        </a:prstGeom>
        <a:gradFill rotWithShape="0">
          <a:gsLst>
            <a:gs pos="0">
              <a:srgbClr val="70AD47">
                <a:alpha val="90000"/>
                <a:hueOff val="0"/>
                <a:satOff val="0"/>
                <a:lumOff val="0"/>
                <a:alphaOff val="-32000"/>
                <a:satMod val="103000"/>
                <a:lumMod val="102000"/>
                <a:tint val="94000"/>
              </a:srgbClr>
            </a:gs>
            <a:gs pos="50000">
              <a:srgbClr val="70AD47">
                <a:alpha val="90000"/>
                <a:hueOff val="0"/>
                <a:satOff val="0"/>
                <a:lumOff val="0"/>
                <a:alphaOff val="-32000"/>
                <a:satMod val="110000"/>
                <a:lumMod val="100000"/>
                <a:shade val="100000"/>
              </a:srgbClr>
            </a:gs>
            <a:gs pos="100000">
              <a:srgbClr val="70AD47">
                <a:alpha val="90000"/>
                <a:hueOff val="0"/>
                <a:satOff val="0"/>
                <a:lumOff val="0"/>
                <a:alphaOff val="-3200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b="1" u="sng">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rPr>
            <a:t>Uzņēmumu reģistrs</a:t>
          </a:r>
          <a:endParaRPr lang="en-US" sz="1200" b="1" u="sng">
            <a:solidFill>
              <a:sysClr val="windowText" lastClr="000000"/>
            </a:solidFill>
            <a:latin typeface="Times New Roman" panose="02020603050405020304" pitchFamily="18" charset="0"/>
            <a:ea typeface="+mn-ea"/>
            <a:cs typeface="Times New Roman" panose="02020603050405020304" pitchFamily="18" charset="0"/>
          </a:endParaRPr>
        </a:p>
      </dgm:t>
    </dgm:pt>
    <dgm:pt modelId="{ABC29D0D-48EA-4DC9-BA1A-4A03E0EFA5A2}" type="parTrans" cxnId="{F61468AC-05DC-4BE4-8D1F-AEFF62FB35D8}">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F342CD78-4619-43A2-841D-9B30D23E31DD}" type="sibTrans" cxnId="{F61468AC-05DC-4BE4-8D1F-AEFF62FB35D8}">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B86C9E83-B67B-4119-B7A3-703BD6D8B756}">
      <dgm:prSet custT="1"/>
      <dgm:spPr>
        <a:xfrm>
          <a:off x="3960058" y="1321404"/>
          <a:ext cx="1800026" cy="1080015"/>
        </a:xfrm>
        <a:prstGeom prst="rect">
          <a:avLst/>
        </a:prstGeom>
        <a:gradFill rotWithShape="0">
          <a:gsLst>
            <a:gs pos="0">
              <a:srgbClr val="70AD47">
                <a:alpha val="90000"/>
                <a:hueOff val="0"/>
                <a:satOff val="0"/>
                <a:lumOff val="0"/>
                <a:alphaOff val="-40000"/>
                <a:satMod val="103000"/>
                <a:lumMod val="102000"/>
                <a:tint val="94000"/>
              </a:srgbClr>
            </a:gs>
            <a:gs pos="50000">
              <a:srgbClr val="70AD47">
                <a:alpha val="90000"/>
                <a:hueOff val="0"/>
                <a:satOff val="0"/>
                <a:lumOff val="0"/>
                <a:alphaOff val="-40000"/>
                <a:satMod val="110000"/>
                <a:lumMod val="100000"/>
                <a:shade val="100000"/>
              </a:srgbClr>
            </a:gs>
            <a:gs pos="100000">
              <a:srgbClr val="70AD47">
                <a:alpha val="90000"/>
                <a:hueOff val="0"/>
                <a:satOff val="0"/>
                <a:lumOff val="0"/>
                <a:alphaOff val="-4000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b="1" u="sng">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rPr>
            <a:t>MK, nozaru ministrijas, pašvaldības</a:t>
          </a:r>
          <a:endParaRPr lang="en-US" sz="1200" b="1" u="sng">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endParaRPr>
        </a:p>
      </dgm:t>
    </dgm:pt>
    <dgm:pt modelId="{177FF50F-1040-4336-A9A3-40CD1EE1ED7B}" type="parTrans" cxnId="{7F8DC333-5DE0-4E37-9E70-9F49037ADB7C}">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D915C79D-326E-40E6-864D-8CECCBDA5400}" type="sibTrans" cxnId="{7F8DC333-5DE0-4E37-9E70-9F49037ADB7C}">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BA0E9375-0FC7-4F59-8A4F-E0C1E4B9C3C3}">
      <dgm:prSet custT="1"/>
      <dgm:spPr>
        <a:xfrm>
          <a:off x="0" y="61385"/>
          <a:ext cx="1800026" cy="1080015"/>
        </a:xfrm>
        <a:prstGeom prst="rect">
          <a:avLst/>
        </a:prstGeom>
        <a:gradFill rotWithShape="0">
          <a:gsLst>
            <a:gs pos="0">
              <a:srgbClr val="70AD47">
                <a:alpha val="90000"/>
                <a:hueOff val="0"/>
                <a:satOff val="0"/>
                <a:lumOff val="0"/>
                <a:alphaOff val="0"/>
                <a:satMod val="103000"/>
                <a:lumMod val="102000"/>
                <a:tint val="94000"/>
              </a:srgbClr>
            </a:gs>
            <a:gs pos="50000">
              <a:srgbClr val="70AD47">
                <a:alpha val="90000"/>
                <a:hueOff val="0"/>
                <a:satOff val="0"/>
                <a:lumOff val="0"/>
                <a:alphaOff val="0"/>
                <a:satMod val="110000"/>
                <a:lumMod val="100000"/>
                <a:shade val="100000"/>
              </a:srgbClr>
            </a:gs>
            <a:gs pos="100000">
              <a:srgbClr val="70AD47">
                <a:alpha val="9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FEA un projekta ietekmes uz budžetu analīze</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CE9FDFB7-CCCD-4566-A507-2DAE4E892DFC}" type="parTrans" cxnId="{472EECCB-6AD1-4012-ACCA-3097330F81FF}">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1FC26AC6-A8AE-4FC7-9352-C3E4F4C07643}" type="sibTrans" cxnId="{472EECCB-6AD1-4012-ACCA-3097330F81FF}">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BA923122-4A24-432F-8D84-2A374236AF28}">
      <dgm:prSet custT="1"/>
      <dgm:spPr>
        <a:xfrm>
          <a:off x="1980029" y="61385"/>
          <a:ext cx="1800026" cy="1080015"/>
        </a:xfrm>
        <a:prstGeom prst="rect">
          <a:avLst/>
        </a:prstGeom>
        <a:gradFill rotWithShape="0">
          <a:gsLst>
            <a:gs pos="0">
              <a:srgbClr val="70AD47">
                <a:alpha val="90000"/>
                <a:hueOff val="0"/>
                <a:satOff val="0"/>
                <a:lumOff val="0"/>
                <a:alphaOff val="-8000"/>
                <a:satMod val="103000"/>
                <a:lumMod val="102000"/>
                <a:tint val="94000"/>
              </a:srgbClr>
            </a:gs>
            <a:gs pos="50000">
              <a:srgbClr val="70AD47">
                <a:alpha val="90000"/>
                <a:hueOff val="0"/>
                <a:satOff val="0"/>
                <a:lumOff val="0"/>
                <a:alphaOff val="-8000"/>
                <a:satMod val="110000"/>
                <a:lumMod val="100000"/>
                <a:shade val="100000"/>
              </a:srgbClr>
            </a:gs>
            <a:gs pos="100000">
              <a:srgbClr val="70AD47">
                <a:alpha val="90000"/>
                <a:hueOff val="0"/>
                <a:satOff val="0"/>
                <a:lumOff val="0"/>
                <a:alphaOff val="-800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FEA analīze</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CB87D490-8D5C-404F-A52C-46E46FE45B03}" type="parTrans" cxnId="{2B8F401C-2B1E-4418-B2A6-8DB702E83394}">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EE913B04-8455-4C58-8D72-722EC21C796F}" type="sibTrans" cxnId="{2B8F401C-2B1E-4418-B2A6-8DB702E83394}">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35F0208A-90B1-42D3-A130-63DBEEC9D262}">
      <dgm:prSet custT="1"/>
      <dgm:spPr>
        <a:xfrm>
          <a:off x="1980029" y="61385"/>
          <a:ext cx="1800026" cy="1080015"/>
        </a:xfrm>
        <a:prstGeom prst="rect">
          <a:avLst/>
        </a:prstGeom>
        <a:gradFill rotWithShape="0">
          <a:gsLst>
            <a:gs pos="0">
              <a:srgbClr val="70AD47">
                <a:alpha val="90000"/>
                <a:hueOff val="0"/>
                <a:satOff val="0"/>
                <a:lumOff val="0"/>
                <a:alphaOff val="-8000"/>
                <a:satMod val="103000"/>
                <a:lumMod val="102000"/>
                <a:tint val="94000"/>
              </a:srgbClr>
            </a:gs>
            <a:gs pos="50000">
              <a:srgbClr val="70AD47">
                <a:alpha val="90000"/>
                <a:hueOff val="0"/>
                <a:satOff val="0"/>
                <a:lumOff val="0"/>
                <a:alphaOff val="-8000"/>
                <a:satMod val="110000"/>
                <a:lumMod val="100000"/>
                <a:shade val="100000"/>
              </a:srgbClr>
            </a:gs>
            <a:gs pos="100000">
              <a:srgbClr val="70AD47">
                <a:alpha val="90000"/>
                <a:hueOff val="0"/>
                <a:satOff val="0"/>
                <a:lumOff val="0"/>
                <a:alphaOff val="-800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PPP zināšanu bāze; popularizēšana</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275A4ECE-B340-45AD-8FFB-C6CEED547609}" type="parTrans" cxnId="{F7917476-89DA-41E4-AE80-B9283A572CF7}">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F8958A15-60F3-444B-B2C6-0FFFF0389C84}" type="sibTrans" cxnId="{F7917476-89DA-41E4-AE80-B9283A572CF7}">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BCE57CB6-F2F0-419F-9E45-779802DAB9BA}">
      <dgm:prSet custT="1"/>
      <dgm:spPr>
        <a:xfrm>
          <a:off x="0" y="1321404"/>
          <a:ext cx="1800026" cy="1080015"/>
        </a:xfrm>
        <a:prstGeom prst="rect">
          <a:avLst/>
        </a:prstGeom>
        <a:gradFill rotWithShape="0">
          <a:gsLst>
            <a:gs pos="0">
              <a:srgbClr val="70AD47">
                <a:alpha val="90000"/>
                <a:hueOff val="0"/>
                <a:satOff val="0"/>
                <a:lumOff val="0"/>
                <a:alphaOff val="-24000"/>
                <a:satMod val="103000"/>
                <a:lumMod val="102000"/>
                <a:tint val="94000"/>
              </a:srgbClr>
            </a:gs>
            <a:gs pos="50000">
              <a:srgbClr val="70AD47">
                <a:alpha val="90000"/>
                <a:hueOff val="0"/>
                <a:satOff val="0"/>
                <a:lumOff val="0"/>
                <a:alphaOff val="-24000"/>
                <a:satMod val="110000"/>
                <a:lumMod val="100000"/>
                <a:shade val="100000"/>
              </a:srgbClr>
            </a:gs>
            <a:gs pos="100000">
              <a:srgbClr val="70AD47">
                <a:alpha val="90000"/>
                <a:hueOff val="0"/>
                <a:satOff val="0"/>
                <a:lumOff val="0"/>
                <a:alphaOff val="-2400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PPP iepirkuma procedūras uzraudzība</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DE3886DF-D2B7-43BB-95F0-D7FABC053301}" type="parTrans" cxnId="{D82FEBDA-EEAB-4E1A-B4EC-12D43D105000}">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78B0C143-3088-4A8F-B445-2784B08AAC72}" type="sibTrans" cxnId="{D82FEBDA-EEAB-4E1A-B4EC-12D43D105000}">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FE653EEA-CCD0-4CBA-BF35-52D76A9B98AA}">
      <dgm:prSet custT="1"/>
      <dgm:spPr>
        <a:xfrm>
          <a:off x="1980029" y="1321404"/>
          <a:ext cx="1800026" cy="1080015"/>
        </a:xfrm>
        <a:prstGeom prst="rect">
          <a:avLst/>
        </a:prstGeom>
        <a:gradFill rotWithShape="0">
          <a:gsLst>
            <a:gs pos="0">
              <a:srgbClr val="70AD47">
                <a:alpha val="90000"/>
                <a:hueOff val="0"/>
                <a:satOff val="0"/>
                <a:lumOff val="0"/>
                <a:alphaOff val="-32000"/>
                <a:satMod val="103000"/>
                <a:lumMod val="102000"/>
                <a:tint val="94000"/>
              </a:srgbClr>
            </a:gs>
            <a:gs pos="50000">
              <a:srgbClr val="70AD47">
                <a:alpha val="90000"/>
                <a:hueOff val="0"/>
                <a:satOff val="0"/>
                <a:lumOff val="0"/>
                <a:alphaOff val="-32000"/>
                <a:satMod val="110000"/>
                <a:lumMod val="100000"/>
                <a:shade val="100000"/>
              </a:srgbClr>
            </a:gs>
            <a:gs pos="100000">
              <a:srgbClr val="70AD47">
                <a:alpha val="90000"/>
                <a:hueOff val="0"/>
                <a:satOff val="0"/>
                <a:lumOff val="0"/>
                <a:alphaOff val="-3200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PPP līgumu reģistrēšana un publicēšana</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817CDC6E-B41A-41D8-9186-B67ABCD60499}" type="parTrans" cxnId="{26FA8A06-55F7-480C-A8A5-0063F04BFAFA}">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87276523-4550-4534-820D-869ECFFF738A}" type="sibTrans" cxnId="{26FA8A06-55F7-480C-A8A5-0063F04BFAFA}">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A85E4366-EBDB-408D-9047-08E426D801C8}">
      <dgm:prSet custT="1"/>
      <dgm:spPr>
        <a:xfrm>
          <a:off x="3960058" y="1321404"/>
          <a:ext cx="1800026" cy="1080015"/>
        </a:xfrm>
        <a:prstGeom prst="rect">
          <a:avLst/>
        </a:prstGeom>
        <a:gradFill rotWithShape="0">
          <a:gsLst>
            <a:gs pos="0">
              <a:srgbClr val="70AD47">
                <a:alpha val="90000"/>
                <a:hueOff val="0"/>
                <a:satOff val="0"/>
                <a:lumOff val="0"/>
                <a:alphaOff val="-40000"/>
                <a:satMod val="103000"/>
                <a:lumMod val="102000"/>
                <a:tint val="94000"/>
              </a:srgbClr>
            </a:gs>
            <a:gs pos="50000">
              <a:srgbClr val="70AD47">
                <a:alpha val="90000"/>
                <a:hueOff val="0"/>
                <a:satOff val="0"/>
                <a:lumOff val="0"/>
                <a:alphaOff val="-40000"/>
                <a:satMod val="110000"/>
                <a:lumMod val="100000"/>
                <a:shade val="100000"/>
              </a:srgbClr>
            </a:gs>
            <a:gs pos="100000">
              <a:srgbClr val="70AD47">
                <a:alpha val="90000"/>
                <a:hueOff val="0"/>
                <a:satOff val="0"/>
                <a:lumOff val="0"/>
                <a:alphaOff val="-4000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iesaiste, atkarībā no konkrētā PPP projekta</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854705D8-65F8-46B6-83D6-7E11A1BD408F}" type="parTrans" cxnId="{67CF9D95-1A22-44D3-A9F0-C76615F8DADA}">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E89032E5-2041-402D-8DFA-A6617C1ECBDE}" type="sibTrans" cxnId="{67CF9D95-1A22-44D3-A9F0-C76615F8DADA}">
      <dgm:prSet/>
      <dgm:spPr/>
      <dgm:t>
        <a:bodyPr/>
        <a:lstStyle/>
        <a:p>
          <a:pPr algn="l"/>
          <a:endParaRPr lang="en-US" sz="1200">
            <a:solidFill>
              <a:schemeClr val="tx1"/>
            </a:solidFill>
            <a:latin typeface="Times New Roman" panose="02020603050405020304" pitchFamily="18" charset="0"/>
            <a:cs typeface="Times New Roman" panose="02020603050405020304" pitchFamily="18" charset="0"/>
          </a:endParaRPr>
        </a:p>
      </dgm:t>
    </dgm:pt>
    <dgm:pt modelId="{AB846917-87EB-45F7-A496-9BF79CEE79BF}" type="pres">
      <dgm:prSet presAssocID="{A7DD4DC9-EA9E-45A9-8D0D-972AD75B2C1B}" presName="diagram" presStyleCnt="0">
        <dgm:presLayoutVars>
          <dgm:dir/>
          <dgm:resizeHandles val="exact"/>
        </dgm:presLayoutVars>
      </dgm:prSet>
      <dgm:spPr/>
      <dgm:t>
        <a:bodyPr/>
        <a:lstStyle/>
        <a:p>
          <a:endParaRPr lang="en-US"/>
        </a:p>
      </dgm:t>
    </dgm:pt>
    <dgm:pt modelId="{49BC48F8-EAA7-4FD7-9903-CCF8CA9E83EA}" type="pres">
      <dgm:prSet presAssocID="{94A16CBB-CF4C-403B-A125-7F8D1A30C2FF}" presName="node" presStyleLbl="node1" presStyleIdx="0" presStyleCnt="6">
        <dgm:presLayoutVars>
          <dgm:bulletEnabled val="1"/>
        </dgm:presLayoutVars>
      </dgm:prSet>
      <dgm:spPr/>
      <dgm:t>
        <a:bodyPr/>
        <a:lstStyle/>
        <a:p>
          <a:endParaRPr lang="en-US"/>
        </a:p>
      </dgm:t>
    </dgm:pt>
    <dgm:pt modelId="{9A9BDC6C-1436-4B2B-B33D-E4CE644F1E45}" type="pres">
      <dgm:prSet presAssocID="{D9082B3A-6D6A-42DC-99E5-BFBF8DC4320F}" presName="sibTrans" presStyleCnt="0"/>
      <dgm:spPr/>
      <dgm:t>
        <a:bodyPr/>
        <a:lstStyle/>
        <a:p>
          <a:endParaRPr lang="en-US"/>
        </a:p>
      </dgm:t>
    </dgm:pt>
    <dgm:pt modelId="{91550AD6-5C19-4A39-9D4D-05ABABE240FA}" type="pres">
      <dgm:prSet presAssocID="{6F60DFBC-104D-49E3-998F-8090D05B0157}" presName="node" presStyleLbl="node1" presStyleIdx="1" presStyleCnt="6">
        <dgm:presLayoutVars>
          <dgm:bulletEnabled val="1"/>
        </dgm:presLayoutVars>
      </dgm:prSet>
      <dgm:spPr/>
      <dgm:t>
        <a:bodyPr/>
        <a:lstStyle/>
        <a:p>
          <a:endParaRPr lang="en-US"/>
        </a:p>
      </dgm:t>
    </dgm:pt>
    <dgm:pt modelId="{B2D78EF4-E256-4362-9BFD-C76AB7ADF869}" type="pres">
      <dgm:prSet presAssocID="{13BECA6D-FBF3-4E65-BA33-238C42BF2695}" presName="sibTrans" presStyleCnt="0"/>
      <dgm:spPr/>
      <dgm:t>
        <a:bodyPr/>
        <a:lstStyle/>
        <a:p>
          <a:endParaRPr lang="en-US"/>
        </a:p>
      </dgm:t>
    </dgm:pt>
    <dgm:pt modelId="{E28B7EE9-8F0B-47C4-B409-75CD39F40CAE}" type="pres">
      <dgm:prSet presAssocID="{0F879319-C194-4C9F-80F5-DF23F1D7B91C}" presName="node" presStyleLbl="node1" presStyleIdx="2" presStyleCnt="6">
        <dgm:presLayoutVars>
          <dgm:bulletEnabled val="1"/>
        </dgm:presLayoutVars>
      </dgm:prSet>
      <dgm:spPr/>
      <dgm:t>
        <a:bodyPr/>
        <a:lstStyle/>
        <a:p>
          <a:endParaRPr lang="en-US"/>
        </a:p>
      </dgm:t>
    </dgm:pt>
    <dgm:pt modelId="{57C05246-403C-4BD1-8C58-FA6AF7AB1988}" type="pres">
      <dgm:prSet presAssocID="{7567D554-D5B2-44EE-8A0A-AB97E4C3F92E}" presName="sibTrans" presStyleCnt="0"/>
      <dgm:spPr/>
      <dgm:t>
        <a:bodyPr/>
        <a:lstStyle/>
        <a:p>
          <a:endParaRPr lang="en-US"/>
        </a:p>
      </dgm:t>
    </dgm:pt>
    <dgm:pt modelId="{4F22F829-F3C8-4753-95F5-BA76C2E1F0EE}" type="pres">
      <dgm:prSet presAssocID="{B8D4FE68-E510-436E-9C59-F5CB5C3BB8D5}" presName="node" presStyleLbl="node1" presStyleIdx="3" presStyleCnt="6">
        <dgm:presLayoutVars>
          <dgm:bulletEnabled val="1"/>
        </dgm:presLayoutVars>
      </dgm:prSet>
      <dgm:spPr/>
      <dgm:t>
        <a:bodyPr/>
        <a:lstStyle/>
        <a:p>
          <a:endParaRPr lang="en-US"/>
        </a:p>
      </dgm:t>
    </dgm:pt>
    <dgm:pt modelId="{C3E73F74-B80E-4132-9E38-84A63DC2266F}" type="pres">
      <dgm:prSet presAssocID="{5ED5598B-125B-4EA0-BE51-ADAAD38254FF}" presName="sibTrans" presStyleCnt="0"/>
      <dgm:spPr/>
      <dgm:t>
        <a:bodyPr/>
        <a:lstStyle/>
        <a:p>
          <a:endParaRPr lang="en-US"/>
        </a:p>
      </dgm:t>
    </dgm:pt>
    <dgm:pt modelId="{AFFF1220-BB48-4092-9654-FE544A9178F7}" type="pres">
      <dgm:prSet presAssocID="{70CB1700-4838-4707-B154-107D7C934F53}" presName="node" presStyleLbl="node1" presStyleIdx="4" presStyleCnt="6">
        <dgm:presLayoutVars>
          <dgm:bulletEnabled val="1"/>
        </dgm:presLayoutVars>
      </dgm:prSet>
      <dgm:spPr/>
      <dgm:t>
        <a:bodyPr/>
        <a:lstStyle/>
        <a:p>
          <a:endParaRPr lang="en-US"/>
        </a:p>
      </dgm:t>
    </dgm:pt>
    <dgm:pt modelId="{37E555C9-2330-4764-9FC2-A7126739E313}" type="pres">
      <dgm:prSet presAssocID="{F342CD78-4619-43A2-841D-9B30D23E31DD}" presName="sibTrans" presStyleCnt="0"/>
      <dgm:spPr/>
      <dgm:t>
        <a:bodyPr/>
        <a:lstStyle/>
        <a:p>
          <a:endParaRPr lang="en-US"/>
        </a:p>
      </dgm:t>
    </dgm:pt>
    <dgm:pt modelId="{E295C487-1CFF-4D87-A613-2A443F0A185B}" type="pres">
      <dgm:prSet presAssocID="{B86C9E83-B67B-4119-B7A3-703BD6D8B756}" presName="node" presStyleLbl="node1" presStyleIdx="5" presStyleCnt="6">
        <dgm:presLayoutVars>
          <dgm:bulletEnabled val="1"/>
        </dgm:presLayoutVars>
      </dgm:prSet>
      <dgm:spPr/>
      <dgm:t>
        <a:bodyPr/>
        <a:lstStyle/>
        <a:p>
          <a:endParaRPr lang="en-US"/>
        </a:p>
      </dgm:t>
    </dgm:pt>
  </dgm:ptLst>
  <dgm:cxnLst>
    <dgm:cxn modelId="{071DC271-2A9A-49D0-AEAC-481AEDFDD158}" srcId="{6F60DFBC-104D-49E3-998F-8090D05B0157}" destId="{277B77BE-E5A1-4087-9C55-9949B8987183}" srcOrd="0" destOrd="0" parTransId="{B08EE385-161F-4D8D-A7C6-422EF09C5EC6}" sibTransId="{70A9710D-D83B-43BA-8F3F-9DB20E324333}"/>
    <dgm:cxn modelId="{F9DC985C-4E17-4AF9-8E03-2435D4A7953A}" srcId="{0F879319-C194-4C9F-80F5-DF23F1D7B91C}" destId="{FA2224A5-DDAF-4C75-928E-DE918EDCC6B0}" srcOrd="0" destOrd="0" parTransId="{6B538534-D101-43E9-A90A-FA4917C85481}" sibTransId="{1588423A-35BB-4D65-A9FB-5213AFDED1F8}"/>
    <dgm:cxn modelId="{6AEEE533-CAA5-4CD4-9600-6B582AFB8653}" type="presOf" srcId="{BCE57CB6-F2F0-419F-9E45-779802DAB9BA}" destId="{4F22F829-F3C8-4753-95F5-BA76C2E1F0EE}" srcOrd="0" destOrd="1" presId="urn:microsoft.com/office/officeart/2005/8/layout/default"/>
    <dgm:cxn modelId="{488509E1-CC41-43A8-BB3E-00999EA1392D}" type="presOf" srcId="{94A16CBB-CF4C-403B-A125-7F8D1A30C2FF}" destId="{49BC48F8-EAA7-4FD7-9903-CCF8CA9E83EA}" srcOrd="0" destOrd="0" presId="urn:microsoft.com/office/officeart/2005/8/layout/default"/>
    <dgm:cxn modelId="{67CF9D95-1A22-44D3-A9F0-C76615F8DADA}" srcId="{B86C9E83-B67B-4119-B7A3-703BD6D8B756}" destId="{A85E4366-EBDB-408D-9047-08E426D801C8}" srcOrd="0" destOrd="0" parTransId="{854705D8-65F8-46B6-83D6-7E11A1BD408F}" sibTransId="{E89032E5-2041-402D-8DFA-A6617C1ECBDE}"/>
    <dgm:cxn modelId="{754FF6A0-63B3-4C51-929A-FFA1E986EC8D}" type="presOf" srcId="{BA0E9375-0FC7-4F59-8A4F-E0C1E4B9C3C3}" destId="{49BC48F8-EAA7-4FD7-9903-CCF8CA9E83EA}" srcOrd="0" destOrd="2" presId="urn:microsoft.com/office/officeart/2005/8/layout/default"/>
    <dgm:cxn modelId="{46F99DAB-B96B-4BA5-8789-B0FDA28E66CF}" type="presOf" srcId="{6F60DFBC-104D-49E3-998F-8090D05B0157}" destId="{91550AD6-5C19-4A39-9D4D-05ABABE240FA}" srcOrd="0" destOrd="0" presId="urn:microsoft.com/office/officeart/2005/8/layout/default"/>
    <dgm:cxn modelId="{F61468AC-05DC-4BE4-8D1F-AEFF62FB35D8}" srcId="{A7DD4DC9-EA9E-45A9-8D0D-972AD75B2C1B}" destId="{70CB1700-4838-4707-B154-107D7C934F53}" srcOrd="4" destOrd="0" parTransId="{ABC29D0D-48EA-4DC9-BA1A-4A03E0EFA5A2}" sibTransId="{F342CD78-4619-43A2-841D-9B30D23E31DD}"/>
    <dgm:cxn modelId="{2C5AD7EB-C723-4666-9A1A-ED2F8370BC6D}" type="presOf" srcId="{B86C9E83-B67B-4119-B7A3-703BD6D8B756}" destId="{E295C487-1CFF-4D87-A613-2A443F0A185B}" srcOrd="0" destOrd="0" presId="urn:microsoft.com/office/officeart/2005/8/layout/default"/>
    <dgm:cxn modelId="{26FA8A06-55F7-480C-A8A5-0063F04BFAFA}" srcId="{70CB1700-4838-4707-B154-107D7C934F53}" destId="{FE653EEA-CCD0-4CBA-BF35-52D76A9B98AA}" srcOrd="0" destOrd="0" parTransId="{817CDC6E-B41A-41D8-9186-B67ABCD60499}" sibTransId="{87276523-4550-4534-820D-869ECFFF738A}"/>
    <dgm:cxn modelId="{B3F78BF3-9417-4C68-9742-26C43389C395}" srcId="{A7DD4DC9-EA9E-45A9-8D0D-972AD75B2C1B}" destId="{0F879319-C194-4C9F-80F5-DF23F1D7B91C}" srcOrd="2" destOrd="0" parTransId="{D4048426-F997-458F-A882-EC84CB3BD5FF}" sibTransId="{7567D554-D5B2-44EE-8A0A-AB97E4C3F92E}"/>
    <dgm:cxn modelId="{9D57F4B6-73BA-4306-955D-33486BB91895}" type="presOf" srcId="{A7DD4DC9-EA9E-45A9-8D0D-972AD75B2C1B}" destId="{AB846917-87EB-45F7-A496-9BF79CEE79BF}" srcOrd="0" destOrd="0" presId="urn:microsoft.com/office/officeart/2005/8/layout/default"/>
    <dgm:cxn modelId="{2B8F401C-2B1E-4418-B2A6-8DB702E83394}" srcId="{6F60DFBC-104D-49E3-998F-8090D05B0157}" destId="{BA923122-4A24-432F-8D84-2A374236AF28}" srcOrd="1" destOrd="0" parTransId="{CB87D490-8D5C-404F-A52C-46E46FE45B03}" sibTransId="{EE913B04-8455-4C58-8D72-722EC21C796F}"/>
    <dgm:cxn modelId="{76F3D60C-5B50-46AE-BA2F-33A1FC5811B0}" type="presOf" srcId="{FA2224A5-DDAF-4C75-928E-DE918EDCC6B0}" destId="{E28B7EE9-8F0B-47C4-B409-75CD39F40CAE}" srcOrd="0" destOrd="1" presId="urn:microsoft.com/office/officeart/2005/8/layout/default"/>
    <dgm:cxn modelId="{0F819830-9921-4F0D-A64F-04105DDE90FB}" srcId="{A7DD4DC9-EA9E-45A9-8D0D-972AD75B2C1B}" destId="{B8D4FE68-E510-436E-9C59-F5CB5C3BB8D5}" srcOrd="3" destOrd="0" parTransId="{2DE16EEE-A134-480E-8A66-679D1D44F6C8}" sibTransId="{5ED5598B-125B-4EA0-BE51-ADAAD38254FF}"/>
    <dgm:cxn modelId="{ECC1F171-1D66-4AC5-AD87-E2027FE8580F}" type="presOf" srcId="{14F66609-1A50-47FE-AA21-FD78015E4C64}" destId="{49BC48F8-EAA7-4FD7-9903-CCF8CA9E83EA}" srcOrd="0" destOrd="1" presId="urn:microsoft.com/office/officeart/2005/8/layout/default"/>
    <dgm:cxn modelId="{7F8DC333-5DE0-4E37-9E70-9F49037ADB7C}" srcId="{A7DD4DC9-EA9E-45A9-8D0D-972AD75B2C1B}" destId="{B86C9E83-B67B-4119-B7A3-703BD6D8B756}" srcOrd="5" destOrd="0" parTransId="{177FF50F-1040-4336-A9A3-40CD1EE1ED7B}" sibTransId="{D915C79D-326E-40E6-864D-8CECCBDA5400}"/>
    <dgm:cxn modelId="{4CAADF9C-8CDF-40F7-B826-F377B5C3D001}" srcId="{94A16CBB-CF4C-403B-A125-7F8D1A30C2FF}" destId="{14F66609-1A50-47FE-AA21-FD78015E4C64}" srcOrd="0" destOrd="0" parTransId="{2A68EE10-4BC2-4437-B7CC-1614E968629B}" sibTransId="{4B634887-6A47-4DF4-BDBF-FC58D5FD68D3}"/>
    <dgm:cxn modelId="{95BB62FE-6AB6-4CDA-AFAE-9FCE50775BBE}" type="presOf" srcId="{BA923122-4A24-432F-8D84-2A374236AF28}" destId="{91550AD6-5C19-4A39-9D4D-05ABABE240FA}" srcOrd="0" destOrd="2" presId="urn:microsoft.com/office/officeart/2005/8/layout/default"/>
    <dgm:cxn modelId="{C25559B7-F28A-4BB2-ADA0-D575FF614B4A}" type="presOf" srcId="{FE653EEA-CCD0-4CBA-BF35-52D76A9B98AA}" destId="{AFFF1220-BB48-4092-9654-FE544A9178F7}" srcOrd="0" destOrd="1" presId="urn:microsoft.com/office/officeart/2005/8/layout/default"/>
    <dgm:cxn modelId="{A62E3ACC-4A8F-424F-87F7-3971A2E987FB}" type="presOf" srcId="{A85E4366-EBDB-408D-9047-08E426D801C8}" destId="{E295C487-1CFF-4D87-A613-2A443F0A185B}" srcOrd="0" destOrd="1" presId="urn:microsoft.com/office/officeart/2005/8/layout/default"/>
    <dgm:cxn modelId="{0383A02F-B254-467C-A366-21ED8A922E21}" type="presOf" srcId="{0F879319-C194-4C9F-80F5-DF23F1D7B91C}" destId="{E28B7EE9-8F0B-47C4-B409-75CD39F40CAE}" srcOrd="0" destOrd="0" presId="urn:microsoft.com/office/officeart/2005/8/layout/default"/>
    <dgm:cxn modelId="{3A5B5B59-4D78-4789-9962-82DC379572BA}" srcId="{A7DD4DC9-EA9E-45A9-8D0D-972AD75B2C1B}" destId="{6F60DFBC-104D-49E3-998F-8090D05B0157}" srcOrd="1" destOrd="0" parTransId="{0ECCC6DD-FAF0-4E58-956A-860AD747AB06}" sibTransId="{13BECA6D-FBF3-4E65-BA33-238C42BF2695}"/>
    <dgm:cxn modelId="{52516AD5-9AB7-415A-A1B9-E751B3B5F7B0}" srcId="{A7DD4DC9-EA9E-45A9-8D0D-972AD75B2C1B}" destId="{94A16CBB-CF4C-403B-A125-7F8D1A30C2FF}" srcOrd="0" destOrd="0" parTransId="{5DE2FCCD-C4A3-45D3-A167-17EBBCBFD2B2}" sibTransId="{D9082B3A-6D6A-42DC-99E5-BFBF8DC4320F}"/>
    <dgm:cxn modelId="{472EECCB-6AD1-4012-ACCA-3097330F81FF}" srcId="{94A16CBB-CF4C-403B-A125-7F8D1A30C2FF}" destId="{BA0E9375-0FC7-4F59-8A4F-E0C1E4B9C3C3}" srcOrd="1" destOrd="0" parTransId="{CE9FDFB7-CCCD-4566-A507-2DAE4E892DFC}" sibTransId="{1FC26AC6-A8AE-4FC7-9352-C3E4F4C07643}"/>
    <dgm:cxn modelId="{F7917476-89DA-41E4-AE80-B9283A572CF7}" srcId="{6F60DFBC-104D-49E3-998F-8090D05B0157}" destId="{35F0208A-90B1-42D3-A130-63DBEEC9D262}" srcOrd="2" destOrd="0" parTransId="{275A4ECE-B340-45AD-8FFB-C6CEED547609}" sibTransId="{F8958A15-60F3-444B-B2C6-0FFFF0389C84}"/>
    <dgm:cxn modelId="{D82FEBDA-EEAB-4E1A-B4EC-12D43D105000}" srcId="{B8D4FE68-E510-436E-9C59-F5CB5C3BB8D5}" destId="{BCE57CB6-F2F0-419F-9E45-779802DAB9BA}" srcOrd="0" destOrd="0" parTransId="{DE3886DF-D2B7-43BB-95F0-D7FABC053301}" sibTransId="{78B0C143-3088-4A8F-B445-2784B08AAC72}"/>
    <dgm:cxn modelId="{6B064BC3-9253-444A-B598-443934B09D4C}" type="presOf" srcId="{70CB1700-4838-4707-B154-107D7C934F53}" destId="{AFFF1220-BB48-4092-9654-FE544A9178F7}" srcOrd="0" destOrd="0" presId="urn:microsoft.com/office/officeart/2005/8/layout/default"/>
    <dgm:cxn modelId="{DC895616-FB29-4448-8B33-4AC826F17273}" type="presOf" srcId="{35F0208A-90B1-42D3-A130-63DBEEC9D262}" destId="{91550AD6-5C19-4A39-9D4D-05ABABE240FA}" srcOrd="0" destOrd="3" presId="urn:microsoft.com/office/officeart/2005/8/layout/default"/>
    <dgm:cxn modelId="{0875FD59-D0D6-49B4-8DA1-BCE8C14AB0ED}" type="presOf" srcId="{277B77BE-E5A1-4087-9C55-9949B8987183}" destId="{91550AD6-5C19-4A39-9D4D-05ABABE240FA}" srcOrd="0" destOrd="1" presId="urn:microsoft.com/office/officeart/2005/8/layout/default"/>
    <dgm:cxn modelId="{485D5697-00E0-4B8D-9FD7-E0A0AA1AEE9F}" type="presOf" srcId="{B8D4FE68-E510-436E-9C59-F5CB5C3BB8D5}" destId="{4F22F829-F3C8-4753-95F5-BA76C2E1F0EE}" srcOrd="0" destOrd="0" presId="urn:microsoft.com/office/officeart/2005/8/layout/default"/>
    <dgm:cxn modelId="{8399D660-FD61-4606-9027-F7405C34040D}" type="presParOf" srcId="{AB846917-87EB-45F7-A496-9BF79CEE79BF}" destId="{49BC48F8-EAA7-4FD7-9903-CCF8CA9E83EA}" srcOrd="0" destOrd="0" presId="urn:microsoft.com/office/officeart/2005/8/layout/default"/>
    <dgm:cxn modelId="{B904911A-8EB6-47A7-BCA1-74977D2678EC}" type="presParOf" srcId="{AB846917-87EB-45F7-A496-9BF79CEE79BF}" destId="{9A9BDC6C-1436-4B2B-B33D-E4CE644F1E45}" srcOrd="1" destOrd="0" presId="urn:microsoft.com/office/officeart/2005/8/layout/default"/>
    <dgm:cxn modelId="{1ACFFEBF-A75A-48BD-B825-DD8099AB05DF}" type="presParOf" srcId="{AB846917-87EB-45F7-A496-9BF79CEE79BF}" destId="{91550AD6-5C19-4A39-9D4D-05ABABE240FA}" srcOrd="2" destOrd="0" presId="urn:microsoft.com/office/officeart/2005/8/layout/default"/>
    <dgm:cxn modelId="{F9FAF0D0-ABBD-4C11-8BEC-395086037533}" type="presParOf" srcId="{AB846917-87EB-45F7-A496-9BF79CEE79BF}" destId="{B2D78EF4-E256-4362-9BFD-C76AB7ADF869}" srcOrd="3" destOrd="0" presId="urn:microsoft.com/office/officeart/2005/8/layout/default"/>
    <dgm:cxn modelId="{00F96C14-271C-4471-9BE5-6B3AA968D86F}" type="presParOf" srcId="{AB846917-87EB-45F7-A496-9BF79CEE79BF}" destId="{E28B7EE9-8F0B-47C4-B409-75CD39F40CAE}" srcOrd="4" destOrd="0" presId="urn:microsoft.com/office/officeart/2005/8/layout/default"/>
    <dgm:cxn modelId="{82103CA9-3457-4773-AF1F-8D4892475D91}" type="presParOf" srcId="{AB846917-87EB-45F7-A496-9BF79CEE79BF}" destId="{57C05246-403C-4BD1-8C58-FA6AF7AB1988}" srcOrd="5" destOrd="0" presId="urn:microsoft.com/office/officeart/2005/8/layout/default"/>
    <dgm:cxn modelId="{F9BA8FFD-89B9-4BF8-9B80-8DF6DDF7D28E}" type="presParOf" srcId="{AB846917-87EB-45F7-A496-9BF79CEE79BF}" destId="{4F22F829-F3C8-4753-95F5-BA76C2E1F0EE}" srcOrd="6" destOrd="0" presId="urn:microsoft.com/office/officeart/2005/8/layout/default"/>
    <dgm:cxn modelId="{4303931C-0D23-4140-BDAB-DE1D686BDB75}" type="presParOf" srcId="{AB846917-87EB-45F7-A496-9BF79CEE79BF}" destId="{C3E73F74-B80E-4132-9E38-84A63DC2266F}" srcOrd="7" destOrd="0" presId="urn:microsoft.com/office/officeart/2005/8/layout/default"/>
    <dgm:cxn modelId="{7C7826C4-CD92-4E0D-B19F-0134750CB2FD}" type="presParOf" srcId="{AB846917-87EB-45F7-A496-9BF79CEE79BF}" destId="{AFFF1220-BB48-4092-9654-FE544A9178F7}" srcOrd="8" destOrd="0" presId="urn:microsoft.com/office/officeart/2005/8/layout/default"/>
    <dgm:cxn modelId="{025BBBAE-4592-4AE9-8B1D-830AEC37FA2A}" type="presParOf" srcId="{AB846917-87EB-45F7-A496-9BF79CEE79BF}" destId="{37E555C9-2330-4764-9FC2-A7126739E313}" srcOrd="9" destOrd="0" presId="urn:microsoft.com/office/officeart/2005/8/layout/default"/>
    <dgm:cxn modelId="{AB2AD09A-5BD0-497F-B5E2-8DD9CA88883E}" type="presParOf" srcId="{AB846917-87EB-45F7-A496-9BF79CEE79BF}" destId="{E295C487-1CFF-4D87-A613-2A443F0A185B}" srcOrd="10" destOrd="0" presId="urn:microsoft.com/office/officeart/2005/8/layout/default"/>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BC48F8-EAA7-4FD7-9903-CCF8CA9E83EA}">
      <dsp:nvSpPr>
        <dsp:cNvPr id="0" name=""/>
        <dsp:cNvSpPr/>
      </dsp:nvSpPr>
      <dsp:spPr>
        <a:xfrm>
          <a:off x="0" y="61385"/>
          <a:ext cx="1800026" cy="1080015"/>
        </a:xfrm>
        <a:prstGeom prst="rect">
          <a:avLst/>
        </a:prstGeom>
        <a:gradFill rotWithShape="0">
          <a:gsLst>
            <a:gs pos="0">
              <a:srgbClr val="70AD47">
                <a:alpha val="90000"/>
                <a:hueOff val="0"/>
                <a:satOff val="0"/>
                <a:lumOff val="0"/>
                <a:alphaOff val="0"/>
                <a:satMod val="103000"/>
                <a:lumMod val="102000"/>
                <a:tint val="94000"/>
              </a:srgbClr>
            </a:gs>
            <a:gs pos="50000">
              <a:srgbClr val="70AD47">
                <a:alpha val="90000"/>
                <a:hueOff val="0"/>
                <a:satOff val="0"/>
                <a:lumOff val="0"/>
                <a:alphaOff val="0"/>
                <a:satMod val="110000"/>
                <a:lumMod val="100000"/>
                <a:shade val="100000"/>
              </a:srgbClr>
            </a:gs>
            <a:gs pos="100000">
              <a:srgbClr val="70AD47">
                <a:alpha val="9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lv-LV" sz="1200" b="1" u="sng" kern="1200">
              <a:solidFill>
                <a:sysClr val="windowText" lastClr="000000"/>
              </a:solidFill>
              <a:latin typeface="Times New Roman" panose="02020603050405020304" pitchFamily="18" charset="0"/>
              <a:ea typeface="+mn-ea"/>
              <a:cs typeface="Times New Roman" panose="02020603050405020304" pitchFamily="18" charset="0"/>
            </a:rPr>
            <a:t>FM</a:t>
          </a:r>
          <a:endParaRPr lang="en-US" sz="1200" b="1" u="sng" kern="1200">
            <a:solidFill>
              <a:sysClr val="windowText" lastClr="000000"/>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PPP politikas izstrāde un tās īstenošanas koordinēšana</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FEA un projekta ietekmes uz budžetu analīze</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0" y="61385"/>
        <a:ext cx="1800026" cy="1080015"/>
      </dsp:txXfrm>
    </dsp:sp>
    <dsp:sp modelId="{91550AD6-5C19-4A39-9D4D-05ABABE240FA}">
      <dsp:nvSpPr>
        <dsp:cNvPr id="0" name=""/>
        <dsp:cNvSpPr/>
      </dsp:nvSpPr>
      <dsp:spPr>
        <a:xfrm>
          <a:off x="1980029" y="61385"/>
          <a:ext cx="1800026" cy="1080015"/>
        </a:xfrm>
        <a:prstGeom prst="rect">
          <a:avLst/>
        </a:prstGeom>
        <a:gradFill rotWithShape="0">
          <a:gsLst>
            <a:gs pos="0">
              <a:srgbClr val="70AD47">
                <a:alpha val="90000"/>
                <a:hueOff val="0"/>
                <a:satOff val="0"/>
                <a:lumOff val="0"/>
                <a:alphaOff val="-8000"/>
                <a:satMod val="103000"/>
                <a:lumMod val="102000"/>
                <a:tint val="94000"/>
              </a:srgbClr>
            </a:gs>
            <a:gs pos="50000">
              <a:srgbClr val="70AD47">
                <a:alpha val="90000"/>
                <a:hueOff val="0"/>
                <a:satOff val="0"/>
                <a:lumOff val="0"/>
                <a:alphaOff val="-8000"/>
                <a:satMod val="110000"/>
                <a:lumMod val="100000"/>
                <a:shade val="100000"/>
              </a:srgbClr>
            </a:gs>
            <a:gs pos="100000">
              <a:srgbClr val="70AD47">
                <a:alpha val="90000"/>
                <a:hueOff val="0"/>
                <a:satOff val="0"/>
                <a:lumOff val="0"/>
                <a:alphaOff val="-800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lv-LV" sz="1200" b="1" u="sng" kern="12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rPr>
            <a:t>CFLA</a:t>
          </a:r>
          <a:endParaRPr lang="en-US" sz="1200" b="1" u="sng" kern="1200">
            <a:solidFill>
              <a:sysClr val="windowText" lastClr="000000"/>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PPP projektu uzraudzība</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FEA analīze</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PPP zināšanu bāze; popularizēšana</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980029" y="61385"/>
        <a:ext cx="1800026" cy="1080015"/>
      </dsp:txXfrm>
    </dsp:sp>
    <dsp:sp modelId="{E28B7EE9-8F0B-47C4-B409-75CD39F40CAE}">
      <dsp:nvSpPr>
        <dsp:cNvPr id="0" name=""/>
        <dsp:cNvSpPr/>
      </dsp:nvSpPr>
      <dsp:spPr>
        <a:xfrm>
          <a:off x="3960058" y="61385"/>
          <a:ext cx="1800026" cy="1080015"/>
        </a:xfrm>
        <a:prstGeom prst="rect">
          <a:avLst/>
        </a:prstGeom>
        <a:gradFill rotWithShape="0">
          <a:gsLst>
            <a:gs pos="0">
              <a:srgbClr val="70AD47">
                <a:alpha val="90000"/>
                <a:hueOff val="0"/>
                <a:satOff val="0"/>
                <a:lumOff val="0"/>
                <a:alphaOff val="-16000"/>
                <a:satMod val="103000"/>
                <a:lumMod val="102000"/>
                <a:tint val="94000"/>
              </a:srgbClr>
            </a:gs>
            <a:gs pos="50000">
              <a:srgbClr val="70AD47">
                <a:alpha val="90000"/>
                <a:hueOff val="0"/>
                <a:satOff val="0"/>
                <a:lumOff val="0"/>
                <a:alphaOff val="-16000"/>
                <a:satMod val="110000"/>
                <a:lumMod val="100000"/>
                <a:shade val="100000"/>
              </a:srgbClr>
            </a:gs>
            <a:gs pos="100000">
              <a:srgbClr val="70AD47">
                <a:alpha val="90000"/>
                <a:hueOff val="0"/>
                <a:satOff val="0"/>
                <a:lumOff val="0"/>
                <a:alphaOff val="-1600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lv-LV" sz="1200" b="1" u="sng" kern="12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rPr>
            <a:t>EM</a:t>
          </a:r>
          <a:endParaRPr lang="en-US" sz="1200" b="1" u="sng" kern="1200">
            <a:solidFill>
              <a:sysClr val="windowText" lastClr="000000"/>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izvērtē FEA atbilstību ES nosacījumiem </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960058" y="61385"/>
        <a:ext cx="1800026" cy="1080015"/>
      </dsp:txXfrm>
    </dsp:sp>
    <dsp:sp modelId="{4F22F829-F3C8-4753-95F5-BA76C2E1F0EE}">
      <dsp:nvSpPr>
        <dsp:cNvPr id="0" name=""/>
        <dsp:cNvSpPr/>
      </dsp:nvSpPr>
      <dsp:spPr>
        <a:xfrm>
          <a:off x="0" y="1321404"/>
          <a:ext cx="1800026" cy="1080015"/>
        </a:xfrm>
        <a:prstGeom prst="rect">
          <a:avLst/>
        </a:prstGeom>
        <a:gradFill rotWithShape="0">
          <a:gsLst>
            <a:gs pos="0">
              <a:srgbClr val="70AD47">
                <a:alpha val="90000"/>
                <a:hueOff val="0"/>
                <a:satOff val="0"/>
                <a:lumOff val="0"/>
                <a:alphaOff val="-24000"/>
                <a:satMod val="103000"/>
                <a:lumMod val="102000"/>
                <a:tint val="94000"/>
              </a:srgbClr>
            </a:gs>
            <a:gs pos="50000">
              <a:srgbClr val="70AD47">
                <a:alpha val="90000"/>
                <a:hueOff val="0"/>
                <a:satOff val="0"/>
                <a:lumOff val="0"/>
                <a:alphaOff val="-24000"/>
                <a:satMod val="110000"/>
                <a:lumMod val="100000"/>
                <a:shade val="100000"/>
              </a:srgbClr>
            </a:gs>
            <a:gs pos="100000">
              <a:srgbClr val="70AD47">
                <a:alpha val="90000"/>
                <a:hueOff val="0"/>
                <a:satOff val="0"/>
                <a:lumOff val="0"/>
                <a:alphaOff val="-2400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lv-LV" sz="1200" b="1" i="0" u="sng" kern="12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rPr>
            <a:t>IUB</a:t>
          </a:r>
          <a:endParaRPr lang="en-US" sz="1200" b="1" i="0" u="sng" kern="1200">
            <a:solidFill>
              <a:sysClr val="windowText" lastClr="000000"/>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PPP iepirkuma procedūras uzraudzība</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0" y="1321404"/>
        <a:ext cx="1800026" cy="1080015"/>
      </dsp:txXfrm>
    </dsp:sp>
    <dsp:sp modelId="{AFFF1220-BB48-4092-9654-FE544A9178F7}">
      <dsp:nvSpPr>
        <dsp:cNvPr id="0" name=""/>
        <dsp:cNvSpPr/>
      </dsp:nvSpPr>
      <dsp:spPr>
        <a:xfrm>
          <a:off x="1980029" y="1321404"/>
          <a:ext cx="1800026" cy="1080015"/>
        </a:xfrm>
        <a:prstGeom prst="rect">
          <a:avLst/>
        </a:prstGeom>
        <a:gradFill rotWithShape="0">
          <a:gsLst>
            <a:gs pos="0">
              <a:srgbClr val="70AD47">
                <a:alpha val="90000"/>
                <a:hueOff val="0"/>
                <a:satOff val="0"/>
                <a:lumOff val="0"/>
                <a:alphaOff val="-32000"/>
                <a:satMod val="103000"/>
                <a:lumMod val="102000"/>
                <a:tint val="94000"/>
              </a:srgbClr>
            </a:gs>
            <a:gs pos="50000">
              <a:srgbClr val="70AD47">
                <a:alpha val="90000"/>
                <a:hueOff val="0"/>
                <a:satOff val="0"/>
                <a:lumOff val="0"/>
                <a:alphaOff val="-32000"/>
                <a:satMod val="110000"/>
                <a:lumMod val="100000"/>
                <a:shade val="100000"/>
              </a:srgbClr>
            </a:gs>
            <a:gs pos="100000">
              <a:srgbClr val="70AD47">
                <a:alpha val="90000"/>
                <a:hueOff val="0"/>
                <a:satOff val="0"/>
                <a:lumOff val="0"/>
                <a:alphaOff val="-3200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lv-LV" sz="1200" b="1" u="sng" kern="12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rPr>
            <a:t>Uzņēmumu reģistrs</a:t>
          </a:r>
          <a:endParaRPr lang="en-US" sz="1200" b="1" u="sng" kern="1200">
            <a:solidFill>
              <a:sysClr val="windowText" lastClr="000000"/>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PPP līgumu reģistrēšana un publicēšana</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980029" y="1321404"/>
        <a:ext cx="1800026" cy="1080015"/>
      </dsp:txXfrm>
    </dsp:sp>
    <dsp:sp modelId="{E295C487-1CFF-4D87-A613-2A443F0A185B}">
      <dsp:nvSpPr>
        <dsp:cNvPr id="0" name=""/>
        <dsp:cNvSpPr/>
      </dsp:nvSpPr>
      <dsp:spPr>
        <a:xfrm>
          <a:off x="3960058" y="1321404"/>
          <a:ext cx="1800026" cy="1080015"/>
        </a:xfrm>
        <a:prstGeom prst="rect">
          <a:avLst/>
        </a:prstGeom>
        <a:gradFill rotWithShape="0">
          <a:gsLst>
            <a:gs pos="0">
              <a:srgbClr val="70AD47">
                <a:alpha val="90000"/>
                <a:hueOff val="0"/>
                <a:satOff val="0"/>
                <a:lumOff val="0"/>
                <a:alphaOff val="-40000"/>
                <a:satMod val="103000"/>
                <a:lumMod val="102000"/>
                <a:tint val="94000"/>
              </a:srgbClr>
            </a:gs>
            <a:gs pos="50000">
              <a:srgbClr val="70AD47">
                <a:alpha val="90000"/>
                <a:hueOff val="0"/>
                <a:satOff val="0"/>
                <a:lumOff val="0"/>
                <a:alphaOff val="-40000"/>
                <a:satMod val="110000"/>
                <a:lumMod val="100000"/>
                <a:shade val="100000"/>
              </a:srgbClr>
            </a:gs>
            <a:gs pos="100000">
              <a:srgbClr val="70AD47">
                <a:alpha val="90000"/>
                <a:hueOff val="0"/>
                <a:satOff val="0"/>
                <a:lumOff val="0"/>
                <a:alphaOff val="-4000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lv-LV" sz="1200" b="1" u="sng" kern="12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rPr>
            <a:t>MK, nozaru ministrijas, pašvaldības</a:t>
          </a:r>
          <a:endParaRPr lang="en-US" sz="1200" b="1" u="sng" kern="12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iesaiste, atkarībā no konkrētā PPP projekta</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960058" y="1321404"/>
        <a:ext cx="1800026" cy="108001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0.13952</cdr:x>
      <cdr:y>0.08559</cdr:y>
    </cdr:from>
    <cdr:to>
      <cdr:x>0.27778</cdr:x>
      <cdr:y>0.18297</cdr:y>
    </cdr:to>
    <cdr:sp macro="" textlink="">
      <cdr:nvSpPr>
        <cdr:cNvPr id="2" name="TextBox 1"/>
        <cdr:cNvSpPr txBox="1"/>
      </cdr:nvSpPr>
      <cdr:spPr>
        <a:xfrm xmlns:a="http://schemas.openxmlformats.org/drawingml/2006/main">
          <a:off x="635808" y="233083"/>
          <a:ext cx="630040" cy="2651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l-GR" sz="1000" b="1" i="0">
              <a:effectLst/>
              <a:latin typeface="+mn-lt"/>
              <a:ea typeface="+mn-ea"/>
              <a:cs typeface="+mn-cs"/>
            </a:rPr>
            <a:t>Σ</a:t>
          </a:r>
          <a:r>
            <a:rPr lang="lv-LV" sz="1000" b="1">
              <a:solidFill>
                <a:sysClr val="windowText" lastClr="000000"/>
              </a:solidFill>
              <a:latin typeface="Times New Roman" panose="02020603050405020304" pitchFamily="18" charset="0"/>
              <a:cs typeface="Times New Roman" panose="02020603050405020304" pitchFamily="18" charset="0"/>
            </a:rPr>
            <a:t>=93,7</a:t>
          </a:r>
        </a:p>
        <a:p xmlns:a="http://schemas.openxmlformats.org/drawingml/2006/main">
          <a:endParaRPr lang="lv-LV" sz="1100"/>
        </a:p>
      </cdr:txBody>
    </cdr:sp>
  </cdr:relSizeAnchor>
  <cdr:relSizeAnchor xmlns:cdr="http://schemas.openxmlformats.org/drawingml/2006/chartDrawing">
    <cdr:from>
      <cdr:x>0.3647</cdr:x>
      <cdr:y>0.08695</cdr:y>
    </cdr:from>
    <cdr:to>
      <cdr:x>0.50422</cdr:x>
      <cdr:y>0.18433</cdr:y>
    </cdr:to>
    <cdr:sp macro="" textlink="">
      <cdr:nvSpPr>
        <cdr:cNvPr id="3" name="TextBox 1"/>
        <cdr:cNvSpPr txBox="1"/>
      </cdr:nvSpPr>
      <cdr:spPr>
        <a:xfrm xmlns:a="http://schemas.openxmlformats.org/drawingml/2006/main">
          <a:off x="1661930" y="236772"/>
          <a:ext cx="635793" cy="26518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b="1" i="0">
              <a:effectLst/>
              <a:latin typeface="+mn-lt"/>
              <a:ea typeface="+mn-ea"/>
              <a:cs typeface="+mn-cs"/>
            </a:rPr>
            <a:t>Σ</a:t>
          </a:r>
          <a:r>
            <a:rPr lang="lv-LV" sz="1000" b="1">
              <a:solidFill>
                <a:sysClr val="windowText" lastClr="000000"/>
              </a:solidFill>
              <a:latin typeface="Times New Roman" panose="02020603050405020304" pitchFamily="18" charset="0"/>
              <a:cs typeface="Times New Roman" panose="02020603050405020304" pitchFamily="18" charset="0"/>
            </a:rPr>
            <a:t>=95,5</a:t>
          </a:r>
        </a:p>
        <a:p xmlns:a="http://schemas.openxmlformats.org/drawingml/2006/main">
          <a:endParaRPr lang="lv-LV" sz="1100"/>
        </a:p>
      </cdr:txBody>
    </cdr:sp>
  </cdr:relSizeAnchor>
  <cdr:relSizeAnchor xmlns:cdr="http://schemas.openxmlformats.org/drawingml/2006/chartDrawing">
    <cdr:from>
      <cdr:x>0.80093</cdr:x>
      <cdr:y>0.42271</cdr:y>
    </cdr:from>
    <cdr:to>
      <cdr:x>0.93097</cdr:x>
      <cdr:y>0.52009</cdr:y>
    </cdr:to>
    <cdr:sp macro="" textlink="">
      <cdr:nvSpPr>
        <cdr:cNvPr id="5" name="TextBox 1"/>
        <cdr:cNvSpPr txBox="1"/>
      </cdr:nvSpPr>
      <cdr:spPr>
        <a:xfrm xmlns:a="http://schemas.openxmlformats.org/drawingml/2006/main">
          <a:off x="3649843" y="1151115"/>
          <a:ext cx="592568" cy="26518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b="1" i="0">
              <a:effectLst/>
              <a:latin typeface="+mn-lt"/>
              <a:ea typeface="+mn-ea"/>
              <a:cs typeface="+mn-cs"/>
            </a:rPr>
            <a:t>Σ</a:t>
          </a:r>
          <a:r>
            <a:rPr lang="lv-LV" sz="1000" b="1">
              <a:solidFill>
                <a:sysClr val="windowText" lastClr="000000"/>
              </a:solidFill>
              <a:latin typeface="Times New Roman" panose="02020603050405020304" pitchFamily="18" charset="0"/>
              <a:cs typeface="Times New Roman" panose="02020603050405020304" pitchFamily="18" charset="0"/>
            </a:rPr>
            <a:t>=37,6</a:t>
          </a:r>
        </a:p>
        <a:p xmlns:a="http://schemas.openxmlformats.org/drawingml/2006/main">
          <a:endParaRPr lang="lv-LV" sz="1100"/>
        </a:p>
      </cdr:txBody>
    </cdr:sp>
  </cdr:relSizeAnchor>
  <cdr:relSizeAnchor xmlns:cdr="http://schemas.openxmlformats.org/drawingml/2006/chartDrawing">
    <cdr:from>
      <cdr:x>0.57912</cdr:x>
      <cdr:y>0.44473</cdr:y>
    </cdr:from>
    <cdr:to>
      <cdr:x>0.71324</cdr:x>
      <cdr:y>0.54212</cdr:y>
    </cdr:to>
    <cdr:sp macro="" textlink="">
      <cdr:nvSpPr>
        <cdr:cNvPr id="6" name="TextBox 1"/>
        <cdr:cNvSpPr txBox="1"/>
      </cdr:nvSpPr>
      <cdr:spPr>
        <a:xfrm xmlns:a="http://schemas.openxmlformats.org/drawingml/2006/main">
          <a:off x="2639019" y="1211078"/>
          <a:ext cx="611203" cy="26521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b="1" i="0">
              <a:effectLst/>
              <a:latin typeface="+mn-lt"/>
              <a:ea typeface="+mn-ea"/>
              <a:cs typeface="+mn-cs"/>
            </a:rPr>
            <a:t>Σ</a:t>
          </a:r>
          <a:r>
            <a:rPr lang="lv-LV" sz="1000" b="1">
              <a:solidFill>
                <a:sysClr val="windowText" lastClr="000000"/>
              </a:solidFill>
              <a:latin typeface="Times New Roman" panose="02020603050405020304" pitchFamily="18" charset="0"/>
              <a:cs typeface="Times New Roman" panose="02020603050405020304" pitchFamily="18" charset="0"/>
            </a:rPr>
            <a:t>=34,5</a:t>
          </a:r>
        </a:p>
        <a:p xmlns:a="http://schemas.openxmlformats.org/drawingml/2006/main">
          <a:endParaRPr lang="lv-LV" sz="1100"/>
        </a:p>
      </cdr:txBody>
    </cdr:sp>
  </cdr:relSizeAnchor>
</c:userShapes>
</file>

<file path=word/drawings/drawing10.xml><?xml version="1.0" encoding="utf-8"?>
<c:userShapes xmlns:c="http://schemas.openxmlformats.org/drawingml/2006/chart">
  <cdr:relSizeAnchor xmlns:cdr="http://schemas.openxmlformats.org/drawingml/2006/chartDrawing">
    <cdr:from>
      <cdr:x>0.89462</cdr:x>
      <cdr:y>0.08274</cdr:y>
    </cdr:from>
    <cdr:to>
      <cdr:x>0.96339</cdr:x>
      <cdr:y>0.17735</cdr:y>
    </cdr:to>
    <cdr:sp macro="" textlink="">
      <cdr:nvSpPr>
        <cdr:cNvPr id="2" name="Rectangle 1"/>
        <cdr:cNvSpPr/>
      </cdr:nvSpPr>
      <cdr:spPr>
        <a:xfrm xmlns:a="http://schemas.openxmlformats.org/drawingml/2006/main">
          <a:off x="5324717" y="281075"/>
          <a:ext cx="409332" cy="321414"/>
        </a:xfrm>
        <a:prstGeom xmlns:a="http://schemas.openxmlformats.org/drawingml/2006/main" prst="rect">
          <a:avLst/>
        </a:prstGeom>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0.8932</cdr:x>
      <cdr:y>0.09439</cdr:y>
    </cdr:from>
    <cdr:to>
      <cdr:x>0.96896</cdr:x>
      <cdr:y>0.15556</cdr:y>
    </cdr:to>
    <cdr:sp macro="" textlink="">
      <cdr:nvSpPr>
        <cdr:cNvPr id="5" name="TextBox 4"/>
        <cdr:cNvSpPr txBox="1"/>
      </cdr:nvSpPr>
      <cdr:spPr>
        <a:xfrm xmlns:a="http://schemas.openxmlformats.org/drawingml/2006/main">
          <a:off x="5325835" y="319088"/>
          <a:ext cx="451757" cy="2068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solidFill>
                <a:sysClr val="windowText" lastClr="000000"/>
              </a:solidFill>
              <a:latin typeface="Times New Roman" panose="02020603050405020304" pitchFamily="18" charset="0"/>
              <a:cs typeface="Times New Roman" panose="02020603050405020304" pitchFamily="18" charset="0"/>
            </a:rPr>
            <a:t>20,0</a:t>
          </a:r>
        </a:p>
      </cdr:txBody>
    </cdr:sp>
  </cdr:relSizeAnchor>
</c:userShapes>
</file>

<file path=word/drawings/drawing11.xml><?xml version="1.0" encoding="utf-8"?>
<c:userShapes xmlns:c="http://schemas.openxmlformats.org/drawingml/2006/chart">
  <cdr:relSizeAnchor xmlns:cdr="http://schemas.openxmlformats.org/drawingml/2006/chartDrawing">
    <cdr:from>
      <cdr:x>0.89352</cdr:x>
      <cdr:y>0.18419</cdr:y>
    </cdr:from>
    <cdr:to>
      <cdr:x>0.96076</cdr:x>
      <cdr:y>0.30488</cdr:y>
    </cdr:to>
    <cdr:sp macro="" textlink="">
      <cdr:nvSpPr>
        <cdr:cNvPr id="2" name="TextBox 1"/>
        <cdr:cNvSpPr txBox="1"/>
      </cdr:nvSpPr>
      <cdr:spPr>
        <a:xfrm xmlns:a="http://schemas.openxmlformats.org/drawingml/2006/main">
          <a:off x="4815339" y="641956"/>
          <a:ext cx="362369" cy="420646"/>
        </a:xfrm>
        <a:prstGeom xmlns:a="http://schemas.openxmlformats.org/drawingml/2006/main" prst="rect">
          <a:avLst/>
        </a:prstGeom>
        <a:solidFill xmlns:a="http://schemas.openxmlformats.org/drawingml/2006/main">
          <a:schemeClr val="accent2"/>
        </a:solidFill>
      </cdr:spPr>
      <cdr:txBody>
        <a:bodyPr xmlns:a="http://schemas.openxmlformats.org/drawingml/2006/main" vertOverflow="clip" wrap="square" rtlCol="0"/>
        <a:lstStyle xmlns:a="http://schemas.openxmlformats.org/drawingml/2006/main"/>
        <a:p xmlns:a="http://schemas.openxmlformats.org/drawingml/2006/main">
          <a:r>
            <a:rPr lang="lv-LV" sz="1000" b="1">
              <a:solidFill>
                <a:sysClr val="windowText" lastClr="000000"/>
              </a:solidFill>
              <a:latin typeface="Times New Roman" panose="02020603050405020304" pitchFamily="18" charset="0"/>
              <a:cs typeface="Times New Roman" panose="02020603050405020304" pitchFamily="18" charset="0"/>
            </a:rPr>
            <a:t>3,7</a:t>
          </a:r>
        </a:p>
      </cdr:txBody>
    </cdr:sp>
  </cdr:relSizeAnchor>
</c:userShapes>
</file>

<file path=word/drawings/drawing12.xml><?xml version="1.0" encoding="utf-8"?>
<c:userShapes xmlns:c="http://schemas.openxmlformats.org/drawingml/2006/chart">
  <cdr:relSizeAnchor xmlns:cdr="http://schemas.openxmlformats.org/drawingml/2006/chartDrawing">
    <cdr:from>
      <cdr:x>0.77243</cdr:x>
      <cdr:y>0.01137</cdr:y>
    </cdr:from>
    <cdr:to>
      <cdr:x>0.97921</cdr:x>
      <cdr:y>0.1292</cdr:y>
    </cdr:to>
    <cdr:sp macro="" textlink="">
      <cdr:nvSpPr>
        <cdr:cNvPr id="4" name="TextBox 3"/>
        <cdr:cNvSpPr txBox="1"/>
      </cdr:nvSpPr>
      <cdr:spPr>
        <a:xfrm xmlns:a="http://schemas.openxmlformats.org/drawingml/2006/main">
          <a:off x="4429125" y="41913"/>
          <a:ext cx="1185739" cy="434337"/>
        </a:xfrm>
        <a:prstGeom xmlns:a="http://schemas.openxmlformats.org/drawingml/2006/main" prst="rect">
          <a:avLst/>
        </a:prstGeom>
        <a:ln xmlns:a="http://schemas.openxmlformats.org/drawingml/2006/main" w="12700">
          <a:solidFill>
            <a:schemeClr val="accent2">
              <a:lumMod val="50000"/>
            </a:schemeClr>
          </a:solidFill>
        </a:ln>
      </cdr:spPr>
      <cdr:txBody>
        <a:bodyPr xmlns:a="http://schemas.openxmlformats.org/drawingml/2006/main" vertOverflow="clip" wrap="none" rtlCol="0"/>
        <a:lstStyle xmlns:a="http://schemas.openxmlformats.org/drawingml/2006/main"/>
        <a:p xmlns:a="http://schemas.openxmlformats.org/drawingml/2006/main">
          <a:pPr algn="ctr"/>
          <a:r>
            <a:rPr lang="lv-LV" sz="1000">
              <a:latin typeface="Times New Roman" panose="02020603050405020304" pitchFamily="18" charset="0"/>
              <a:cs typeface="Times New Roman" panose="02020603050405020304" pitchFamily="18" charset="0"/>
            </a:rPr>
            <a:t>Atbalsta funkcijas</a:t>
          </a:r>
        </a:p>
        <a:p xmlns:a="http://schemas.openxmlformats.org/drawingml/2006/main">
          <a:pPr algn="ctr"/>
          <a:r>
            <a:rPr lang="lv-LV" sz="1000">
              <a:latin typeface="Times New Roman" panose="02020603050405020304" pitchFamily="18" charset="0"/>
              <a:cs typeface="Times New Roman" panose="02020603050405020304" pitchFamily="18" charset="0"/>
            </a:rPr>
            <a:t> vidēji 3,2% 2019. gadā</a:t>
          </a:r>
          <a:endParaRPr lang="en-US" sz="10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0.918</cdr:x>
      <cdr:y>0.13953</cdr:y>
    </cdr:from>
    <cdr:to>
      <cdr:x>0.9186</cdr:x>
      <cdr:y>0.85349</cdr:y>
    </cdr:to>
    <cdr:cxnSp macro="">
      <cdr:nvCxnSpPr>
        <cdr:cNvPr id="3" name="Straight Connector 2"/>
        <cdr:cNvCxnSpPr/>
      </cdr:nvCxnSpPr>
      <cdr:spPr>
        <a:xfrm xmlns:a="http://schemas.openxmlformats.org/drawingml/2006/main" flipH="1">
          <a:off x="5263858" y="514332"/>
          <a:ext cx="3440" cy="2631782"/>
        </a:xfrm>
        <a:prstGeom xmlns:a="http://schemas.openxmlformats.org/drawingml/2006/main" prst="line">
          <a:avLst/>
        </a:prstGeom>
        <a:ln xmlns:a="http://schemas.openxmlformats.org/drawingml/2006/main" w="28575">
          <a:solidFill>
            <a:schemeClr val="accent2">
              <a:lumMod val="75000"/>
            </a:schemeClr>
          </a:solidFill>
          <a:prstDash val="dash"/>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0.87582</cdr:x>
      <cdr:y>0.1292</cdr:y>
    </cdr:from>
    <cdr:to>
      <cdr:x>0.91861</cdr:x>
      <cdr:y>0.17416</cdr:y>
    </cdr:to>
    <cdr:cxnSp macro="">
      <cdr:nvCxnSpPr>
        <cdr:cNvPr id="6" name="Straight Arrow Connector 5"/>
        <cdr:cNvCxnSpPr>
          <a:stCxn xmlns:a="http://schemas.openxmlformats.org/drawingml/2006/main" id="4" idx="2"/>
        </cdr:cNvCxnSpPr>
      </cdr:nvCxnSpPr>
      <cdr:spPr>
        <a:xfrm xmlns:a="http://schemas.openxmlformats.org/drawingml/2006/main">
          <a:off x="5021995" y="476250"/>
          <a:ext cx="245386" cy="165735"/>
        </a:xfrm>
        <a:prstGeom xmlns:a="http://schemas.openxmlformats.org/drawingml/2006/main" prst="straightConnector1">
          <a:avLst/>
        </a:prstGeom>
        <a:ln xmlns:a="http://schemas.openxmlformats.org/drawingml/2006/main">
          <a:solidFill>
            <a:schemeClr val="accent2">
              <a:lumMod val="75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0.79397</cdr:x>
      <cdr:y>0.13522</cdr:y>
    </cdr:from>
    <cdr:to>
      <cdr:x>0.79457</cdr:x>
      <cdr:y>0.84918</cdr:y>
    </cdr:to>
    <cdr:cxnSp macro="">
      <cdr:nvCxnSpPr>
        <cdr:cNvPr id="5" name="Straight Connector 4"/>
        <cdr:cNvCxnSpPr/>
      </cdr:nvCxnSpPr>
      <cdr:spPr>
        <a:xfrm xmlns:a="http://schemas.openxmlformats.org/drawingml/2006/main" flipH="1">
          <a:off x="4552658" y="498457"/>
          <a:ext cx="3440" cy="2631782"/>
        </a:xfrm>
        <a:prstGeom xmlns:a="http://schemas.openxmlformats.org/drawingml/2006/main" prst="line">
          <a:avLst/>
        </a:prstGeom>
        <a:ln xmlns:a="http://schemas.openxmlformats.org/drawingml/2006/main" w="28575">
          <a:solidFill>
            <a:schemeClr val="accent2">
              <a:lumMod val="75000"/>
            </a:schemeClr>
          </a:solidFill>
          <a:prstDash val="dash"/>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0.52159</cdr:x>
      <cdr:y>0.01292</cdr:y>
    </cdr:from>
    <cdr:to>
      <cdr:x>0.75914</cdr:x>
      <cdr:y>0.12661</cdr:y>
    </cdr:to>
    <cdr:sp macro="" textlink="">
      <cdr:nvSpPr>
        <cdr:cNvPr id="2" name="Text Box 1"/>
        <cdr:cNvSpPr txBox="1"/>
      </cdr:nvSpPr>
      <cdr:spPr>
        <a:xfrm xmlns:a="http://schemas.openxmlformats.org/drawingml/2006/main">
          <a:off x="2990851" y="47625"/>
          <a:ext cx="1362074" cy="419100"/>
        </a:xfrm>
        <a:prstGeom xmlns:a="http://schemas.openxmlformats.org/drawingml/2006/main" prst="rect">
          <a:avLst/>
        </a:prstGeom>
        <a:ln xmlns:a="http://schemas.openxmlformats.org/drawingml/2006/main">
          <a:solidFill>
            <a:schemeClr val="accent2">
              <a:lumMod val="50000"/>
            </a:schemeClr>
          </a:solidFill>
        </a:ln>
      </cdr:spPr>
      <cdr:txBody>
        <a:bodyPr xmlns:a="http://schemas.openxmlformats.org/drawingml/2006/main" vertOverflow="clip" wrap="square" rtlCol="0"/>
        <a:lstStyle xmlns:a="http://schemas.openxmlformats.org/drawingml/2006/main"/>
        <a:p xmlns:a="http://schemas.openxmlformats.org/drawingml/2006/main">
          <a:r>
            <a:rPr lang="lv-LV" sz="1000">
              <a:latin typeface="Times New Roman" panose="02020603050405020304" pitchFamily="18" charset="0"/>
              <a:cs typeface="Times New Roman" panose="02020603050405020304" pitchFamily="18" charset="0"/>
            </a:rPr>
            <a:t>Atbalsta funkcijas</a:t>
          </a:r>
          <a:r>
            <a:rPr lang="lv-LV" sz="1000" baseline="0">
              <a:latin typeface="Times New Roman" panose="02020603050405020304" pitchFamily="18" charset="0"/>
              <a:cs typeface="Times New Roman" panose="02020603050405020304" pitchFamily="18" charset="0"/>
            </a:rPr>
            <a:t> vidēji 19% 2017. gadā</a:t>
          </a:r>
          <a:endParaRPr lang="lv-LV" sz="1000">
            <a:latin typeface="Times New Roman" panose="02020603050405020304" pitchFamily="18" charset="0"/>
            <a:cs typeface="Times New Roman" panose="02020603050405020304" pitchFamily="18" charset="0"/>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0.25347</cdr:x>
      <cdr:y>0.35851</cdr:y>
    </cdr:from>
    <cdr:to>
      <cdr:x>0.35215</cdr:x>
      <cdr:y>0.46411</cdr:y>
    </cdr:to>
    <cdr:sp macro="" textlink="">
      <cdr:nvSpPr>
        <cdr:cNvPr id="2" name="Down Arrow Callout 1"/>
        <cdr:cNvSpPr/>
      </cdr:nvSpPr>
      <cdr:spPr>
        <a:xfrm xmlns:a="http://schemas.openxmlformats.org/drawingml/2006/main">
          <a:off x="1421698" y="1046285"/>
          <a:ext cx="553491" cy="308213"/>
        </a:xfrm>
        <a:prstGeom xmlns:a="http://schemas.openxmlformats.org/drawingml/2006/main" prst="downArrowCallout">
          <a:avLst/>
        </a:prstGeom>
        <a:solidFill xmlns:a="http://schemas.openxmlformats.org/drawingml/2006/main">
          <a:schemeClr val="accent2">
            <a:lumMod val="40000"/>
            <a:lumOff val="60000"/>
          </a:schemeClr>
        </a:solidFill>
        <a:ln xmlns:a="http://schemas.openxmlformats.org/drawingml/2006/main">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0.27128</cdr:x>
      <cdr:y>0.34834</cdr:y>
    </cdr:from>
    <cdr:to>
      <cdr:x>0.48016</cdr:x>
      <cdr:y>0.47821</cdr:y>
    </cdr:to>
    <cdr:sp macro="" textlink="">
      <cdr:nvSpPr>
        <cdr:cNvPr id="4" name="TextBox 3"/>
        <cdr:cNvSpPr txBox="1"/>
      </cdr:nvSpPr>
      <cdr:spPr>
        <a:xfrm xmlns:a="http://schemas.openxmlformats.org/drawingml/2006/main">
          <a:off x="1521616" y="1016624"/>
          <a:ext cx="1171598" cy="37902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100" b="1">
              <a:latin typeface="Times New Roman" panose="02020603050405020304" pitchFamily="18" charset="0"/>
              <a:cs typeface="Times New Roman" panose="02020603050405020304" pitchFamily="18" charset="0"/>
            </a:rPr>
            <a:t>1,4</a:t>
          </a:r>
          <a:endParaRPr lang="en-US"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0.69896</cdr:x>
      <cdr:y>0.23172</cdr:y>
    </cdr:from>
    <cdr:to>
      <cdr:x>0.79764</cdr:x>
      <cdr:y>0.34444</cdr:y>
    </cdr:to>
    <cdr:sp macro="" textlink="">
      <cdr:nvSpPr>
        <cdr:cNvPr id="10" name="Down Arrow Callout 9"/>
        <cdr:cNvSpPr/>
      </cdr:nvSpPr>
      <cdr:spPr>
        <a:xfrm xmlns:a="http://schemas.openxmlformats.org/drawingml/2006/main">
          <a:off x="3920427" y="676275"/>
          <a:ext cx="553492" cy="328961"/>
        </a:xfrm>
        <a:prstGeom xmlns:a="http://schemas.openxmlformats.org/drawingml/2006/main" prst="downArrowCallout">
          <a:avLst/>
        </a:prstGeom>
        <a:solidFill xmlns:a="http://schemas.openxmlformats.org/drawingml/2006/main">
          <a:schemeClr val="accent2">
            <a:lumMod val="40000"/>
            <a:lumOff val="60000"/>
          </a:schemeClr>
        </a:solidFill>
        <a:ln xmlns:a="http://schemas.openxmlformats.org/drawingml/2006/main">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100" b="1">
              <a:solidFill>
                <a:sysClr val="windowText" lastClr="000000"/>
              </a:solidFill>
              <a:latin typeface="Times New Roman" panose="02020603050405020304" pitchFamily="18" charset="0"/>
              <a:cs typeface="Times New Roman" panose="02020603050405020304" pitchFamily="18" charset="0"/>
            </a:rPr>
            <a:t>2</a:t>
          </a:r>
        </a:p>
      </cdr:txBody>
    </cdr:sp>
  </cdr:relSizeAnchor>
  <cdr:relSizeAnchor xmlns:cdr="http://schemas.openxmlformats.org/drawingml/2006/chartDrawing">
    <cdr:from>
      <cdr:x>0.73848</cdr:x>
      <cdr:y>0.16013</cdr:y>
    </cdr:from>
    <cdr:to>
      <cdr:x>1</cdr:x>
      <cdr:y>0.26762</cdr:y>
    </cdr:to>
    <cdr:sp macro="" textlink="">
      <cdr:nvSpPr>
        <cdr:cNvPr id="12" name="TextBox 3"/>
        <cdr:cNvSpPr txBox="1"/>
      </cdr:nvSpPr>
      <cdr:spPr>
        <a:xfrm xmlns:a="http://schemas.openxmlformats.org/drawingml/2006/main">
          <a:off x="4142104" y="467342"/>
          <a:ext cx="1466851" cy="31370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lv-LV" sz="1000" b="0">
              <a:latin typeface="Times New Roman" panose="02020603050405020304" pitchFamily="18" charset="0"/>
              <a:cs typeface="Times New Roman" panose="02020603050405020304" pitchFamily="18" charset="0"/>
            </a:rPr>
            <a:t>Vidēji valsts pārvaldē </a:t>
          </a:r>
        </a:p>
        <a:p xmlns:a="http://schemas.openxmlformats.org/drawingml/2006/main">
          <a:pPr algn="ctr"/>
          <a:r>
            <a:rPr lang="lv-LV" sz="1000" b="0">
              <a:latin typeface="Times New Roman" panose="02020603050405020304" pitchFamily="18" charset="0"/>
              <a:cs typeface="Times New Roman" panose="02020603050405020304" pitchFamily="18" charset="0"/>
            </a:rPr>
            <a:t>2017.</a:t>
          </a:r>
          <a:r>
            <a:rPr lang="lv-LV" sz="1000" b="0" baseline="0">
              <a:latin typeface="Times New Roman" panose="02020603050405020304" pitchFamily="18" charset="0"/>
              <a:cs typeface="Times New Roman" panose="02020603050405020304" pitchFamily="18" charset="0"/>
            </a:rPr>
            <a:t> gadā</a:t>
          </a:r>
          <a:endParaRPr lang="en-US" sz="1000" b="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0.07642</cdr:x>
      <cdr:y>0.34595</cdr:y>
    </cdr:from>
    <cdr:to>
      <cdr:x>0.94588</cdr:x>
      <cdr:y>0.34595</cdr:y>
    </cdr:to>
    <cdr:cxnSp macro="">
      <cdr:nvCxnSpPr>
        <cdr:cNvPr id="5" name="Straight Connector 4"/>
        <cdr:cNvCxnSpPr/>
      </cdr:nvCxnSpPr>
      <cdr:spPr>
        <a:xfrm xmlns:a="http://schemas.openxmlformats.org/drawingml/2006/main">
          <a:off x="428625" y="1009650"/>
          <a:ext cx="4876800" cy="0"/>
        </a:xfrm>
        <a:prstGeom xmlns:a="http://schemas.openxmlformats.org/drawingml/2006/main" prst="line">
          <a:avLst/>
        </a:prstGeom>
        <a:ln xmlns:a="http://schemas.openxmlformats.org/drawingml/2006/main" w="28575"/>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14.xml><?xml version="1.0" encoding="utf-8"?>
<c:userShapes xmlns:c="http://schemas.openxmlformats.org/drawingml/2006/chart">
  <cdr:relSizeAnchor xmlns:cdr="http://schemas.openxmlformats.org/drawingml/2006/chartDrawing">
    <cdr:from>
      <cdr:x>0.47283</cdr:x>
      <cdr:y>0.31962</cdr:y>
    </cdr:from>
    <cdr:to>
      <cdr:x>0.57151</cdr:x>
      <cdr:y>0.42783</cdr:y>
    </cdr:to>
    <cdr:sp macro="" textlink="">
      <cdr:nvSpPr>
        <cdr:cNvPr id="2" name="Down Arrow Callout 1"/>
        <cdr:cNvSpPr/>
      </cdr:nvSpPr>
      <cdr:spPr>
        <a:xfrm xmlns:a="http://schemas.openxmlformats.org/drawingml/2006/main">
          <a:off x="2731047" y="952500"/>
          <a:ext cx="569972" cy="322457"/>
        </a:xfrm>
        <a:prstGeom xmlns:a="http://schemas.openxmlformats.org/drawingml/2006/main" prst="downArrowCallout">
          <a:avLst/>
        </a:prstGeom>
        <a:solidFill xmlns:a="http://schemas.openxmlformats.org/drawingml/2006/main">
          <a:schemeClr val="accent2">
            <a:lumMod val="40000"/>
            <a:lumOff val="60000"/>
          </a:schemeClr>
        </a:solidFill>
        <a:ln xmlns:a="http://schemas.openxmlformats.org/drawingml/2006/main">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0.49244</cdr:x>
      <cdr:y>0.31004</cdr:y>
    </cdr:from>
    <cdr:to>
      <cdr:x>0.6158</cdr:x>
      <cdr:y>0.42626</cdr:y>
    </cdr:to>
    <cdr:sp macro="" textlink="">
      <cdr:nvSpPr>
        <cdr:cNvPr id="4" name="TextBox 3"/>
        <cdr:cNvSpPr txBox="1"/>
      </cdr:nvSpPr>
      <cdr:spPr>
        <a:xfrm xmlns:a="http://schemas.openxmlformats.org/drawingml/2006/main">
          <a:off x="2844314" y="923924"/>
          <a:ext cx="712522" cy="34635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100" b="1">
              <a:latin typeface="Times New Roman" panose="02020603050405020304" pitchFamily="18" charset="0"/>
              <a:cs typeface="Times New Roman" panose="02020603050405020304" pitchFamily="18" charset="0"/>
            </a:rPr>
            <a:t>0,9</a:t>
          </a:r>
          <a:endParaRPr lang="en-US" sz="1100" b="1">
            <a:latin typeface="Times New Roman" panose="02020603050405020304" pitchFamily="18" charset="0"/>
            <a:cs typeface="Times New Roman" panose="02020603050405020304" pitchFamily="18" charset="0"/>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0.20365</cdr:x>
      <cdr:y>0.31188</cdr:y>
    </cdr:from>
    <cdr:to>
      <cdr:x>0.30233</cdr:x>
      <cdr:y>0.41688</cdr:y>
    </cdr:to>
    <cdr:sp macro="" textlink="">
      <cdr:nvSpPr>
        <cdr:cNvPr id="2" name="Down Arrow Callout 1"/>
        <cdr:cNvSpPr/>
      </cdr:nvSpPr>
      <cdr:spPr>
        <a:xfrm xmlns:a="http://schemas.openxmlformats.org/drawingml/2006/main">
          <a:off x="1162049" y="904875"/>
          <a:ext cx="563079" cy="304625"/>
        </a:xfrm>
        <a:prstGeom xmlns:a="http://schemas.openxmlformats.org/drawingml/2006/main" prst="downArrowCallout">
          <a:avLst/>
        </a:prstGeom>
        <a:solidFill xmlns:a="http://schemas.openxmlformats.org/drawingml/2006/main">
          <a:schemeClr val="accent2">
            <a:lumMod val="40000"/>
            <a:lumOff val="60000"/>
          </a:schemeClr>
        </a:solidFill>
        <a:ln xmlns:a="http://schemas.openxmlformats.org/drawingml/2006/main">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0.21995</cdr:x>
      <cdr:y>0.30419</cdr:y>
    </cdr:from>
    <cdr:to>
      <cdr:x>0.58179</cdr:x>
      <cdr:y>0.4254</cdr:y>
    </cdr:to>
    <cdr:sp macro="" textlink="">
      <cdr:nvSpPr>
        <cdr:cNvPr id="4" name="TextBox 3"/>
        <cdr:cNvSpPr txBox="1"/>
      </cdr:nvSpPr>
      <cdr:spPr>
        <a:xfrm xmlns:a="http://schemas.openxmlformats.org/drawingml/2006/main">
          <a:off x="1255067" y="882545"/>
          <a:ext cx="2064699" cy="35166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100" b="1">
              <a:latin typeface="Times New Roman" panose="02020603050405020304" pitchFamily="18" charset="0"/>
              <a:cs typeface="Times New Roman" panose="02020603050405020304" pitchFamily="18" charset="0"/>
            </a:rPr>
            <a:t>0,8</a:t>
          </a:r>
          <a:endParaRPr lang="en-US"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0.63988</cdr:x>
      <cdr:y>0.18385</cdr:y>
    </cdr:from>
    <cdr:to>
      <cdr:x>0.73856</cdr:x>
      <cdr:y>0.31292</cdr:y>
    </cdr:to>
    <cdr:sp macro="" textlink="">
      <cdr:nvSpPr>
        <cdr:cNvPr id="5" name="Down Arrow Callout 4"/>
        <cdr:cNvSpPr/>
      </cdr:nvSpPr>
      <cdr:spPr>
        <a:xfrm xmlns:a="http://schemas.openxmlformats.org/drawingml/2006/main">
          <a:off x="3651249" y="533400"/>
          <a:ext cx="563079" cy="374475"/>
        </a:xfrm>
        <a:prstGeom xmlns:a="http://schemas.openxmlformats.org/drawingml/2006/main" prst="downArrowCallout">
          <a:avLst/>
        </a:prstGeom>
        <a:solidFill xmlns:a="http://schemas.openxmlformats.org/drawingml/2006/main">
          <a:schemeClr val="accent2">
            <a:lumMod val="40000"/>
            <a:lumOff val="60000"/>
          </a:schemeClr>
        </a:solidFill>
        <a:ln xmlns:a="http://schemas.openxmlformats.org/drawingml/2006/main">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b="1">
              <a:solidFill>
                <a:sysClr val="windowText" lastClr="000000"/>
              </a:solidFill>
              <a:latin typeface="Times New Roman" panose="02020603050405020304" pitchFamily="18" charset="0"/>
              <a:cs typeface="Times New Roman" panose="02020603050405020304" pitchFamily="18" charset="0"/>
            </a:rPr>
            <a:t>1,2</a:t>
          </a:r>
          <a:endParaRPr lang="en-US" b="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0.68473</cdr:x>
      <cdr:y>0.10965</cdr:y>
    </cdr:from>
    <cdr:to>
      <cdr:x>0.9418</cdr:x>
      <cdr:y>0.21777</cdr:y>
    </cdr:to>
    <cdr:sp macro="" textlink="">
      <cdr:nvSpPr>
        <cdr:cNvPr id="6" name="TextBox 3"/>
        <cdr:cNvSpPr txBox="1"/>
      </cdr:nvSpPr>
      <cdr:spPr>
        <a:xfrm xmlns:a="http://schemas.openxmlformats.org/drawingml/2006/main">
          <a:off x="3907154" y="318117"/>
          <a:ext cx="1466851" cy="31370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lv-LV" sz="1000" b="0">
              <a:latin typeface="Times New Roman" panose="02020603050405020304" pitchFamily="18" charset="0"/>
              <a:cs typeface="Times New Roman" panose="02020603050405020304" pitchFamily="18" charset="0"/>
            </a:rPr>
            <a:t>Vidēji valsts pārvaldē </a:t>
          </a:r>
        </a:p>
        <a:p xmlns:a="http://schemas.openxmlformats.org/drawingml/2006/main">
          <a:pPr algn="ctr"/>
          <a:r>
            <a:rPr lang="lv-LV" sz="1000" b="0">
              <a:latin typeface="Times New Roman" panose="02020603050405020304" pitchFamily="18" charset="0"/>
              <a:cs typeface="Times New Roman" panose="02020603050405020304" pitchFamily="18" charset="0"/>
            </a:rPr>
            <a:t>2017.</a:t>
          </a:r>
          <a:r>
            <a:rPr lang="lv-LV" sz="1000" b="0" baseline="0">
              <a:latin typeface="Times New Roman" panose="02020603050405020304" pitchFamily="18" charset="0"/>
              <a:cs typeface="Times New Roman" panose="02020603050405020304" pitchFamily="18" charset="0"/>
            </a:rPr>
            <a:t> gadā</a:t>
          </a:r>
          <a:endParaRPr lang="en-US" sz="1000" b="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0.07475</cdr:x>
      <cdr:y>0.30996</cdr:y>
    </cdr:from>
    <cdr:to>
      <cdr:x>0.96512</cdr:x>
      <cdr:y>0.31365</cdr:y>
    </cdr:to>
    <cdr:cxnSp macro="">
      <cdr:nvCxnSpPr>
        <cdr:cNvPr id="7" name="Straight Connector 6"/>
        <cdr:cNvCxnSpPr/>
      </cdr:nvCxnSpPr>
      <cdr:spPr>
        <a:xfrm xmlns:a="http://schemas.openxmlformats.org/drawingml/2006/main">
          <a:off x="428625" y="800100"/>
          <a:ext cx="5105400" cy="9526"/>
        </a:xfrm>
        <a:prstGeom xmlns:a="http://schemas.openxmlformats.org/drawingml/2006/main" prst="line">
          <a:avLst/>
        </a:prstGeom>
        <a:ln xmlns:a="http://schemas.openxmlformats.org/drawingml/2006/main" w="28575"/>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0.04508</cdr:x>
      <cdr:y>0.92456</cdr:y>
    </cdr:from>
    <cdr:to>
      <cdr:x>0.54508</cdr:x>
      <cdr:y>0.93671</cdr:y>
    </cdr:to>
    <cdr:sp macro="" textlink="">
      <cdr:nvSpPr>
        <cdr:cNvPr id="2" name="TextBox 1"/>
        <cdr:cNvSpPr txBox="1"/>
      </cdr:nvSpPr>
      <cdr:spPr>
        <a:xfrm xmlns:a="http://schemas.openxmlformats.org/drawingml/2006/main">
          <a:off x="314325" y="3478532"/>
          <a:ext cx="3486150" cy="45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cdr:x>
      <cdr:y>0.94041</cdr:y>
    </cdr:from>
    <cdr:to>
      <cdr:x>0.99701</cdr:x>
      <cdr:y>1</cdr:y>
    </cdr:to>
    <cdr:sp macro="" textlink="">
      <cdr:nvSpPr>
        <cdr:cNvPr id="3" name="TextBox 2"/>
        <cdr:cNvSpPr txBox="1"/>
      </cdr:nvSpPr>
      <cdr:spPr>
        <a:xfrm xmlns:a="http://schemas.openxmlformats.org/drawingml/2006/main">
          <a:off x="0" y="3130905"/>
          <a:ext cx="5760589" cy="1983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800">
              <a:latin typeface="Times New Roman" panose="02020603050405020304" pitchFamily="18" charset="0"/>
              <a:cs typeface="Times New Roman" panose="02020603050405020304" pitchFamily="18" charset="0"/>
            </a:rPr>
            <a:t>*NVD publiskotā informācija</a:t>
          </a:r>
          <a:r>
            <a:rPr lang="lv-LV" sz="800" baseline="0">
              <a:latin typeface="Times New Roman" panose="02020603050405020304" pitchFamily="18" charset="0"/>
              <a:cs typeface="Times New Roman" panose="02020603050405020304" pitchFamily="18" charset="0"/>
            </a:rPr>
            <a:t> par Kopējais veiktais darbs sadalījumā pa pakalpojumu programmām 2020. gada 3 mēnešos</a:t>
          </a:r>
          <a:endParaRPr lang="lv-LV" sz="800">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0.00977</cdr:x>
      <cdr:y>0.94632</cdr:y>
    </cdr:from>
    <cdr:to>
      <cdr:x>0.94459</cdr:x>
      <cdr:y>1</cdr:y>
    </cdr:to>
    <cdr:sp macro="" textlink="">
      <cdr:nvSpPr>
        <cdr:cNvPr id="2" name="TextBox 1"/>
        <cdr:cNvSpPr txBox="1"/>
      </cdr:nvSpPr>
      <cdr:spPr>
        <a:xfrm xmlns:a="http://schemas.openxmlformats.org/drawingml/2006/main">
          <a:off x="58014" y="2699308"/>
          <a:ext cx="5552634" cy="1531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700">
              <a:latin typeface="Times New Roman" panose="02020603050405020304" pitchFamily="18" charset="0"/>
              <a:cs typeface="Times New Roman" panose="02020603050405020304" pitchFamily="18" charset="0"/>
            </a:rPr>
            <a:t>*NVD publiskotā informācija</a:t>
          </a:r>
          <a:r>
            <a:rPr lang="lv-LV" sz="700" baseline="0">
              <a:latin typeface="Times New Roman" panose="02020603050405020304" pitchFamily="18" charset="0"/>
              <a:cs typeface="Times New Roman" panose="02020603050405020304" pitchFamily="18" charset="0"/>
            </a:rPr>
            <a:t> par Kopējais veiktais darbs sadalījumā pa pakalpojumu programmām 2020. gada 3 mēnešos</a:t>
          </a:r>
          <a:endParaRPr lang="lv-LV" sz="700">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0.02625</cdr:x>
      <cdr:y>0.8663</cdr:y>
    </cdr:from>
    <cdr:to>
      <cdr:x>0.4875</cdr:x>
      <cdr:y>0.93872</cdr:y>
    </cdr:to>
    <cdr:sp macro="" textlink="">
      <cdr:nvSpPr>
        <cdr:cNvPr id="2" name="TextBox 1"/>
        <cdr:cNvSpPr txBox="1"/>
      </cdr:nvSpPr>
      <cdr:spPr>
        <a:xfrm xmlns:a="http://schemas.openxmlformats.org/drawingml/2006/main">
          <a:off x="200026" y="2962276"/>
          <a:ext cx="351472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cdr:x>
      <cdr:y>0.9302</cdr:y>
    </cdr:from>
    <cdr:to>
      <cdr:x>0.88998</cdr:x>
      <cdr:y>1</cdr:y>
    </cdr:to>
    <cdr:sp macro="" textlink="">
      <cdr:nvSpPr>
        <cdr:cNvPr id="3" name="TextBox 2"/>
        <cdr:cNvSpPr txBox="1"/>
      </cdr:nvSpPr>
      <cdr:spPr>
        <a:xfrm xmlns:a="http://schemas.openxmlformats.org/drawingml/2006/main">
          <a:off x="0" y="2626156"/>
          <a:ext cx="5181728" cy="1970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800">
              <a:latin typeface="Times New Roman" panose="02020603050405020304" pitchFamily="18" charset="0"/>
              <a:cs typeface="Times New Roman" panose="02020603050405020304" pitchFamily="18" charset="0"/>
            </a:rPr>
            <a:t>*NVD publiskotā informācija par Kopējais veiktais darbs sadalījumā pa pakalpojumu programmām 2020. gada 3 mēnešos</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0.91994</cdr:y>
    </cdr:from>
    <cdr:to>
      <cdr:x>1</cdr:x>
      <cdr:y>1</cdr:y>
    </cdr:to>
    <cdr:sp macro="" textlink="">
      <cdr:nvSpPr>
        <cdr:cNvPr id="2" name="TextBox 1"/>
        <cdr:cNvSpPr txBox="1"/>
      </cdr:nvSpPr>
      <cdr:spPr>
        <a:xfrm xmlns:a="http://schemas.openxmlformats.org/drawingml/2006/main">
          <a:off x="0" y="2583748"/>
          <a:ext cx="5822315" cy="22485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a:latin typeface="Times New Roman" panose="02020603050405020304" pitchFamily="18" charset="0"/>
              <a:cs typeface="Times New Roman" panose="02020603050405020304" pitchFamily="18" charset="0"/>
            </a:rPr>
            <a:t>*NVD publiskotā informācija par Kopējais veiktais darbs sadalījumā pa pakalpojumu programmām 2020. gada 3 mēnešos</a:t>
          </a:r>
        </a:p>
      </cdr:txBody>
    </cdr:sp>
  </cdr:relSizeAnchor>
</c:userShapes>
</file>

<file path=word/drawings/drawing6.xml><?xml version="1.0" encoding="utf-8"?>
<c:userShapes xmlns:c="http://schemas.openxmlformats.org/drawingml/2006/chart">
  <cdr:relSizeAnchor xmlns:cdr="http://schemas.openxmlformats.org/drawingml/2006/chartDrawing">
    <cdr:from>
      <cdr:x>0.01918</cdr:x>
      <cdr:y>0.92134</cdr:y>
    </cdr:from>
    <cdr:to>
      <cdr:x>0.97941</cdr:x>
      <cdr:y>1</cdr:y>
    </cdr:to>
    <cdr:sp macro="" textlink="">
      <cdr:nvSpPr>
        <cdr:cNvPr id="2" name="TextBox 1"/>
        <cdr:cNvSpPr txBox="1"/>
      </cdr:nvSpPr>
      <cdr:spPr>
        <a:xfrm xmlns:a="http://schemas.openxmlformats.org/drawingml/2006/main">
          <a:off x="112143" y="2829319"/>
          <a:ext cx="5615795" cy="24154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a:latin typeface="Times New Roman" panose="02020603050405020304" pitchFamily="18" charset="0"/>
              <a:cs typeface="Times New Roman" panose="02020603050405020304" pitchFamily="18" charset="0"/>
            </a:rPr>
            <a:t>*NVD publiskotā informācija par Kopējais veiktais darbs sadalījumā pa pakalpojumu programmām 2020. gada 3 mēnešos</a:t>
          </a:r>
        </a:p>
      </cdr:txBody>
    </cdr:sp>
  </cdr:relSizeAnchor>
</c:userShapes>
</file>

<file path=word/drawings/drawing7.xml><?xml version="1.0" encoding="utf-8"?>
<c:userShapes xmlns:c="http://schemas.openxmlformats.org/drawingml/2006/chart">
  <cdr:relSizeAnchor xmlns:cdr="http://schemas.openxmlformats.org/drawingml/2006/chartDrawing">
    <cdr:from>
      <cdr:x>0.0236</cdr:x>
      <cdr:y>0.93793</cdr:y>
    </cdr:from>
    <cdr:to>
      <cdr:x>0.94209</cdr:x>
      <cdr:y>1</cdr:y>
    </cdr:to>
    <cdr:sp macro="" textlink="">
      <cdr:nvSpPr>
        <cdr:cNvPr id="2" name="TextBox 1"/>
        <cdr:cNvSpPr txBox="1"/>
      </cdr:nvSpPr>
      <cdr:spPr>
        <a:xfrm xmlns:a="http://schemas.openxmlformats.org/drawingml/2006/main">
          <a:off x="136382" y="2941608"/>
          <a:ext cx="5306886" cy="19465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a:latin typeface="Times New Roman" panose="02020603050405020304" pitchFamily="18" charset="0"/>
              <a:cs typeface="Times New Roman" panose="02020603050405020304" pitchFamily="18" charset="0"/>
            </a:rPr>
            <a:t>*NVD publiskotā informācija par Kopējais veiktais darbs sadalījumā pa pakalpojumu programmām 2020. gada 3 mēnešos</a:t>
          </a:r>
        </a:p>
      </cdr:txBody>
    </cdr:sp>
  </cdr:relSizeAnchor>
</c:userShapes>
</file>

<file path=word/drawings/drawing8.xml><?xml version="1.0" encoding="utf-8"?>
<c:userShapes xmlns:c="http://schemas.openxmlformats.org/drawingml/2006/chart">
  <cdr:relSizeAnchor xmlns:cdr="http://schemas.openxmlformats.org/drawingml/2006/chartDrawing">
    <cdr:from>
      <cdr:x>0.12782</cdr:x>
      <cdr:y>0.14631</cdr:y>
    </cdr:from>
    <cdr:to>
      <cdr:x>0.24812</cdr:x>
      <cdr:y>0.35754</cdr:y>
    </cdr:to>
    <cdr:sp macro="" textlink="">
      <cdr:nvSpPr>
        <cdr:cNvPr id="2" name="TextBox 1"/>
        <cdr:cNvSpPr txBox="1"/>
      </cdr:nvSpPr>
      <cdr:spPr>
        <a:xfrm xmlns:a="http://schemas.openxmlformats.org/drawingml/2006/main">
          <a:off x="971550" y="633414"/>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0.10047</cdr:x>
      <cdr:y>0.58558</cdr:y>
    </cdr:from>
    <cdr:to>
      <cdr:x>0.22077</cdr:x>
      <cdr:y>0.65379</cdr:y>
    </cdr:to>
    <cdr:sp macro="" textlink="">
      <cdr:nvSpPr>
        <cdr:cNvPr id="3" name="TextBox 2"/>
        <cdr:cNvSpPr txBox="1"/>
      </cdr:nvSpPr>
      <cdr:spPr>
        <a:xfrm xmlns:a="http://schemas.openxmlformats.org/drawingml/2006/main">
          <a:off x="578734" y="1853268"/>
          <a:ext cx="692939" cy="2158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50" b="1">
              <a:solidFill>
                <a:srgbClr val="FF0000"/>
              </a:solidFill>
              <a:latin typeface="Times New Roman" panose="02020603050405020304" pitchFamily="18" charset="0"/>
              <a:cs typeface="Times New Roman" panose="02020603050405020304" pitchFamily="18" charset="0"/>
            </a:rPr>
            <a:t>∑= 1 073</a:t>
          </a:r>
        </a:p>
      </cdr:txBody>
    </cdr:sp>
  </cdr:relSizeAnchor>
</c:userShapes>
</file>

<file path=word/drawings/drawing9.xml><?xml version="1.0" encoding="utf-8"?>
<c:userShapes xmlns:c="http://schemas.openxmlformats.org/drawingml/2006/chart">
  <cdr:relSizeAnchor xmlns:cdr="http://schemas.openxmlformats.org/drawingml/2006/chartDrawing">
    <cdr:from>
      <cdr:x>0.65843</cdr:x>
      <cdr:y>0.26791</cdr:y>
    </cdr:from>
    <cdr:to>
      <cdr:x>1</cdr:x>
      <cdr:y>0.33152</cdr:y>
    </cdr:to>
    <cdr:sp macro="" textlink="">
      <cdr:nvSpPr>
        <cdr:cNvPr id="2" name="TextBox 2"/>
        <cdr:cNvSpPr txBox="1"/>
      </cdr:nvSpPr>
      <cdr:spPr>
        <a:xfrm xmlns:a="http://schemas.openxmlformats.org/drawingml/2006/main">
          <a:off x="4306983" y="1037329"/>
          <a:ext cx="2234311" cy="24629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lv-LV" sz="1200" b="1" dirty="0">
              <a:solidFill>
                <a:srgbClr val="C00000"/>
              </a:solidFill>
              <a:latin typeface="Times New Roman" panose="02020603050405020304" pitchFamily="18" charset="0"/>
              <a:ea typeface="Tahoma" panose="020B0604030504040204" pitchFamily="34" charset="0"/>
              <a:cs typeface="Times New Roman" panose="02020603050405020304" pitchFamily="18" charset="0"/>
            </a:rPr>
            <a:t>Izdevumi vidēji ES 1,9</a:t>
          </a:r>
        </a:p>
      </cdr:txBody>
    </cdr:sp>
  </cdr:relSizeAnchor>
  <cdr:relSizeAnchor xmlns:cdr="http://schemas.openxmlformats.org/drawingml/2006/chartDrawing">
    <cdr:from>
      <cdr:x>0.38206</cdr:x>
      <cdr:y>0.48358</cdr:y>
    </cdr:from>
    <cdr:to>
      <cdr:x>0.41944</cdr:x>
      <cdr:y>0.53529</cdr:y>
    </cdr:to>
    <cdr:sp macro="" textlink="">
      <cdr:nvSpPr>
        <cdr:cNvPr id="4" name="TextBox 3"/>
        <cdr:cNvSpPr txBox="1"/>
      </cdr:nvSpPr>
      <cdr:spPr>
        <a:xfrm xmlns:a="http://schemas.openxmlformats.org/drawingml/2006/main">
          <a:off x="2503713" y="1883228"/>
          <a:ext cx="244929" cy="2013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0.38372</cdr:x>
      <cdr:y>0.36338</cdr:y>
    </cdr:from>
    <cdr:to>
      <cdr:x>0.44518</cdr:x>
      <cdr:y>0.40671</cdr:y>
    </cdr:to>
    <cdr:sp macro="" textlink="">
      <cdr:nvSpPr>
        <cdr:cNvPr id="5" name="TextBox 4"/>
        <cdr:cNvSpPr txBox="1"/>
      </cdr:nvSpPr>
      <cdr:spPr>
        <a:xfrm xmlns:a="http://schemas.openxmlformats.org/drawingml/2006/main">
          <a:off x="2514600" y="1415143"/>
          <a:ext cx="402771" cy="1687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latin typeface="Times New Roman" panose="02020603050405020304" pitchFamily="18" charset="0"/>
              <a:cs typeface="Times New Roman" panose="02020603050405020304" pitchFamily="18" charset="0"/>
            </a:rPr>
            <a:t>295</a:t>
          </a:r>
        </a:p>
      </cdr:txBody>
    </cdr:sp>
  </cdr:relSizeAnchor>
  <cdr:relSizeAnchor xmlns:cdr="http://schemas.openxmlformats.org/drawingml/2006/chartDrawing">
    <cdr:from>
      <cdr:x>0.36296</cdr:x>
      <cdr:y>0.48917</cdr:y>
    </cdr:from>
    <cdr:to>
      <cdr:x>0.42442</cdr:x>
      <cdr:y>0.54787</cdr:y>
    </cdr:to>
    <cdr:sp macro="" textlink="">
      <cdr:nvSpPr>
        <cdr:cNvPr id="6" name="TextBox 5"/>
        <cdr:cNvSpPr txBox="1"/>
      </cdr:nvSpPr>
      <cdr:spPr>
        <a:xfrm xmlns:a="http://schemas.openxmlformats.org/drawingml/2006/main">
          <a:off x="2378528" y="1904999"/>
          <a:ext cx="402772" cy="2286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latin typeface="Times New Roman" panose="02020603050405020304" pitchFamily="18" charset="0"/>
              <a:cs typeface="Times New Roman" panose="02020603050405020304" pitchFamily="18" charset="0"/>
            </a:rPr>
            <a:t>2,7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AE59B-13FE-4401-993C-774E6833E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5452</TotalTime>
  <Pages>162</Pages>
  <Words>256433</Words>
  <Characters>146168</Characters>
  <Application>Microsoft Office Word</Application>
  <DocSecurity>0</DocSecurity>
  <Lines>1218</Lines>
  <Paragraphs>803</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rezultātiem un priekšlikumi par šo rezultātu izmantošanu likumprojekta “Par vidēja termiņa budžeta ietvaru 2021., 2022. un 2023. gadam” un likumprojekta “Par valsts budžetu 2021. gadam” izs</vt:lpstr>
    </vt:vector>
  </TitlesOfParts>
  <Company>Finanšu ministrija</Company>
  <LinksUpToDate>false</LinksUpToDate>
  <CharactersWithSpaces>401798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rezultātiem un priekšlikumi par šo rezultātu izmantošanu likumprojekta “Par vidēja termiņa budžeta ietvaru 2021., 2022. un 2023. gadam” un likumprojekta “Par valsts budžetu 2021. gadam” izstrādes procesā”</dc:title>
  <dc:subject>Informatīvais ziņojums</dc:subject>
  <dc:creator>Māra Aļļēna</dc:creator>
  <cp:keywords/>
  <dc:description>67083912, mara.allena@fm.gov.lv</dc:description>
  <cp:lastModifiedBy>Klinta Stafecka</cp:lastModifiedBy>
  <cp:revision>187</cp:revision>
  <cp:lastPrinted>2020-08-10T06:43:00Z</cp:lastPrinted>
  <dcterms:created xsi:type="dcterms:W3CDTF">2020-05-06T12:02:00Z</dcterms:created>
  <dcterms:modified xsi:type="dcterms:W3CDTF">2020-08-13T07:42:00Z</dcterms:modified>
</cp:coreProperties>
</file>