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theme/themeOverride7.xml" ContentType="application/vnd.openxmlformats-officedocument.themeOverride+xml"/>
  <Override PartName="/word/charts/chart11.xml" ContentType="application/vnd.openxmlformats-officedocument.drawingml.chart+xml"/>
  <Override PartName="/word/theme/themeOverride8.xml" ContentType="application/vnd.openxmlformats-officedocument.themeOverride+xml"/>
  <Override PartName="/word/charts/chart12.xml" ContentType="application/vnd.openxmlformats-officedocument.drawingml.chart+xml"/>
  <Override PartName="/word/theme/themeOverride9.xml" ContentType="application/vnd.openxmlformats-officedocument.themeOverride+xml"/>
  <Override PartName="/word/charts/chart13.xml" ContentType="application/vnd.openxmlformats-officedocument.drawingml.chart+xml"/>
  <Override PartName="/word/theme/themeOverride10.xml" ContentType="application/vnd.openxmlformats-officedocument.themeOverride+xml"/>
  <Override PartName="/word/charts/chart14.xml" ContentType="application/vnd.openxmlformats-officedocument.drawingml.chart+xml"/>
  <Override PartName="/word/theme/themeOverride11.xml" ContentType="application/vnd.openxmlformats-officedocument.themeOverride+xml"/>
  <Override PartName="/word/charts/chart15.xml" ContentType="application/vnd.openxmlformats-officedocument.drawingml.chart+xml"/>
  <Override PartName="/word/theme/themeOverride12.xml" ContentType="application/vnd.openxmlformats-officedocument.themeOverride+xml"/>
  <Override PartName="/word/charts/chart16.xml" ContentType="application/vnd.openxmlformats-officedocument.drawingml.chart+xml"/>
  <Override PartName="/word/theme/themeOverride13.xml" ContentType="application/vnd.openxmlformats-officedocument.themeOverride+xml"/>
  <Override PartName="/word/charts/chart17.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charts/chart18.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Pr="006E5888" w:rsidRDefault="009332EA" w:rsidP="009332EA">
      <w:pPr>
        <w:jc w:val="center"/>
        <w:rPr>
          <w:b/>
          <w:sz w:val="32"/>
          <w:szCs w:val="32"/>
        </w:rPr>
      </w:pPr>
      <w:r w:rsidRPr="006E5888">
        <w:rPr>
          <w:b/>
          <w:sz w:val="32"/>
          <w:szCs w:val="32"/>
        </w:rPr>
        <w:t xml:space="preserve">Informatīvais ziņojums </w:t>
      </w:r>
    </w:p>
    <w:p w:rsidR="009332EA" w:rsidRPr="006E5888" w:rsidRDefault="009332EA" w:rsidP="009332EA">
      <w:pPr>
        <w:jc w:val="center"/>
        <w:rPr>
          <w:b/>
          <w:sz w:val="28"/>
          <w:szCs w:val="28"/>
        </w:rPr>
      </w:pPr>
      <w:r w:rsidRPr="006E5888">
        <w:rPr>
          <w:b/>
          <w:sz w:val="32"/>
          <w:szCs w:val="32"/>
        </w:rPr>
        <w:t>“Par valsts budžeta izdevumu pārskatīšanas 2017., 2018. un 2019.gadam rezultātiem un priekšlikumi par šo rezultātu izmantošanu likumprojekta “Par vidēja termiņa budžeta 2017., 2018. un 2019.gadam” un likumprojekta “Par valsts budžetu 2017.gadam” izstrādes procesā”</w:t>
      </w: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237A1C" w:rsidRPr="006E5888" w:rsidRDefault="009332EA" w:rsidP="009332EA">
      <w:pPr>
        <w:tabs>
          <w:tab w:val="left" w:pos="1494"/>
        </w:tabs>
        <w:rPr>
          <w:sz w:val="28"/>
          <w:szCs w:val="28"/>
        </w:rPr>
      </w:pPr>
      <w:r w:rsidRPr="006E5888">
        <w:rPr>
          <w:sz w:val="28"/>
          <w:szCs w:val="28"/>
        </w:rPr>
        <w:tab/>
      </w:r>
    </w:p>
    <w:p w:rsidR="009332EA" w:rsidRPr="006E5888" w:rsidRDefault="009332EA" w:rsidP="009332EA">
      <w:pPr>
        <w:tabs>
          <w:tab w:val="left" w:pos="1494"/>
        </w:tabs>
        <w:rPr>
          <w:sz w:val="28"/>
          <w:szCs w:val="28"/>
        </w:rPr>
      </w:pPr>
    </w:p>
    <w:p w:rsidR="00C0177A" w:rsidRPr="006E5888" w:rsidRDefault="00C0177A" w:rsidP="00C0177A">
      <w:pPr>
        <w:jc w:val="center"/>
        <w:rPr>
          <w:b/>
        </w:rPr>
      </w:pPr>
      <w:r w:rsidRPr="006E5888">
        <w:rPr>
          <w:b/>
        </w:rPr>
        <w:lastRenderedPageBreak/>
        <w:t>Saturs</w:t>
      </w:r>
    </w:p>
    <w:p w:rsidR="00CA1C2E" w:rsidRPr="006E5888" w:rsidRDefault="00CA1C2E" w:rsidP="00F72914">
      <w:pPr>
        <w:rPr>
          <w:b/>
        </w:rPr>
      </w:pPr>
    </w:p>
    <w:sdt>
      <w:sdtPr>
        <w:rPr>
          <w:rFonts w:ascii="Times New Roman" w:eastAsiaTheme="minorHAnsi" w:hAnsi="Times New Roman" w:cstheme="minorBidi"/>
          <w:color w:val="auto"/>
          <w:sz w:val="24"/>
          <w:szCs w:val="22"/>
          <w:lang w:val="lv-LV"/>
        </w:rPr>
        <w:id w:val="-314032196"/>
        <w:docPartObj>
          <w:docPartGallery w:val="Table of Contents"/>
          <w:docPartUnique/>
        </w:docPartObj>
      </w:sdtPr>
      <w:sdtEndPr>
        <w:rPr>
          <w:b/>
          <w:bCs/>
          <w:noProof/>
        </w:rPr>
      </w:sdtEndPr>
      <w:sdtContent>
        <w:p w:rsidR="00EA2F33" w:rsidRPr="006E5888" w:rsidRDefault="00EA2F33">
          <w:pPr>
            <w:pStyle w:val="TOCHeading"/>
          </w:pPr>
        </w:p>
        <w:p w:rsidR="00EA2F33" w:rsidRPr="006E5888" w:rsidRDefault="00EA2F33">
          <w:pPr>
            <w:pStyle w:val="TOC1"/>
            <w:tabs>
              <w:tab w:val="left" w:pos="440"/>
              <w:tab w:val="right" w:leader="dot" w:pos="9344"/>
            </w:tabs>
            <w:rPr>
              <w:noProof/>
            </w:rPr>
          </w:pPr>
          <w:r w:rsidRPr="006E5888">
            <w:fldChar w:fldCharType="begin"/>
          </w:r>
          <w:r w:rsidRPr="006E5888">
            <w:instrText xml:space="preserve"> TOC \o "1-3" \h \z \u </w:instrText>
          </w:r>
          <w:r w:rsidRPr="006E5888">
            <w:fldChar w:fldCharType="separate"/>
          </w:r>
          <w:hyperlink w:anchor="_Toc451340338" w:history="1">
            <w:r w:rsidRPr="006E5888">
              <w:rPr>
                <w:rStyle w:val="Hyperlink"/>
                <w:noProof/>
              </w:rPr>
              <w:t>1.</w:t>
            </w:r>
            <w:r w:rsidRPr="006E5888">
              <w:rPr>
                <w:noProof/>
              </w:rPr>
              <w:tab/>
            </w:r>
            <w:r w:rsidRPr="006E5888">
              <w:rPr>
                <w:rStyle w:val="Hyperlink"/>
                <w:noProof/>
              </w:rPr>
              <w:t>IEVADS</w:t>
            </w:r>
            <w:r w:rsidRPr="006E5888">
              <w:rPr>
                <w:noProof/>
                <w:webHidden/>
              </w:rPr>
              <w:tab/>
            </w:r>
            <w:r w:rsidRPr="006E5888">
              <w:rPr>
                <w:noProof/>
                <w:webHidden/>
              </w:rPr>
              <w:fldChar w:fldCharType="begin"/>
            </w:r>
            <w:r w:rsidRPr="006E5888">
              <w:rPr>
                <w:noProof/>
                <w:webHidden/>
              </w:rPr>
              <w:instrText xml:space="preserve"> PAGEREF _Toc451340338 \h </w:instrText>
            </w:r>
            <w:r w:rsidRPr="006E5888">
              <w:rPr>
                <w:noProof/>
                <w:webHidden/>
              </w:rPr>
            </w:r>
            <w:r w:rsidRPr="006E5888">
              <w:rPr>
                <w:noProof/>
                <w:webHidden/>
              </w:rPr>
              <w:fldChar w:fldCharType="separate"/>
            </w:r>
            <w:r w:rsidR="007F607E">
              <w:rPr>
                <w:noProof/>
                <w:webHidden/>
              </w:rPr>
              <w:t>4</w:t>
            </w:r>
            <w:r w:rsidRPr="006E5888">
              <w:rPr>
                <w:noProof/>
                <w:webHidden/>
              </w:rPr>
              <w:fldChar w:fldCharType="end"/>
            </w:r>
          </w:hyperlink>
        </w:p>
        <w:p w:rsidR="00EA2F33" w:rsidRPr="006E5888" w:rsidRDefault="00EF7FEF">
          <w:pPr>
            <w:pStyle w:val="TOC1"/>
            <w:tabs>
              <w:tab w:val="left" w:pos="440"/>
              <w:tab w:val="right" w:leader="dot" w:pos="9344"/>
            </w:tabs>
            <w:rPr>
              <w:noProof/>
            </w:rPr>
          </w:pPr>
          <w:hyperlink w:anchor="_Toc451340339" w:history="1">
            <w:r w:rsidR="00EA2F33" w:rsidRPr="006E5888">
              <w:rPr>
                <w:rStyle w:val="Hyperlink"/>
                <w:noProof/>
              </w:rPr>
              <w:t>2.</w:t>
            </w:r>
            <w:r w:rsidR="00EA2F33" w:rsidRPr="006E5888">
              <w:rPr>
                <w:noProof/>
              </w:rPr>
              <w:tab/>
            </w:r>
            <w:r w:rsidR="00EA2F33" w:rsidRPr="006E5888">
              <w:rPr>
                <w:rStyle w:val="Hyperlink"/>
                <w:noProof/>
              </w:rPr>
              <w:t>IZDEVUMU PĀRSKATĪŠANAS P</w:t>
            </w:r>
            <w:r w:rsidR="00AB56A6">
              <w:rPr>
                <w:rStyle w:val="Hyperlink"/>
                <w:noProof/>
              </w:rPr>
              <w:t>R</w:t>
            </w:r>
            <w:r w:rsidR="00EA2F33" w:rsidRPr="006E5888">
              <w:rPr>
                <w:rStyle w:val="Hyperlink"/>
                <w:noProof/>
              </w:rPr>
              <w:t>OCESS</w:t>
            </w:r>
            <w:r w:rsidR="00EA2F33" w:rsidRPr="006E5888">
              <w:rPr>
                <w:noProof/>
                <w:webHidden/>
              </w:rPr>
              <w:tab/>
            </w:r>
            <w:r w:rsidR="00EA2F33" w:rsidRPr="006E5888">
              <w:rPr>
                <w:noProof/>
                <w:webHidden/>
              </w:rPr>
              <w:fldChar w:fldCharType="begin"/>
            </w:r>
            <w:r w:rsidR="00EA2F33" w:rsidRPr="006E5888">
              <w:rPr>
                <w:noProof/>
                <w:webHidden/>
              </w:rPr>
              <w:instrText xml:space="preserve"> PAGEREF _Toc451340339 \h </w:instrText>
            </w:r>
            <w:r w:rsidR="00EA2F33" w:rsidRPr="006E5888">
              <w:rPr>
                <w:noProof/>
                <w:webHidden/>
              </w:rPr>
            </w:r>
            <w:r w:rsidR="00EA2F33" w:rsidRPr="006E5888">
              <w:rPr>
                <w:noProof/>
                <w:webHidden/>
              </w:rPr>
              <w:fldChar w:fldCharType="separate"/>
            </w:r>
            <w:r w:rsidR="007F607E">
              <w:rPr>
                <w:noProof/>
                <w:webHidden/>
              </w:rPr>
              <w:t>5</w:t>
            </w:r>
            <w:r w:rsidR="00EA2F33" w:rsidRPr="006E5888">
              <w:rPr>
                <w:noProof/>
                <w:webHidden/>
              </w:rPr>
              <w:fldChar w:fldCharType="end"/>
            </w:r>
          </w:hyperlink>
        </w:p>
        <w:p w:rsidR="00EA2F33" w:rsidRPr="006E5888" w:rsidRDefault="00EF7FEF">
          <w:pPr>
            <w:pStyle w:val="TOC1"/>
            <w:tabs>
              <w:tab w:val="right" w:leader="dot" w:pos="9344"/>
            </w:tabs>
            <w:rPr>
              <w:noProof/>
            </w:rPr>
          </w:pPr>
          <w:hyperlink w:anchor="_Toc451340340" w:history="1">
            <w:r w:rsidR="00EA2F33" w:rsidRPr="006E5888">
              <w:rPr>
                <w:rStyle w:val="Hyperlink"/>
                <w:noProof/>
              </w:rPr>
              <w:t>3. IZDEVUMU SASAISTE AR MĒRĶIEM UN REZULTĀTIEM</w:t>
            </w:r>
            <w:r w:rsidR="00EA2F33" w:rsidRPr="006E5888">
              <w:rPr>
                <w:noProof/>
                <w:webHidden/>
              </w:rPr>
              <w:tab/>
            </w:r>
            <w:r w:rsidR="00EA2F33" w:rsidRPr="006E5888">
              <w:rPr>
                <w:noProof/>
                <w:webHidden/>
              </w:rPr>
              <w:fldChar w:fldCharType="begin"/>
            </w:r>
            <w:r w:rsidR="00EA2F33" w:rsidRPr="006E5888">
              <w:rPr>
                <w:noProof/>
                <w:webHidden/>
              </w:rPr>
              <w:instrText xml:space="preserve"> PAGEREF _Toc451340340 \h </w:instrText>
            </w:r>
            <w:r w:rsidR="00EA2F33" w:rsidRPr="006E5888">
              <w:rPr>
                <w:noProof/>
                <w:webHidden/>
              </w:rPr>
            </w:r>
            <w:r w:rsidR="00EA2F33" w:rsidRPr="006E5888">
              <w:rPr>
                <w:noProof/>
                <w:webHidden/>
              </w:rPr>
              <w:fldChar w:fldCharType="separate"/>
            </w:r>
            <w:r w:rsidR="007F607E">
              <w:rPr>
                <w:noProof/>
                <w:webHidden/>
              </w:rPr>
              <w:t>8</w:t>
            </w:r>
            <w:r w:rsidR="00EA2F33" w:rsidRPr="006E5888">
              <w:rPr>
                <w:noProof/>
                <w:webHidden/>
              </w:rPr>
              <w:fldChar w:fldCharType="end"/>
            </w:r>
          </w:hyperlink>
        </w:p>
        <w:p w:rsidR="00EA2F33" w:rsidRPr="006E5888" w:rsidRDefault="00EF7FEF">
          <w:pPr>
            <w:pStyle w:val="TOC1"/>
            <w:tabs>
              <w:tab w:val="left" w:pos="440"/>
              <w:tab w:val="right" w:leader="dot" w:pos="9344"/>
            </w:tabs>
            <w:rPr>
              <w:noProof/>
            </w:rPr>
          </w:pPr>
          <w:hyperlink w:anchor="_Toc451340341" w:history="1">
            <w:r w:rsidR="00EA2F33" w:rsidRPr="006E5888">
              <w:rPr>
                <w:rStyle w:val="Hyperlink"/>
                <w:noProof/>
              </w:rPr>
              <w:t>4.</w:t>
            </w:r>
            <w:r w:rsidR="00EA2F33" w:rsidRPr="006E5888">
              <w:rPr>
                <w:noProof/>
              </w:rPr>
              <w:tab/>
            </w:r>
            <w:r w:rsidR="00EA2F33" w:rsidRPr="006E5888">
              <w:rPr>
                <w:rStyle w:val="Hyperlink"/>
                <w:noProof/>
              </w:rPr>
              <w:t>IZDEVUMU PĀRSKATĪŠANAS REZULTĀTI</w:t>
            </w:r>
            <w:r w:rsidR="00EA2F33" w:rsidRPr="006E5888">
              <w:rPr>
                <w:noProof/>
                <w:webHidden/>
              </w:rPr>
              <w:tab/>
            </w:r>
            <w:r w:rsidR="00EA2F33" w:rsidRPr="006E5888">
              <w:rPr>
                <w:noProof/>
                <w:webHidden/>
              </w:rPr>
              <w:fldChar w:fldCharType="begin"/>
            </w:r>
            <w:r w:rsidR="00EA2F33" w:rsidRPr="006E5888">
              <w:rPr>
                <w:noProof/>
                <w:webHidden/>
              </w:rPr>
              <w:instrText xml:space="preserve"> PAGEREF _Toc451340341 \h </w:instrText>
            </w:r>
            <w:r w:rsidR="00EA2F33" w:rsidRPr="006E5888">
              <w:rPr>
                <w:noProof/>
                <w:webHidden/>
              </w:rPr>
            </w:r>
            <w:r w:rsidR="00EA2F33" w:rsidRPr="006E5888">
              <w:rPr>
                <w:noProof/>
                <w:webHidden/>
              </w:rPr>
              <w:fldChar w:fldCharType="separate"/>
            </w:r>
            <w:r w:rsidR="007F607E">
              <w:rPr>
                <w:noProof/>
                <w:webHidden/>
              </w:rPr>
              <w:t>12</w:t>
            </w:r>
            <w:r w:rsidR="00EA2F33" w:rsidRPr="006E5888">
              <w:rPr>
                <w:noProof/>
                <w:webHidden/>
              </w:rPr>
              <w:fldChar w:fldCharType="end"/>
            </w:r>
          </w:hyperlink>
        </w:p>
        <w:p w:rsidR="00EA2F33" w:rsidRPr="006E5888" w:rsidRDefault="00EF7FEF">
          <w:pPr>
            <w:pStyle w:val="TOC2"/>
            <w:tabs>
              <w:tab w:val="right" w:leader="dot" w:pos="9344"/>
            </w:tabs>
            <w:rPr>
              <w:noProof/>
            </w:rPr>
          </w:pPr>
          <w:hyperlink w:anchor="_Toc451340342" w:history="1">
            <w:r w:rsidR="00EA2F33" w:rsidRPr="006E5888">
              <w:rPr>
                <w:rStyle w:val="Hyperlink"/>
                <w:noProof/>
              </w:rPr>
              <w:t>4.1. VALSTS BUDŽETA ELASTĪBAS INSTRUMENTU ANALĪZE</w:t>
            </w:r>
            <w:r w:rsidR="00EA2F33" w:rsidRPr="006E5888">
              <w:rPr>
                <w:noProof/>
                <w:webHidden/>
              </w:rPr>
              <w:tab/>
            </w:r>
            <w:r w:rsidR="00EA2F33" w:rsidRPr="006E5888">
              <w:rPr>
                <w:noProof/>
                <w:webHidden/>
              </w:rPr>
              <w:fldChar w:fldCharType="begin"/>
            </w:r>
            <w:r w:rsidR="00EA2F33" w:rsidRPr="006E5888">
              <w:rPr>
                <w:noProof/>
                <w:webHidden/>
              </w:rPr>
              <w:instrText xml:space="preserve"> PAGEREF _Toc451340342 \h </w:instrText>
            </w:r>
            <w:r w:rsidR="00EA2F33" w:rsidRPr="006E5888">
              <w:rPr>
                <w:noProof/>
                <w:webHidden/>
              </w:rPr>
            </w:r>
            <w:r w:rsidR="00EA2F33" w:rsidRPr="006E5888">
              <w:rPr>
                <w:noProof/>
                <w:webHidden/>
              </w:rPr>
              <w:fldChar w:fldCharType="separate"/>
            </w:r>
            <w:r w:rsidR="007F607E">
              <w:rPr>
                <w:noProof/>
                <w:webHidden/>
              </w:rPr>
              <w:t>18</w:t>
            </w:r>
            <w:r w:rsidR="00EA2F33" w:rsidRPr="006E5888">
              <w:rPr>
                <w:noProof/>
                <w:webHidden/>
              </w:rPr>
              <w:fldChar w:fldCharType="end"/>
            </w:r>
          </w:hyperlink>
        </w:p>
        <w:p w:rsidR="00EA2F33" w:rsidRPr="006E5888" w:rsidRDefault="00EF7FEF">
          <w:pPr>
            <w:pStyle w:val="TOC2"/>
            <w:tabs>
              <w:tab w:val="right" w:leader="dot" w:pos="9344"/>
            </w:tabs>
            <w:rPr>
              <w:noProof/>
            </w:rPr>
          </w:pPr>
          <w:hyperlink w:anchor="_Toc451340343" w:history="1">
            <w:r w:rsidR="00EA2F33" w:rsidRPr="006E5888">
              <w:rPr>
                <w:rStyle w:val="Hyperlink"/>
                <w:noProof/>
              </w:rPr>
              <w:t>4.2. ATSEVIŠĶU IZDEVUMU VEIDU HORIZONTĀLA ANALĪZE</w:t>
            </w:r>
            <w:r w:rsidR="00EA2F33" w:rsidRPr="006E5888">
              <w:rPr>
                <w:noProof/>
                <w:webHidden/>
              </w:rPr>
              <w:tab/>
            </w:r>
            <w:r w:rsidR="00EA2F33" w:rsidRPr="006E5888">
              <w:rPr>
                <w:noProof/>
                <w:webHidden/>
              </w:rPr>
              <w:fldChar w:fldCharType="begin"/>
            </w:r>
            <w:r w:rsidR="00EA2F33" w:rsidRPr="006E5888">
              <w:rPr>
                <w:noProof/>
                <w:webHidden/>
              </w:rPr>
              <w:instrText xml:space="preserve"> PAGEREF _Toc451340343 \h </w:instrText>
            </w:r>
            <w:r w:rsidR="00EA2F33" w:rsidRPr="006E5888">
              <w:rPr>
                <w:noProof/>
                <w:webHidden/>
              </w:rPr>
            </w:r>
            <w:r w:rsidR="00EA2F33" w:rsidRPr="006E5888">
              <w:rPr>
                <w:noProof/>
                <w:webHidden/>
              </w:rPr>
              <w:fldChar w:fldCharType="separate"/>
            </w:r>
            <w:r w:rsidR="007F607E">
              <w:rPr>
                <w:noProof/>
                <w:webHidden/>
              </w:rPr>
              <w:t>25</w:t>
            </w:r>
            <w:r w:rsidR="00EA2F33" w:rsidRPr="006E5888">
              <w:rPr>
                <w:noProof/>
                <w:webHidden/>
              </w:rPr>
              <w:fldChar w:fldCharType="end"/>
            </w:r>
          </w:hyperlink>
        </w:p>
        <w:p w:rsidR="00EA2F33" w:rsidRPr="006E5888" w:rsidRDefault="00EF7FEF">
          <w:pPr>
            <w:pStyle w:val="TOC2"/>
            <w:tabs>
              <w:tab w:val="right" w:leader="dot" w:pos="9344"/>
            </w:tabs>
            <w:rPr>
              <w:noProof/>
            </w:rPr>
          </w:pPr>
          <w:hyperlink w:anchor="_Toc451340344" w:history="1">
            <w:r w:rsidR="00EA2F33" w:rsidRPr="006E5888">
              <w:rPr>
                <w:rStyle w:val="Hyperlink"/>
                <w:noProof/>
              </w:rPr>
              <w:t>4.3. VALSTS BUDŽETA ATTĪSTĪBAS DAĻAS ANALĪZE</w:t>
            </w:r>
            <w:r w:rsidR="00EA2F33" w:rsidRPr="006E5888">
              <w:rPr>
                <w:noProof/>
                <w:webHidden/>
              </w:rPr>
              <w:tab/>
            </w:r>
            <w:r w:rsidR="00EA2F33" w:rsidRPr="006E5888">
              <w:rPr>
                <w:noProof/>
                <w:webHidden/>
              </w:rPr>
              <w:fldChar w:fldCharType="begin"/>
            </w:r>
            <w:r w:rsidR="00EA2F33" w:rsidRPr="006E5888">
              <w:rPr>
                <w:noProof/>
                <w:webHidden/>
              </w:rPr>
              <w:instrText xml:space="preserve"> PAGEREF _Toc451340344 \h </w:instrText>
            </w:r>
            <w:r w:rsidR="00EA2F33" w:rsidRPr="006E5888">
              <w:rPr>
                <w:noProof/>
                <w:webHidden/>
              </w:rPr>
            </w:r>
            <w:r w:rsidR="00EA2F33" w:rsidRPr="006E5888">
              <w:rPr>
                <w:noProof/>
                <w:webHidden/>
              </w:rPr>
              <w:fldChar w:fldCharType="separate"/>
            </w:r>
            <w:r w:rsidR="007F607E">
              <w:rPr>
                <w:noProof/>
                <w:webHidden/>
              </w:rPr>
              <w:t>31</w:t>
            </w:r>
            <w:r w:rsidR="00EA2F33" w:rsidRPr="006E5888">
              <w:rPr>
                <w:noProof/>
                <w:webHidden/>
              </w:rPr>
              <w:fldChar w:fldCharType="end"/>
            </w:r>
          </w:hyperlink>
        </w:p>
        <w:p w:rsidR="00EA2F33" w:rsidRPr="006E5888" w:rsidRDefault="00EF7FEF">
          <w:pPr>
            <w:pStyle w:val="TOC2"/>
            <w:tabs>
              <w:tab w:val="right" w:leader="dot" w:pos="9344"/>
            </w:tabs>
            <w:rPr>
              <w:noProof/>
            </w:rPr>
          </w:pPr>
          <w:hyperlink w:anchor="_Toc451340345" w:history="1">
            <w:r w:rsidR="00EA2F33" w:rsidRPr="006E5888">
              <w:rPr>
                <w:rStyle w:val="Hyperlink"/>
                <w:rFonts w:eastAsia="Times New Roman"/>
                <w:noProof/>
                <w:lang w:eastAsia="lv-LV"/>
              </w:rPr>
              <w:t>4.4. AUDITA UN REVĪZIJAS ZIŅOJUMU ANALĪZE</w:t>
            </w:r>
            <w:r w:rsidR="00EA2F33" w:rsidRPr="006E5888">
              <w:rPr>
                <w:noProof/>
                <w:webHidden/>
              </w:rPr>
              <w:tab/>
            </w:r>
            <w:r w:rsidR="00EA2F33" w:rsidRPr="006E5888">
              <w:rPr>
                <w:noProof/>
                <w:webHidden/>
              </w:rPr>
              <w:fldChar w:fldCharType="begin"/>
            </w:r>
            <w:r w:rsidR="00EA2F33" w:rsidRPr="006E5888">
              <w:rPr>
                <w:noProof/>
                <w:webHidden/>
              </w:rPr>
              <w:instrText xml:space="preserve"> PAGEREF _Toc451340345 \h </w:instrText>
            </w:r>
            <w:r w:rsidR="00EA2F33" w:rsidRPr="006E5888">
              <w:rPr>
                <w:noProof/>
                <w:webHidden/>
              </w:rPr>
            </w:r>
            <w:r w:rsidR="00EA2F33" w:rsidRPr="006E5888">
              <w:rPr>
                <w:noProof/>
                <w:webHidden/>
              </w:rPr>
              <w:fldChar w:fldCharType="separate"/>
            </w:r>
            <w:r w:rsidR="007F607E">
              <w:rPr>
                <w:noProof/>
                <w:webHidden/>
              </w:rPr>
              <w:t>31</w:t>
            </w:r>
            <w:r w:rsidR="00EA2F33" w:rsidRPr="006E5888">
              <w:rPr>
                <w:noProof/>
                <w:webHidden/>
              </w:rPr>
              <w:fldChar w:fldCharType="end"/>
            </w:r>
          </w:hyperlink>
        </w:p>
        <w:p w:rsidR="00EA2F33" w:rsidRPr="006E5888" w:rsidRDefault="00EF7FEF">
          <w:pPr>
            <w:pStyle w:val="TOC1"/>
            <w:tabs>
              <w:tab w:val="left" w:pos="440"/>
              <w:tab w:val="right" w:leader="dot" w:pos="9344"/>
            </w:tabs>
            <w:rPr>
              <w:noProof/>
            </w:rPr>
          </w:pPr>
          <w:hyperlink w:anchor="_Toc451340346" w:history="1">
            <w:r w:rsidR="00EA2F33" w:rsidRPr="006E5888">
              <w:rPr>
                <w:rStyle w:val="Hyperlink"/>
                <w:noProof/>
              </w:rPr>
              <w:t>5.</w:t>
            </w:r>
            <w:r w:rsidR="00EA2F33" w:rsidRPr="006E5888">
              <w:rPr>
                <w:noProof/>
              </w:rPr>
              <w:tab/>
            </w:r>
            <w:r w:rsidR="00EA2F33" w:rsidRPr="006E5888">
              <w:rPr>
                <w:rStyle w:val="Hyperlink"/>
                <w:noProof/>
              </w:rPr>
              <w:t>NULLES BUDŽETA PRINCIPA IEVIEŠANAS IESPĒJAS</w:t>
            </w:r>
            <w:r w:rsidR="00EA2F33" w:rsidRPr="006E5888">
              <w:rPr>
                <w:noProof/>
                <w:webHidden/>
              </w:rPr>
              <w:tab/>
            </w:r>
            <w:r w:rsidR="00EA2F33" w:rsidRPr="006E5888">
              <w:rPr>
                <w:noProof/>
                <w:webHidden/>
              </w:rPr>
              <w:fldChar w:fldCharType="begin"/>
            </w:r>
            <w:r w:rsidR="00EA2F33" w:rsidRPr="006E5888">
              <w:rPr>
                <w:noProof/>
                <w:webHidden/>
              </w:rPr>
              <w:instrText xml:space="preserve"> PAGEREF _Toc451340346 \h </w:instrText>
            </w:r>
            <w:r w:rsidR="00EA2F33" w:rsidRPr="006E5888">
              <w:rPr>
                <w:noProof/>
                <w:webHidden/>
              </w:rPr>
            </w:r>
            <w:r w:rsidR="00EA2F33" w:rsidRPr="006E5888">
              <w:rPr>
                <w:noProof/>
                <w:webHidden/>
              </w:rPr>
              <w:fldChar w:fldCharType="separate"/>
            </w:r>
            <w:r w:rsidR="007F607E">
              <w:rPr>
                <w:noProof/>
                <w:webHidden/>
              </w:rPr>
              <w:t>32</w:t>
            </w:r>
            <w:r w:rsidR="00EA2F33" w:rsidRPr="006E5888">
              <w:rPr>
                <w:noProof/>
                <w:webHidden/>
              </w:rPr>
              <w:fldChar w:fldCharType="end"/>
            </w:r>
          </w:hyperlink>
        </w:p>
        <w:p w:rsidR="00EA2F33" w:rsidRPr="006E5888" w:rsidRDefault="00EF7FEF">
          <w:pPr>
            <w:pStyle w:val="TOC1"/>
            <w:tabs>
              <w:tab w:val="left" w:pos="440"/>
              <w:tab w:val="right" w:leader="dot" w:pos="9344"/>
            </w:tabs>
            <w:rPr>
              <w:noProof/>
            </w:rPr>
          </w:pPr>
          <w:hyperlink w:anchor="_Toc451340347" w:history="1">
            <w:r w:rsidR="00EA2F33" w:rsidRPr="006E5888">
              <w:rPr>
                <w:rStyle w:val="Hyperlink"/>
                <w:noProof/>
              </w:rPr>
              <w:t>6.</w:t>
            </w:r>
            <w:r w:rsidR="00EA2F33" w:rsidRPr="006E5888">
              <w:rPr>
                <w:noProof/>
              </w:rPr>
              <w:tab/>
            </w:r>
            <w:r w:rsidR="00EA2F33" w:rsidRPr="006E5888">
              <w:rPr>
                <w:rStyle w:val="Hyperlink"/>
                <w:noProof/>
              </w:rPr>
              <w:t>DETALIZĒTS IZVĒRTĒJUMS PRIORITĀRAJĀS JOMĀS</w:t>
            </w:r>
            <w:r w:rsidR="00EA2F33" w:rsidRPr="006E5888">
              <w:rPr>
                <w:noProof/>
                <w:webHidden/>
              </w:rPr>
              <w:tab/>
            </w:r>
            <w:r w:rsidR="00EA2F33" w:rsidRPr="006E5888">
              <w:rPr>
                <w:noProof/>
                <w:webHidden/>
              </w:rPr>
              <w:fldChar w:fldCharType="begin"/>
            </w:r>
            <w:r w:rsidR="00EA2F33" w:rsidRPr="006E5888">
              <w:rPr>
                <w:noProof/>
                <w:webHidden/>
              </w:rPr>
              <w:instrText xml:space="preserve"> PAGEREF _Toc451340347 \h </w:instrText>
            </w:r>
            <w:r w:rsidR="00EA2F33" w:rsidRPr="006E5888">
              <w:rPr>
                <w:noProof/>
                <w:webHidden/>
              </w:rPr>
            </w:r>
            <w:r w:rsidR="00EA2F33" w:rsidRPr="006E5888">
              <w:rPr>
                <w:noProof/>
                <w:webHidden/>
              </w:rPr>
              <w:fldChar w:fldCharType="separate"/>
            </w:r>
            <w:r w:rsidR="007F607E">
              <w:rPr>
                <w:noProof/>
                <w:webHidden/>
              </w:rPr>
              <w:t>35</w:t>
            </w:r>
            <w:r w:rsidR="00EA2F33" w:rsidRPr="006E5888">
              <w:rPr>
                <w:noProof/>
                <w:webHidden/>
              </w:rPr>
              <w:fldChar w:fldCharType="end"/>
            </w:r>
          </w:hyperlink>
        </w:p>
        <w:p w:rsidR="00EA2F33" w:rsidRPr="006E5888" w:rsidRDefault="00EF7FEF">
          <w:pPr>
            <w:pStyle w:val="TOC2"/>
            <w:tabs>
              <w:tab w:val="right" w:leader="dot" w:pos="9344"/>
            </w:tabs>
            <w:rPr>
              <w:noProof/>
            </w:rPr>
          </w:pPr>
          <w:hyperlink w:anchor="_Toc451340348" w:history="1">
            <w:r w:rsidR="00EA2F33" w:rsidRPr="006E5888">
              <w:rPr>
                <w:rStyle w:val="Hyperlink"/>
                <w:noProof/>
              </w:rPr>
              <w:t>6.1. VESELĪBA</w:t>
            </w:r>
            <w:r w:rsidR="00EA2F33" w:rsidRPr="006E5888">
              <w:rPr>
                <w:noProof/>
                <w:webHidden/>
              </w:rPr>
              <w:tab/>
            </w:r>
            <w:r w:rsidR="00EA2F33" w:rsidRPr="006E5888">
              <w:rPr>
                <w:noProof/>
                <w:webHidden/>
              </w:rPr>
              <w:fldChar w:fldCharType="begin"/>
            </w:r>
            <w:r w:rsidR="00EA2F33" w:rsidRPr="006E5888">
              <w:rPr>
                <w:noProof/>
                <w:webHidden/>
              </w:rPr>
              <w:instrText xml:space="preserve"> PAGEREF _Toc451340348 \h </w:instrText>
            </w:r>
            <w:r w:rsidR="00EA2F33" w:rsidRPr="006E5888">
              <w:rPr>
                <w:noProof/>
                <w:webHidden/>
              </w:rPr>
            </w:r>
            <w:r w:rsidR="00EA2F33" w:rsidRPr="006E5888">
              <w:rPr>
                <w:noProof/>
                <w:webHidden/>
              </w:rPr>
              <w:fldChar w:fldCharType="separate"/>
            </w:r>
            <w:r w:rsidR="007F607E">
              <w:rPr>
                <w:noProof/>
                <w:webHidden/>
              </w:rPr>
              <w:t>35</w:t>
            </w:r>
            <w:r w:rsidR="00EA2F33" w:rsidRPr="006E5888">
              <w:rPr>
                <w:noProof/>
                <w:webHidden/>
              </w:rPr>
              <w:fldChar w:fldCharType="end"/>
            </w:r>
          </w:hyperlink>
        </w:p>
        <w:p w:rsidR="00EA2F33" w:rsidRPr="006E5888" w:rsidRDefault="00EF7FEF">
          <w:pPr>
            <w:pStyle w:val="TOC2"/>
            <w:tabs>
              <w:tab w:val="right" w:leader="dot" w:pos="9344"/>
            </w:tabs>
            <w:rPr>
              <w:noProof/>
            </w:rPr>
          </w:pPr>
          <w:hyperlink w:anchor="_Toc451340349" w:history="1">
            <w:r w:rsidR="00EA2F33" w:rsidRPr="006E5888">
              <w:rPr>
                <w:rStyle w:val="Hyperlink"/>
                <w:noProof/>
              </w:rPr>
              <w:t>6.2. IZGLĪTĪBA</w:t>
            </w:r>
            <w:r w:rsidR="00EA2F33" w:rsidRPr="006E5888">
              <w:rPr>
                <w:noProof/>
                <w:webHidden/>
              </w:rPr>
              <w:tab/>
            </w:r>
            <w:r w:rsidR="00EA2F33" w:rsidRPr="006E5888">
              <w:rPr>
                <w:noProof/>
                <w:webHidden/>
              </w:rPr>
              <w:fldChar w:fldCharType="begin"/>
            </w:r>
            <w:r w:rsidR="00EA2F33" w:rsidRPr="006E5888">
              <w:rPr>
                <w:noProof/>
                <w:webHidden/>
              </w:rPr>
              <w:instrText xml:space="preserve"> PAGEREF _Toc451340349 \h </w:instrText>
            </w:r>
            <w:r w:rsidR="00EA2F33" w:rsidRPr="006E5888">
              <w:rPr>
                <w:noProof/>
                <w:webHidden/>
              </w:rPr>
            </w:r>
            <w:r w:rsidR="00EA2F33" w:rsidRPr="006E5888">
              <w:rPr>
                <w:noProof/>
                <w:webHidden/>
              </w:rPr>
              <w:fldChar w:fldCharType="separate"/>
            </w:r>
            <w:r w:rsidR="007F607E">
              <w:rPr>
                <w:noProof/>
                <w:webHidden/>
              </w:rPr>
              <w:t>51</w:t>
            </w:r>
            <w:r w:rsidR="00EA2F33" w:rsidRPr="006E5888">
              <w:rPr>
                <w:noProof/>
                <w:webHidden/>
              </w:rPr>
              <w:fldChar w:fldCharType="end"/>
            </w:r>
          </w:hyperlink>
        </w:p>
        <w:p w:rsidR="00EA2F33" w:rsidRPr="006E5888" w:rsidRDefault="00EF7FEF">
          <w:pPr>
            <w:pStyle w:val="TOC1"/>
            <w:tabs>
              <w:tab w:val="right" w:leader="dot" w:pos="9344"/>
            </w:tabs>
            <w:rPr>
              <w:noProof/>
            </w:rPr>
          </w:pPr>
          <w:hyperlink w:anchor="_Toc451340350" w:history="1">
            <w:r w:rsidR="00EA2F33" w:rsidRPr="006E5888">
              <w:rPr>
                <w:rStyle w:val="Hyperlink"/>
                <w:noProof/>
              </w:rPr>
              <w:t>7. MINISTRIJU IZTEIKTIE EFEKTIVIZĀCIJAS PRIEKŠLIKUMI</w:t>
            </w:r>
            <w:r w:rsidR="00EA2F33" w:rsidRPr="006E5888">
              <w:rPr>
                <w:noProof/>
                <w:webHidden/>
              </w:rPr>
              <w:tab/>
            </w:r>
            <w:r w:rsidR="00EA2F33" w:rsidRPr="006E5888">
              <w:rPr>
                <w:noProof/>
                <w:webHidden/>
              </w:rPr>
              <w:fldChar w:fldCharType="begin"/>
            </w:r>
            <w:r w:rsidR="00EA2F33" w:rsidRPr="006E5888">
              <w:rPr>
                <w:noProof/>
                <w:webHidden/>
              </w:rPr>
              <w:instrText xml:space="preserve"> PAGEREF _Toc451340350 \h </w:instrText>
            </w:r>
            <w:r w:rsidR="00EA2F33" w:rsidRPr="006E5888">
              <w:rPr>
                <w:noProof/>
                <w:webHidden/>
              </w:rPr>
            </w:r>
            <w:r w:rsidR="00EA2F33" w:rsidRPr="006E5888">
              <w:rPr>
                <w:noProof/>
                <w:webHidden/>
              </w:rPr>
              <w:fldChar w:fldCharType="separate"/>
            </w:r>
            <w:r w:rsidR="007F607E">
              <w:rPr>
                <w:noProof/>
                <w:webHidden/>
              </w:rPr>
              <w:t>64</w:t>
            </w:r>
            <w:r w:rsidR="00EA2F33" w:rsidRPr="006E5888">
              <w:rPr>
                <w:noProof/>
                <w:webHidden/>
              </w:rPr>
              <w:fldChar w:fldCharType="end"/>
            </w:r>
          </w:hyperlink>
        </w:p>
        <w:p w:rsidR="00EA2F33" w:rsidRPr="006E5888" w:rsidRDefault="00EF7FEF">
          <w:pPr>
            <w:pStyle w:val="TOC1"/>
            <w:tabs>
              <w:tab w:val="right" w:leader="dot" w:pos="9344"/>
            </w:tabs>
            <w:rPr>
              <w:noProof/>
            </w:rPr>
          </w:pPr>
          <w:hyperlink w:anchor="_Toc451340351" w:history="1">
            <w:r w:rsidR="00EA2F33" w:rsidRPr="006E5888">
              <w:rPr>
                <w:rStyle w:val="Hyperlink"/>
                <w:noProof/>
              </w:rPr>
              <w:t>8. ATLĪDZĪBAS SISTĒMAS UN PERSONĀLA ANALĪZE</w:t>
            </w:r>
            <w:r w:rsidR="00EA2F33" w:rsidRPr="006E5888">
              <w:rPr>
                <w:noProof/>
                <w:webHidden/>
              </w:rPr>
              <w:tab/>
            </w:r>
            <w:r w:rsidR="00EA2F33" w:rsidRPr="006E5888">
              <w:rPr>
                <w:noProof/>
                <w:webHidden/>
              </w:rPr>
              <w:fldChar w:fldCharType="begin"/>
            </w:r>
            <w:r w:rsidR="00EA2F33" w:rsidRPr="006E5888">
              <w:rPr>
                <w:noProof/>
                <w:webHidden/>
              </w:rPr>
              <w:instrText xml:space="preserve"> PAGEREF _Toc451340351 \h </w:instrText>
            </w:r>
            <w:r w:rsidR="00EA2F33" w:rsidRPr="006E5888">
              <w:rPr>
                <w:noProof/>
                <w:webHidden/>
              </w:rPr>
            </w:r>
            <w:r w:rsidR="00EA2F33" w:rsidRPr="006E5888">
              <w:rPr>
                <w:noProof/>
                <w:webHidden/>
              </w:rPr>
              <w:fldChar w:fldCharType="separate"/>
            </w:r>
            <w:r w:rsidR="007F607E">
              <w:rPr>
                <w:noProof/>
                <w:webHidden/>
              </w:rPr>
              <w:t>65</w:t>
            </w:r>
            <w:r w:rsidR="00EA2F33" w:rsidRPr="006E5888">
              <w:rPr>
                <w:noProof/>
                <w:webHidden/>
              </w:rPr>
              <w:fldChar w:fldCharType="end"/>
            </w:r>
          </w:hyperlink>
        </w:p>
        <w:p w:rsidR="00EA2F33" w:rsidRPr="006E5888" w:rsidRDefault="00EF7FEF">
          <w:pPr>
            <w:pStyle w:val="TOC1"/>
            <w:tabs>
              <w:tab w:val="right" w:leader="dot" w:pos="9344"/>
            </w:tabs>
            <w:rPr>
              <w:noProof/>
            </w:rPr>
          </w:pPr>
          <w:hyperlink w:anchor="_Toc451340352" w:history="1">
            <w:r w:rsidR="00EA2F33" w:rsidRPr="006E5888">
              <w:rPr>
                <w:rStyle w:val="Hyperlink"/>
                <w:noProof/>
              </w:rPr>
              <w:t>9. PRIEKŠLIKUMI IZDEVUMU PĀRSKATĪŠANAS REZULTĀTU IZMANTOŠANAI</w:t>
            </w:r>
            <w:r w:rsidR="00EA2F33" w:rsidRPr="006E5888">
              <w:rPr>
                <w:noProof/>
                <w:webHidden/>
              </w:rPr>
              <w:tab/>
            </w:r>
            <w:r w:rsidR="00EA2F33" w:rsidRPr="006E5888">
              <w:rPr>
                <w:noProof/>
                <w:webHidden/>
              </w:rPr>
              <w:fldChar w:fldCharType="begin"/>
            </w:r>
            <w:r w:rsidR="00EA2F33" w:rsidRPr="006E5888">
              <w:rPr>
                <w:noProof/>
                <w:webHidden/>
              </w:rPr>
              <w:instrText xml:space="preserve"> PAGEREF _Toc451340352 \h </w:instrText>
            </w:r>
            <w:r w:rsidR="00EA2F33" w:rsidRPr="006E5888">
              <w:rPr>
                <w:noProof/>
                <w:webHidden/>
              </w:rPr>
            </w:r>
            <w:r w:rsidR="00EA2F33" w:rsidRPr="006E5888">
              <w:rPr>
                <w:noProof/>
                <w:webHidden/>
              </w:rPr>
              <w:fldChar w:fldCharType="separate"/>
            </w:r>
            <w:r w:rsidR="007F607E">
              <w:rPr>
                <w:noProof/>
                <w:webHidden/>
              </w:rPr>
              <w:t>66</w:t>
            </w:r>
            <w:r w:rsidR="00EA2F33" w:rsidRPr="006E5888">
              <w:rPr>
                <w:noProof/>
                <w:webHidden/>
              </w:rPr>
              <w:fldChar w:fldCharType="end"/>
            </w:r>
          </w:hyperlink>
        </w:p>
        <w:p w:rsidR="00B24474" w:rsidRPr="006E5888" w:rsidRDefault="00B24474" w:rsidP="00B24474">
          <w:pPr>
            <w:rPr>
              <w:noProof/>
            </w:rPr>
          </w:pPr>
          <w:r w:rsidRPr="006E5888">
            <w:rPr>
              <w:noProof/>
            </w:rPr>
            <w:t>PIELIKUMI</w:t>
          </w:r>
        </w:p>
        <w:p w:rsidR="00B24474" w:rsidRPr="006E5888" w:rsidRDefault="00B24474" w:rsidP="00B24474">
          <w:pPr>
            <w:rPr>
              <w:noProof/>
            </w:rPr>
          </w:pPr>
          <w:r w:rsidRPr="006E5888">
            <w:rPr>
              <w:noProof/>
            </w:rPr>
            <w:t>1.pielikums "Latvijas Bankas prezentācijas"</w:t>
          </w:r>
        </w:p>
        <w:p w:rsidR="00B24474" w:rsidRPr="006E5888" w:rsidRDefault="00B24474" w:rsidP="00B24474">
          <w:pPr>
            <w:rPr>
              <w:noProof/>
            </w:rPr>
          </w:pPr>
          <w:r w:rsidRPr="006E5888">
            <w:rPr>
              <w:noProof/>
            </w:rPr>
            <w:t>2.pielikums "Mērinstrumentu paneļi"</w:t>
          </w:r>
        </w:p>
        <w:p w:rsidR="00B24474" w:rsidRPr="006E5888" w:rsidRDefault="00B24474" w:rsidP="00B24474">
          <w:pPr>
            <w:rPr>
              <w:noProof/>
            </w:rPr>
          </w:pPr>
          <w:r w:rsidRPr="006E5888">
            <w:rPr>
              <w:noProof/>
            </w:rPr>
            <w:t>3.pielikums "Kopsavilkums par izdevumu pārskatīšanas rezultātiem"</w:t>
          </w:r>
        </w:p>
        <w:p w:rsidR="00B24474" w:rsidRPr="006E5888" w:rsidRDefault="00B24474" w:rsidP="00B24474">
          <w:pPr>
            <w:rPr>
              <w:noProof/>
            </w:rPr>
          </w:pPr>
          <w:r w:rsidRPr="006E5888">
            <w:rPr>
              <w:noProof/>
            </w:rPr>
            <w:t>4.pielikums "Valsts budžeta elastības instrumentu analīze"</w:t>
          </w:r>
        </w:p>
        <w:p w:rsidR="00B24474" w:rsidRPr="006E5888" w:rsidRDefault="00B24474" w:rsidP="00B24474">
          <w:pPr>
            <w:rPr>
              <w:noProof/>
            </w:rPr>
          </w:pPr>
          <w:r w:rsidRPr="006E5888">
            <w:rPr>
              <w:noProof/>
            </w:rPr>
            <w:t>5.pielikums "Atse</w:t>
          </w:r>
          <w:r w:rsidR="006E5888">
            <w:rPr>
              <w:noProof/>
            </w:rPr>
            <w:t>višķu izdevumu veidu horizontālā</w:t>
          </w:r>
          <w:r w:rsidRPr="006E5888">
            <w:rPr>
              <w:noProof/>
            </w:rPr>
            <w:t xml:space="preserve"> a</w:t>
          </w:r>
          <w:r w:rsidR="006E5888">
            <w:rPr>
              <w:noProof/>
            </w:rPr>
            <w:t>nalīze</w:t>
          </w:r>
          <w:r w:rsidRPr="006E5888">
            <w:rPr>
              <w:noProof/>
            </w:rPr>
            <w:t>"</w:t>
          </w:r>
        </w:p>
        <w:p w:rsidR="00B24474" w:rsidRPr="006E5888" w:rsidRDefault="00B24474" w:rsidP="00B24474">
          <w:pPr>
            <w:ind w:left="1276" w:hanging="1276"/>
            <w:jc w:val="both"/>
            <w:rPr>
              <w:noProof/>
            </w:rPr>
          </w:pPr>
          <w:r w:rsidRPr="006E5888">
            <w:rPr>
              <w:noProof/>
            </w:rPr>
            <w:t>6.pielikums "Kopsavilkums par degvielas izdevumu horizontālo analīzi sadalījumā pa ministrijām un to programmām un apakšprogrammām"</w:t>
          </w:r>
        </w:p>
        <w:p w:rsidR="00B24474" w:rsidRPr="006E5888" w:rsidRDefault="00B24474" w:rsidP="00B24474">
          <w:pPr>
            <w:ind w:left="1276" w:hanging="1276"/>
            <w:jc w:val="both"/>
            <w:rPr>
              <w:noProof/>
              <w:szCs w:val="24"/>
            </w:rPr>
          </w:pPr>
          <w:r w:rsidRPr="006E5888">
            <w:rPr>
              <w:noProof/>
            </w:rPr>
            <w:t>7.pielikums "</w:t>
          </w:r>
          <w:r w:rsidRPr="006E5888">
            <w:rPr>
              <w:noProof/>
              <w:szCs w:val="24"/>
            </w:rPr>
            <w:t>Kopsavilkums par apkures izdevumu horizontālo analīzi sadalījumā pa ministrijām un to programmām/apakšprogrammām"</w:t>
          </w:r>
        </w:p>
        <w:p w:rsidR="00B24474" w:rsidRPr="006E5888" w:rsidRDefault="00B24474" w:rsidP="00B24474">
          <w:pPr>
            <w:tabs>
              <w:tab w:val="left" w:pos="851"/>
              <w:tab w:val="left" w:pos="993"/>
            </w:tabs>
            <w:ind w:left="1276" w:hanging="1276"/>
            <w:jc w:val="both"/>
            <w:rPr>
              <w:noProof/>
              <w:szCs w:val="24"/>
            </w:rPr>
          </w:pPr>
          <w:r w:rsidRPr="006E5888">
            <w:rPr>
              <w:noProof/>
              <w:szCs w:val="24"/>
            </w:rPr>
            <w:t>8.pielikums "Valsts pārvaldes iestādes administratīvo un tēla veidošanas pasākumu nodrošināšanas izdevumu vadlīnijas"</w:t>
          </w:r>
        </w:p>
        <w:p w:rsidR="00B24474" w:rsidRPr="006E5888" w:rsidRDefault="00B24474" w:rsidP="00B24474">
          <w:pPr>
            <w:tabs>
              <w:tab w:val="left" w:pos="851"/>
              <w:tab w:val="left" w:pos="993"/>
            </w:tabs>
            <w:ind w:left="1276" w:hanging="1276"/>
            <w:jc w:val="both"/>
            <w:rPr>
              <w:noProof/>
              <w:szCs w:val="24"/>
            </w:rPr>
          </w:pPr>
          <w:r w:rsidRPr="006E5888">
            <w:rPr>
              <w:noProof/>
              <w:szCs w:val="24"/>
            </w:rPr>
            <w:t>9.pielikums "Valsts budžeta attīstības daļas analīz</w:t>
          </w:r>
          <w:r w:rsidR="006E5888">
            <w:rPr>
              <w:noProof/>
              <w:szCs w:val="24"/>
            </w:rPr>
            <w:t>e</w:t>
          </w:r>
          <w:r w:rsidRPr="006E5888">
            <w:rPr>
              <w:noProof/>
              <w:szCs w:val="24"/>
            </w:rPr>
            <w:t>"</w:t>
          </w:r>
        </w:p>
        <w:p w:rsidR="00F97870" w:rsidRPr="006E5888" w:rsidRDefault="00F97870" w:rsidP="00B24474">
          <w:pPr>
            <w:tabs>
              <w:tab w:val="left" w:pos="851"/>
              <w:tab w:val="left" w:pos="993"/>
            </w:tabs>
            <w:ind w:left="1276" w:hanging="1276"/>
            <w:jc w:val="both"/>
            <w:rPr>
              <w:noProof/>
              <w:szCs w:val="24"/>
            </w:rPr>
          </w:pPr>
          <w:r w:rsidRPr="006E5888">
            <w:rPr>
              <w:noProof/>
              <w:szCs w:val="24"/>
            </w:rPr>
            <w:t>10.pielikums "Galvenie secinājumi par stacionāro veselības aprūpes pakalpojumu daļu un ambulatoro veselības aprūpi"</w:t>
          </w:r>
        </w:p>
        <w:p w:rsidR="00B24474" w:rsidRPr="006E5888" w:rsidRDefault="00F97870" w:rsidP="00B24474">
          <w:pPr>
            <w:tabs>
              <w:tab w:val="left" w:pos="851"/>
              <w:tab w:val="left" w:pos="993"/>
            </w:tabs>
            <w:ind w:left="1276" w:hanging="1276"/>
            <w:jc w:val="both"/>
            <w:rPr>
              <w:noProof/>
              <w:szCs w:val="24"/>
            </w:rPr>
          </w:pPr>
          <w:r w:rsidRPr="006E5888">
            <w:rPr>
              <w:noProof/>
              <w:szCs w:val="24"/>
            </w:rPr>
            <w:t>11</w:t>
          </w:r>
          <w:r w:rsidR="00B24474" w:rsidRPr="006E5888">
            <w:rPr>
              <w:noProof/>
              <w:szCs w:val="24"/>
            </w:rPr>
            <w:t>.pielikums "Ministriju izteikto efektivizācijas priekšlikumu analīze"</w:t>
          </w:r>
        </w:p>
        <w:p w:rsidR="00B24474" w:rsidRPr="006E5888" w:rsidRDefault="00B24474" w:rsidP="00B24474">
          <w:pPr>
            <w:ind w:left="1276" w:hanging="1276"/>
            <w:jc w:val="both"/>
            <w:rPr>
              <w:noProof/>
            </w:rPr>
          </w:pPr>
        </w:p>
        <w:p w:rsidR="00EA2F33" w:rsidRPr="006E5888" w:rsidRDefault="00EA2F33">
          <w:r w:rsidRPr="006E5888">
            <w:rPr>
              <w:b/>
              <w:bCs/>
              <w:noProof/>
            </w:rPr>
            <w:fldChar w:fldCharType="end"/>
          </w:r>
        </w:p>
      </w:sdtContent>
    </w:sdt>
    <w:p w:rsidR="00CA1C2E" w:rsidRPr="006E5888" w:rsidRDefault="00CA1C2E" w:rsidP="00EA2F33">
      <w:pPr>
        <w:rPr>
          <w:b/>
        </w:rPr>
      </w:pPr>
    </w:p>
    <w:p w:rsidR="00CA1C2E" w:rsidRPr="006E5888" w:rsidRDefault="00CA1C2E" w:rsidP="00C0177A">
      <w:pPr>
        <w:jc w:val="center"/>
        <w:rPr>
          <w:b/>
        </w:rPr>
      </w:pPr>
    </w:p>
    <w:p w:rsidR="00CA1C2E" w:rsidRPr="006E5888" w:rsidRDefault="00CA1C2E" w:rsidP="00C0177A">
      <w:pPr>
        <w:jc w:val="center"/>
        <w:rPr>
          <w:b/>
        </w:rPr>
      </w:pPr>
    </w:p>
    <w:p w:rsidR="00CA1C2E" w:rsidRPr="006E5888" w:rsidRDefault="00CA1C2E" w:rsidP="00C0177A">
      <w:pPr>
        <w:jc w:val="center"/>
        <w:rPr>
          <w:b/>
        </w:rPr>
      </w:pPr>
    </w:p>
    <w:p w:rsidR="00CA1C2E" w:rsidRPr="006E5888" w:rsidRDefault="00CA1C2E" w:rsidP="00C0177A">
      <w:pPr>
        <w:jc w:val="center"/>
        <w:rPr>
          <w:b/>
        </w:rPr>
      </w:pPr>
    </w:p>
    <w:p w:rsidR="00CA1C2E" w:rsidRPr="006E5888" w:rsidRDefault="00CA1C2E" w:rsidP="00C0177A">
      <w:pPr>
        <w:jc w:val="center"/>
        <w:rPr>
          <w:b/>
        </w:rPr>
      </w:pPr>
    </w:p>
    <w:p w:rsidR="00F72914" w:rsidRPr="006E5888" w:rsidRDefault="00F72914" w:rsidP="009332EA">
      <w:pPr>
        <w:tabs>
          <w:tab w:val="left" w:pos="1494"/>
        </w:tabs>
        <w:rPr>
          <w:b/>
          <w:szCs w:val="24"/>
        </w:rPr>
      </w:pPr>
    </w:p>
    <w:p w:rsidR="007E48A6" w:rsidRPr="006E5888" w:rsidRDefault="007E48A6" w:rsidP="009332EA">
      <w:pPr>
        <w:tabs>
          <w:tab w:val="left" w:pos="1494"/>
        </w:tabs>
        <w:rPr>
          <w:b/>
          <w:szCs w:val="24"/>
        </w:rPr>
      </w:pPr>
    </w:p>
    <w:p w:rsidR="0046669D" w:rsidRPr="006E5888" w:rsidRDefault="00F03E6C" w:rsidP="009332EA">
      <w:pPr>
        <w:tabs>
          <w:tab w:val="left" w:pos="1494"/>
        </w:tabs>
        <w:rPr>
          <w:b/>
          <w:szCs w:val="24"/>
        </w:rPr>
      </w:pPr>
      <w:r w:rsidRPr="006E5888">
        <w:rPr>
          <w:b/>
          <w:szCs w:val="24"/>
        </w:rPr>
        <w:lastRenderedPageBreak/>
        <w:t>INFORMATĪVAJĀ ZIŅOJUMĀ LIETOTIE SAĪSINĀJUMI</w:t>
      </w:r>
    </w:p>
    <w:p w:rsidR="00F03E6C" w:rsidRPr="006E5888" w:rsidRDefault="00F03E6C" w:rsidP="009332EA">
      <w:pPr>
        <w:tabs>
          <w:tab w:val="left" w:pos="1494"/>
        </w:tabs>
        <w:rPr>
          <w:b/>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073"/>
      </w:tblGrid>
      <w:tr w:rsidR="00F50D5D" w:rsidRPr="006E5888" w:rsidTr="00184D4E">
        <w:tc>
          <w:tcPr>
            <w:tcW w:w="1271" w:type="dxa"/>
          </w:tcPr>
          <w:p w:rsidR="00F50D5D" w:rsidRPr="006E5888" w:rsidRDefault="00F50D5D" w:rsidP="009332EA">
            <w:pPr>
              <w:tabs>
                <w:tab w:val="left" w:pos="1494"/>
              </w:tabs>
              <w:rPr>
                <w:szCs w:val="24"/>
              </w:rPr>
            </w:pPr>
            <w:proofErr w:type="spellStart"/>
            <w:r w:rsidRPr="006E5888">
              <w:rPr>
                <w:szCs w:val="24"/>
              </w:rPr>
              <w:t>AiM</w:t>
            </w:r>
            <w:proofErr w:type="spellEnd"/>
          </w:p>
        </w:tc>
        <w:tc>
          <w:tcPr>
            <w:tcW w:w="8073" w:type="dxa"/>
          </w:tcPr>
          <w:p w:rsidR="00F50D5D" w:rsidRPr="006E5888" w:rsidRDefault="00F50D5D" w:rsidP="009332EA">
            <w:pPr>
              <w:tabs>
                <w:tab w:val="left" w:pos="1494"/>
              </w:tabs>
              <w:rPr>
                <w:szCs w:val="24"/>
              </w:rPr>
            </w:pPr>
            <w:r w:rsidRPr="006E5888">
              <w:rPr>
                <w:szCs w:val="24"/>
              </w:rPr>
              <w:t>Aizsardzības ministrija</w:t>
            </w:r>
          </w:p>
        </w:tc>
      </w:tr>
      <w:tr w:rsidR="00F50D5D" w:rsidRPr="006E5888" w:rsidTr="00184D4E">
        <w:tc>
          <w:tcPr>
            <w:tcW w:w="1271" w:type="dxa"/>
          </w:tcPr>
          <w:p w:rsidR="00F50D5D" w:rsidRPr="006E5888" w:rsidRDefault="00F50D5D" w:rsidP="009332EA">
            <w:pPr>
              <w:tabs>
                <w:tab w:val="left" w:pos="1494"/>
              </w:tabs>
              <w:rPr>
                <w:szCs w:val="24"/>
              </w:rPr>
            </w:pPr>
            <w:r w:rsidRPr="006E5888">
              <w:rPr>
                <w:szCs w:val="24"/>
              </w:rPr>
              <w:t>APD</w:t>
            </w:r>
          </w:p>
        </w:tc>
        <w:tc>
          <w:tcPr>
            <w:tcW w:w="8073" w:type="dxa"/>
          </w:tcPr>
          <w:p w:rsidR="00F50D5D" w:rsidRPr="006E5888" w:rsidRDefault="00F50D5D" w:rsidP="009332EA">
            <w:pPr>
              <w:tabs>
                <w:tab w:val="left" w:pos="1494"/>
              </w:tabs>
              <w:rPr>
                <w:szCs w:val="24"/>
              </w:rPr>
            </w:pPr>
            <w:r w:rsidRPr="006E5888">
              <w:rPr>
                <w:szCs w:val="24"/>
              </w:rPr>
              <w:t>Attīstības plānošanas dokumenti</w:t>
            </w:r>
          </w:p>
        </w:tc>
      </w:tr>
      <w:tr w:rsidR="002D5BA9" w:rsidRPr="006E5888" w:rsidTr="00184D4E">
        <w:tc>
          <w:tcPr>
            <w:tcW w:w="1271" w:type="dxa"/>
          </w:tcPr>
          <w:p w:rsidR="002D5BA9" w:rsidRPr="006E5888" w:rsidRDefault="002D5BA9" w:rsidP="009332EA">
            <w:pPr>
              <w:tabs>
                <w:tab w:val="left" w:pos="1494"/>
              </w:tabs>
              <w:rPr>
                <w:szCs w:val="24"/>
              </w:rPr>
            </w:pPr>
            <w:r w:rsidRPr="006E5888">
              <w:rPr>
                <w:szCs w:val="24"/>
              </w:rPr>
              <w:t>AT</w:t>
            </w:r>
          </w:p>
        </w:tc>
        <w:tc>
          <w:tcPr>
            <w:tcW w:w="8073" w:type="dxa"/>
          </w:tcPr>
          <w:p w:rsidR="002D5BA9" w:rsidRPr="006E5888" w:rsidRDefault="002D5BA9" w:rsidP="009332EA">
            <w:pPr>
              <w:tabs>
                <w:tab w:val="left" w:pos="1494"/>
              </w:tabs>
              <w:rPr>
                <w:szCs w:val="24"/>
              </w:rPr>
            </w:pPr>
            <w:r w:rsidRPr="006E5888">
              <w:rPr>
                <w:szCs w:val="24"/>
              </w:rPr>
              <w:t>Augstākā tiesa</w:t>
            </w:r>
          </w:p>
        </w:tc>
      </w:tr>
      <w:tr w:rsidR="00F50D5D" w:rsidRPr="006E5888" w:rsidTr="00184D4E">
        <w:tc>
          <w:tcPr>
            <w:tcW w:w="1271" w:type="dxa"/>
          </w:tcPr>
          <w:p w:rsidR="00F50D5D" w:rsidRPr="006E5888" w:rsidRDefault="00F50D5D" w:rsidP="009332EA">
            <w:pPr>
              <w:tabs>
                <w:tab w:val="left" w:pos="1494"/>
              </w:tabs>
              <w:rPr>
                <w:szCs w:val="24"/>
              </w:rPr>
            </w:pPr>
            <w:r w:rsidRPr="006E5888">
              <w:rPr>
                <w:szCs w:val="24"/>
              </w:rPr>
              <w:t>ĀM</w:t>
            </w:r>
          </w:p>
        </w:tc>
        <w:tc>
          <w:tcPr>
            <w:tcW w:w="8073" w:type="dxa"/>
          </w:tcPr>
          <w:p w:rsidR="00F50D5D" w:rsidRPr="006E5888" w:rsidRDefault="00F50D5D" w:rsidP="009332EA">
            <w:pPr>
              <w:tabs>
                <w:tab w:val="left" w:pos="1494"/>
              </w:tabs>
              <w:rPr>
                <w:szCs w:val="24"/>
              </w:rPr>
            </w:pPr>
            <w:r w:rsidRPr="006E5888">
              <w:rPr>
                <w:szCs w:val="24"/>
              </w:rPr>
              <w:t>Ārlietu ministrija</w:t>
            </w:r>
          </w:p>
        </w:tc>
      </w:tr>
      <w:tr w:rsidR="009F376D" w:rsidRPr="006E5888" w:rsidTr="00184D4E">
        <w:tc>
          <w:tcPr>
            <w:tcW w:w="1271" w:type="dxa"/>
          </w:tcPr>
          <w:p w:rsidR="009F376D" w:rsidRPr="006E5888" w:rsidRDefault="009F376D" w:rsidP="009332EA">
            <w:pPr>
              <w:tabs>
                <w:tab w:val="left" w:pos="1494"/>
              </w:tabs>
              <w:rPr>
                <w:szCs w:val="24"/>
              </w:rPr>
            </w:pPr>
            <w:r w:rsidRPr="006E5888">
              <w:rPr>
                <w:szCs w:val="24"/>
              </w:rPr>
              <w:t>CSP</w:t>
            </w:r>
          </w:p>
        </w:tc>
        <w:tc>
          <w:tcPr>
            <w:tcW w:w="8073" w:type="dxa"/>
          </w:tcPr>
          <w:p w:rsidR="009F376D" w:rsidRPr="006E5888" w:rsidRDefault="009F376D" w:rsidP="009332EA">
            <w:pPr>
              <w:tabs>
                <w:tab w:val="left" w:pos="1494"/>
              </w:tabs>
              <w:rPr>
                <w:szCs w:val="24"/>
              </w:rPr>
            </w:pPr>
            <w:r w:rsidRPr="006E5888">
              <w:rPr>
                <w:szCs w:val="24"/>
              </w:rPr>
              <w:t>Centrālā statistikas pārvalde</w:t>
            </w:r>
          </w:p>
        </w:tc>
      </w:tr>
      <w:tr w:rsidR="002D5BA9" w:rsidRPr="006E5888" w:rsidTr="00184D4E">
        <w:tc>
          <w:tcPr>
            <w:tcW w:w="1271" w:type="dxa"/>
          </w:tcPr>
          <w:p w:rsidR="002D5BA9" w:rsidRPr="006E5888" w:rsidRDefault="002D5BA9" w:rsidP="009332EA">
            <w:pPr>
              <w:tabs>
                <w:tab w:val="left" w:pos="1494"/>
              </w:tabs>
              <w:rPr>
                <w:szCs w:val="24"/>
              </w:rPr>
            </w:pPr>
            <w:r w:rsidRPr="006E5888">
              <w:rPr>
                <w:szCs w:val="24"/>
              </w:rPr>
              <w:t>CVK</w:t>
            </w:r>
          </w:p>
        </w:tc>
        <w:tc>
          <w:tcPr>
            <w:tcW w:w="8073" w:type="dxa"/>
          </w:tcPr>
          <w:p w:rsidR="002D5BA9" w:rsidRPr="006E5888" w:rsidRDefault="002D5BA9" w:rsidP="009332EA">
            <w:pPr>
              <w:tabs>
                <w:tab w:val="left" w:pos="1494"/>
              </w:tabs>
              <w:rPr>
                <w:szCs w:val="24"/>
              </w:rPr>
            </w:pPr>
            <w:r w:rsidRPr="006E5888">
              <w:rPr>
                <w:szCs w:val="24"/>
              </w:rPr>
              <w:t>Centrālā vēlēšanu komisija</w:t>
            </w:r>
          </w:p>
        </w:tc>
      </w:tr>
      <w:tr w:rsidR="002D5BA9" w:rsidRPr="006E5888" w:rsidTr="00184D4E">
        <w:tc>
          <w:tcPr>
            <w:tcW w:w="1271" w:type="dxa"/>
          </w:tcPr>
          <w:p w:rsidR="002D5BA9" w:rsidRPr="006E5888" w:rsidRDefault="002D5BA9" w:rsidP="009332EA">
            <w:pPr>
              <w:tabs>
                <w:tab w:val="left" w:pos="1494"/>
              </w:tabs>
              <w:rPr>
                <w:szCs w:val="24"/>
              </w:rPr>
            </w:pPr>
            <w:r w:rsidRPr="006E5888">
              <w:rPr>
                <w:szCs w:val="24"/>
              </w:rPr>
              <w:t>CZK</w:t>
            </w:r>
          </w:p>
        </w:tc>
        <w:tc>
          <w:tcPr>
            <w:tcW w:w="8073" w:type="dxa"/>
          </w:tcPr>
          <w:p w:rsidR="002D5BA9" w:rsidRPr="006E5888" w:rsidRDefault="002D5BA9" w:rsidP="009332EA">
            <w:pPr>
              <w:tabs>
                <w:tab w:val="left" w:pos="1494"/>
              </w:tabs>
              <w:rPr>
                <w:szCs w:val="24"/>
              </w:rPr>
            </w:pPr>
            <w:r w:rsidRPr="006E5888">
              <w:rPr>
                <w:szCs w:val="24"/>
              </w:rPr>
              <w:t>Centrālā zemes komisija</w:t>
            </w:r>
          </w:p>
        </w:tc>
      </w:tr>
      <w:tr w:rsidR="00637DCE" w:rsidRPr="006E5888" w:rsidTr="00184D4E">
        <w:tc>
          <w:tcPr>
            <w:tcW w:w="1271" w:type="dxa"/>
          </w:tcPr>
          <w:p w:rsidR="00637DCE" w:rsidRPr="006E5888" w:rsidRDefault="00637DCE" w:rsidP="009332EA">
            <w:pPr>
              <w:tabs>
                <w:tab w:val="left" w:pos="1494"/>
              </w:tabs>
              <w:rPr>
                <w:szCs w:val="24"/>
              </w:rPr>
            </w:pPr>
            <w:r w:rsidRPr="006E5888">
              <w:rPr>
                <w:szCs w:val="24"/>
              </w:rPr>
              <w:t>EKK</w:t>
            </w:r>
          </w:p>
        </w:tc>
        <w:tc>
          <w:tcPr>
            <w:tcW w:w="8073" w:type="dxa"/>
          </w:tcPr>
          <w:p w:rsidR="00637DCE" w:rsidRPr="006E5888" w:rsidRDefault="00637DCE" w:rsidP="009332EA">
            <w:pPr>
              <w:tabs>
                <w:tab w:val="left" w:pos="1494"/>
              </w:tabs>
              <w:rPr>
                <w:szCs w:val="24"/>
              </w:rPr>
            </w:pPr>
            <w:r w:rsidRPr="006E5888">
              <w:rPr>
                <w:rFonts w:cs="Times New Roman"/>
                <w:szCs w:val="24"/>
              </w:rPr>
              <w:t>Izdevumu ekonomiskā klasifikācijas kods</w:t>
            </w:r>
          </w:p>
        </w:tc>
      </w:tr>
      <w:tr w:rsidR="00F50D5D" w:rsidRPr="006E5888" w:rsidTr="00184D4E">
        <w:tc>
          <w:tcPr>
            <w:tcW w:w="1271" w:type="dxa"/>
          </w:tcPr>
          <w:p w:rsidR="00F50D5D" w:rsidRPr="006E5888" w:rsidRDefault="00F50D5D" w:rsidP="009332EA">
            <w:pPr>
              <w:tabs>
                <w:tab w:val="left" w:pos="1494"/>
              </w:tabs>
              <w:rPr>
                <w:szCs w:val="24"/>
              </w:rPr>
            </w:pPr>
            <w:r w:rsidRPr="006E5888">
              <w:rPr>
                <w:szCs w:val="24"/>
              </w:rPr>
              <w:t>EM</w:t>
            </w:r>
          </w:p>
        </w:tc>
        <w:tc>
          <w:tcPr>
            <w:tcW w:w="8073" w:type="dxa"/>
          </w:tcPr>
          <w:p w:rsidR="00F50D5D" w:rsidRPr="006E5888" w:rsidRDefault="00F50D5D" w:rsidP="009332EA">
            <w:pPr>
              <w:tabs>
                <w:tab w:val="left" w:pos="1494"/>
              </w:tabs>
              <w:rPr>
                <w:szCs w:val="24"/>
              </w:rPr>
            </w:pPr>
            <w:r w:rsidRPr="006E5888">
              <w:rPr>
                <w:szCs w:val="24"/>
              </w:rPr>
              <w:t>Ekonomikas ministrija</w:t>
            </w:r>
          </w:p>
        </w:tc>
      </w:tr>
      <w:tr w:rsidR="00F50D5D" w:rsidRPr="006E5888" w:rsidTr="00184D4E">
        <w:tc>
          <w:tcPr>
            <w:tcW w:w="1271" w:type="dxa"/>
          </w:tcPr>
          <w:p w:rsidR="00F50D5D" w:rsidRPr="006E5888" w:rsidRDefault="00F50D5D" w:rsidP="009332EA">
            <w:pPr>
              <w:tabs>
                <w:tab w:val="left" w:pos="1494"/>
              </w:tabs>
              <w:rPr>
                <w:szCs w:val="24"/>
              </w:rPr>
            </w:pPr>
            <w:r w:rsidRPr="006E5888">
              <w:rPr>
                <w:szCs w:val="24"/>
              </w:rPr>
              <w:t>ES</w:t>
            </w:r>
          </w:p>
        </w:tc>
        <w:tc>
          <w:tcPr>
            <w:tcW w:w="8073" w:type="dxa"/>
          </w:tcPr>
          <w:p w:rsidR="00F50D5D" w:rsidRPr="006E5888" w:rsidRDefault="00F50D5D" w:rsidP="009332EA">
            <w:pPr>
              <w:tabs>
                <w:tab w:val="left" w:pos="1494"/>
              </w:tabs>
              <w:rPr>
                <w:szCs w:val="24"/>
              </w:rPr>
            </w:pPr>
            <w:r w:rsidRPr="006E5888">
              <w:rPr>
                <w:szCs w:val="24"/>
              </w:rPr>
              <w:t>Eiropas Savienība</w:t>
            </w:r>
          </w:p>
        </w:tc>
      </w:tr>
      <w:tr w:rsidR="00F50D5D" w:rsidRPr="006E5888" w:rsidTr="00184D4E">
        <w:tc>
          <w:tcPr>
            <w:tcW w:w="1271" w:type="dxa"/>
          </w:tcPr>
          <w:p w:rsidR="00F50D5D" w:rsidRPr="006E5888" w:rsidRDefault="00F50D5D" w:rsidP="009332EA">
            <w:pPr>
              <w:tabs>
                <w:tab w:val="left" w:pos="1494"/>
              </w:tabs>
              <w:rPr>
                <w:szCs w:val="24"/>
              </w:rPr>
            </w:pPr>
            <w:r w:rsidRPr="006E5888">
              <w:rPr>
                <w:szCs w:val="24"/>
              </w:rPr>
              <w:t>FM</w:t>
            </w:r>
          </w:p>
        </w:tc>
        <w:tc>
          <w:tcPr>
            <w:tcW w:w="8073" w:type="dxa"/>
          </w:tcPr>
          <w:p w:rsidR="00F50D5D" w:rsidRPr="006E5888" w:rsidRDefault="00F50D5D" w:rsidP="009332EA">
            <w:pPr>
              <w:tabs>
                <w:tab w:val="left" w:pos="1494"/>
              </w:tabs>
              <w:rPr>
                <w:szCs w:val="24"/>
              </w:rPr>
            </w:pPr>
            <w:r w:rsidRPr="006E5888">
              <w:rPr>
                <w:szCs w:val="24"/>
              </w:rPr>
              <w:t>Finanšu ministrija</w:t>
            </w:r>
          </w:p>
        </w:tc>
      </w:tr>
      <w:tr w:rsidR="00F50D5D" w:rsidRPr="006E5888" w:rsidTr="00184D4E">
        <w:tc>
          <w:tcPr>
            <w:tcW w:w="1271" w:type="dxa"/>
          </w:tcPr>
          <w:p w:rsidR="00F50D5D" w:rsidRPr="006E5888" w:rsidRDefault="00F26A6B" w:rsidP="009332EA">
            <w:pPr>
              <w:tabs>
                <w:tab w:val="left" w:pos="1494"/>
              </w:tabs>
              <w:rPr>
                <w:szCs w:val="24"/>
              </w:rPr>
            </w:pPr>
            <w:r w:rsidRPr="006E5888">
              <w:rPr>
                <w:szCs w:val="24"/>
              </w:rPr>
              <w:t>IeM</w:t>
            </w:r>
          </w:p>
        </w:tc>
        <w:tc>
          <w:tcPr>
            <w:tcW w:w="8073" w:type="dxa"/>
          </w:tcPr>
          <w:p w:rsidR="00F50D5D" w:rsidRPr="006E5888" w:rsidRDefault="00F26A6B" w:rsidP="009332EA">
            <w:pPr>
              <w:tabs>
                <w:tab w:val="left" w:pos="1494"/>
              </w:tabs>
              <w:rPr>
                <w:szCs w:val="24"/>
              </w:rPr>
            </w:pPr>
            <w:proofErr w:type="spellStart"/>
            <w:r w:rsidRPr="006E5888">
              <w:rPr>
                <w:szCs w:val="24"/>
              </w:rPr>
              <w:t>Iekšlietu</w:t>
            </w:r>
            <w:proofErr w:type="spellEnd"/>
            <w:r w:rsidRPr="006E5888">
              <w:rPr>
                <w:szCs w:val="24"/>
              </w:rPr>
              <w:t xml:space="preserve"> ministrija</w:t>
            </w:r>
          </w:p>
        </w:tc>
      </w:tr>
      <w:tr w:rsidR="002B369A" w:rsidRPr="006E5888" w:rsidTr="00184D4E">
        <w:tc>
          <w:tcPr>
            <w:tcW w:w="1271" w:type="dxa"/>
          </w:tcPr>
          <w:p w:rsidR="002B369A" w:rsidRPr="006E5888" w:rsidRDefault="002B369A" w:rsidP="009332EA">
            <w:pPr>
              <w:tabs>
                <w:tab w:val="left" w:pos="1494"/>
              </w:tabs>
              <w:rPr>
                <w:szCs w:val="24"/>
              </w:rPr>
            </w:pPr>
            <w:r w:rsidRPr="006E5888">
              <w:rPr>
                <w:szCs w:val="24"/>
              </w:rPr>
              <w:t>IKP</w:t>
            </w:r>
          </w:p>
        </w:tc>
        <w:tc>
          <w:tcPr>
            <w:tcW w:w="8073" w:type="dxa"/>
          </w:tcPr>
          <w:p w:rsidR="002B369A" w:rsidRPr="006E5888" w:rsidRDefault="002B369A" w:rsidP="009332EA">
            <w:pPr>
              <w:tabs>
                <w:tab w:val="left" w:pos="1494"/>
              </w:tabs>
              <w:rPr>
                <w:szCs w:val="24"/>
              </w:rPr>
            </w:pPr>
            <w:r w:rsidRPr="006E5888">
              <w:rPr>
                <w:szCs w:val="24"/>
              </w:rPr>
              <w:t>Iekšzemes kopprodukts</w:t>
            </w:r>
          </w:p>
        </w:tc>
      </w:tr>
      <w:tr w:rsidR="00F50D5D" w:rsidRPr="006E5888" w:rsidTr="00184D4E">
        <w:tc>
          <w:tcPr>
            <w:tcW w:w="1271" w:type="dxa"/>
          </w:tcPr>
          <w:p w:rsidR="00F50D5D" w:rsidRPr="006E5888" w:rsidRDefault="00F26A6B" w:rsidP="009332EA">
            <w:pPr>
              <w:tabs>
                <w:tab w:val="left" w:pos="1494"/>
              </w:tabs>
              <w:rPr>
                <w:szCs w:val="24"/>
              </w:rPr>
            </w:pPr>
            <w:r w:rsidRPr="006E5888">
              <w:rPr>
                <w:szCs w:val="24"/>
              </w:rPr>
              <w:t>IZM</w:t>
            </w:r>
          </w:p>
        </w:tc>
        <w:tc>
          <w:tcPr>
            <w:tcW w:w="8073" w:type="dxa"/>
          </w:tcPr>
          <w:p w:rsidR="00F50D5D" w:rsidRPr="006E5888" w:rsidRDefault="00F26A6B" w:rsidP="009332EA">
            <w:pPr>
              <w:tabs>
                <w:tab w:val="left" w:pos="1494"/>
              </w:tabs>
              <w:rPr>
                <w:szCs w:val="24"/>
              </w:rPr>
            </w:pPr>
            <w:r w:rsidRPr="006E5888">
              <w:rPr>
                <w:szCs w:val="24"/>
              </w:rPr>
              <w:t>Izglītības un zinātnes ministrija</w:t>
            </w:r>
          </w:p>
        </w:tc>
      </w:tr>
      <w:tr w:rsidR="00F26A6B" w:rsidRPr="006E5888" w:rsidTr="00184D4E">
        <w:tc>
          <w:tcPr>
            <w:tcW w:w="1271" w:type="dxa"/>
          </w:tcPr>
          <w:p w:rsidR="00F26A6B" w:rsidRPr="006E5888" w:rsidRDefault="0055468D" w:rsidP="009332EA">
            <w:pPr>
              <w:tabs>
                <w:tab w:val="left" w:pos="1494"/>
              </w:tabs>
              <w:rPr>
                <w:szCs w:val="24"/>
              </w:rPr>
            </w:pPr>
            <w:r w:rsidRPr="006E5888">
              <w:rPr>
                <w:szCs w:val="24"/>
              </w:rPr>
              <w:t>JPI</w:t>
            </w:r>
          </w:p>
        </w:tc>
        <w:tc>
          <w:tcPr>
            <w:tcW w:w="8073" w:type="dxa"/>
          </w:tcPr>
          <w:p w:rsidR="00F26A6B" w:rsidRPr="006E5888" w:rsidRDefault="0055468D" w:rsidP="009332EA">
            <w:pPr>
              <w:tabs>
                <w:tab w:val="left" w:pos="1494"/>
              </w:tabs>
              <w:rPr>
                <w:szCs w:val="24"/>
              </w:rPr>
            </w:pPr>
            <w:r w:rsidRPr="006E5888">
              <w:rPr>
                <w:szCs w:val="24"/>
              </w:rPr>
              <w:t>Jaunās politikas iniciatīvas (attīstības daļas finansējums)</w:t>
            </w:r>
          </w:p>
        </w:tc>
      </w:tr>
      <w:tr w:rsidR="00F26A6B" w:rsidRPr="006E5888" w:rsidTr="00184D4E">
        <w:tc>
          <w:tcPr>
            <w:tcW w:w="1271" w:type="dxa"/>
          </w:tcPr>
          <w:p w:rsidR="00F26A6B" w:rsidRPr="006E5888" w:rsidRDefault="0055468D" w:rsidP="009332EA">
            <w:pPr>
              <w:tabs>
                <w:tab w:val="left" w:pos="1494"/>
              </w:tabs>
              <w:rPr>
                <w:szCs w:val="24"/>
              </w:rPr>
            </w:pPr>
            <w:r w:rsidRPr="006E5888">
              <w:rPr>
                <w:szCs w:val="24"/>
              </w:rPr>
              <w:t>KM</w:t>
            </w:r>
          </w:p>
        </w:tc>
        <w:tc>
          <w:tcPr>
            <w:tcW w:w="8073" w:type="dxa"/>
          </w:tcPr>
          <w:p w:rsidR="00F26A6B" w:rsidRPr="006E5888" w:rsidRDefault="0055468D" w:rsidP="009332EA">
            <w:pPr>
              <w:tabs>
                <w:tab w:val="left" w:pos="1494"/>
              </w:tabs>
              <w:rPr>
                <w:szCs w:val="24"/>
              </w:rPr>
            </w:pPr>
            <w:r w:rsidRPr="006E5888">
              <w:rPr>
                <w:szCs w:val="24"/>
              </w:rPr>
              <w:t>Kultūras ministrija</w:t>
            </w:r>
          </w:p>
        </w:tc>
      </w:tr>
      <w:tr w:rsidR="00C10216" w:rsidRPr="006E5888" w:rsidTr="00184D4E">
        <w:tc>
          <w:tcPr>
            <w:tcW w:w="1271" w:type="dxa"/>
          </w:tcPr>
          <w:p w:rsidR="00C10216" w:rsidRPr="006E5888" w:rsidRDefault="00C10216" w:rsidP="009332EA">
            <w:pPr>
              <w:tabs>
                <w:tab w:val="left" w:pos="1494"/>
              </w:tabs>
              <w:rPr>
                <w:szCs w:val="24"/>
              </w:rPr>
            </w:pPr>
            <w:r w:rsidRPr="006E5888">
              <w:rPr>
                <w:szCs w:val="24"/>
              </w:rPr>
              <w:t>KNAB</w:t>
            </w:r>
          </w:p>
        </w:tc>
        <w:tc>
          <w:tcPr>
            <w:tcW w:w="8073" w:type="dxa"/>
          </w:tcPr>
          <w:p w:rsidR="00C10216" w:rsidRPr="006E5888" w:rsidRDefault="00C10216" w:rsidP="009332EA">
            <w:pPr>
              <w:tabs>
                <w:tab w:val="left" w:pos="1494"/>
              </w:tabs>
              <w:rPr>
                <w:szCs w:val="24"/>
              </w:rPr>
            </w:pPr>
            <w:r w:rsidRPr="006E5888">
              <w:rPr>
                <w:szCs w:val="24"/>
              </w:rPr>
              <w:t>Korupcijas novēršanas un apkarošanas birojs</w:t>
            </w:r>
          </w:p>
        </w:tc>
      </w:tr>
      <w:tr w:rsidR="00F26A6B" w:rsidRPr="006E5888" w:rsidTr="00184D4E">
        <w:tc>
          <w:tcPr>
            <w:tcW w:w="1271" w:type="dxa"/>
          </w:tcPr>
          <w:p w:rsidR="00F26A6B" w:rsidRPr="006E5888" w:rsidRDefault="0055468D" w:rsidP="009332EA">
            <w:pPr>
              <w:tabs>
                <w:tab w:val="left" w:pos="1494"/>
              </w:tabs>
              <w:rPr>
                <w:szCs w:val="24"/>
              </w:rPr>
            </w:pPr>
            <w:r w:rsidRPr="006E5888">
              <w:rPr>
                <w:szCs w:val="24"/>
              </w:rPr>
              <w:t>LB</w:t>
            </w:r>
          </w:p>
        </w:tc>
        <w:tc>
          <w:tcPr>
            <w:tcW w:w="8073" w:type="dxa"/>
          </w:tcPr>
          <w:p w:rsidR="00F26A6B" w:rsidRPr="006E5888" w:rsidRDefault="0055468D" w:rsidP="009332EA">
            <w:pPr>
              <w:tabs>
                <w:tab w:val="left" w:pos="1494"/>
              </w:tabs>
              <w:rPr>
                <w:szCs w:val="24"/>
              </w:rPr>
            </w:pPr>
            <w:r w:rsidRPr="006E5888">
              <w:rPr>
                <w:szCs w:val="24"/>
              </w:rPr>
              <w:t>Latvijas Banka</w:t>
            </w:r>
          </w:p>
        </w:tc>
      </w:tr>
      <w:tr w:rsidR="0055468D" w:rsidRPr="006E5888" w:rsidTr="00184D4E">
        <w:tc>
          <w:tcPr>
            <w:tcW w:w="1271" w:type="dxa"/>
          </w:tcPr>
          <w:p w:rsidR="0055468D" w:rsidRPr="006E5888" w:rsidRDefault="0055468D" w:rsidP="009332EA">
            <w:pPr>
              <w:tabs>
                <w:tab w:val="left" w:pos="1494"/>
              </w:tabs>
              <w:rPr>
                <w:szCs w:val="24"/>
              </w:rPr>
            </w:pPr>
            <w:r w:rsidRPr="006E5888">
              <w:rPr>
                <w:szCs w:val="24"/>
              </w:rPr>
              <w:t>LBFV</w:t>
            </w:r>
          </w:p>
        </w:tc>
        <w:tc>
          <w:tcPr>
            <w:tcW w:w="8073" w:type="dxa"/>
          </w:tcPr>
          <w:p w:rsidR="0055468D" w:rsidRPr="006E5888" w:rsidRDefault="0055468D" w:rsidP="009332EA">
            <w:pPr>
              <w:tabs>
                <w:tab w:val="left" w:pos="1494"/>
              </w:tabs>
              <w:rPr>
                <w:szCs w:val="24"/>
              </w:rPr>
            </w:pPr>
            <w:r w:rsidRPr="006E5888">
              <w:rPr>
                <w:szCs w:val="24"/>
              </w:rPr>
              <w:t>Likums par budžetu un finanšu vadību</w:t>
            </w:r>
          </w:p>
        </w:tc>
      </w:tr>
      <w:tr w:rsidR="00712F9C" w:rsidRPr="006E5888" w:rsidTr="00184D4E">
        <w:tc>
          <w:tcPr>
            <w:tcW w:w="1271" w:type="dxa"/>
          </w:tcPr>
          <w:p w:rsidR="00712F9C" w:rsidRPr="006E5888" w:rsidRDefault="00712F9C" w:rsidP="009332EA">
            <w:pPr>
              <w:tabs>
                <w:tab w:val="left" w:pos="1494"/>
              </w:tabs>
              <w:rPr>
                <w:szCs w:val="24"/>
              </w:rPr>
            </w:pPr>
            <w:r w:rsidRPr="006E5888">
              <w:rPr>
                <w:szCs w:val="24"/>
              </w:rPr>
              <w:t>LOK</w:t>
            </w:r>
          </w:p>
        </w:tc>
        <w:tc>
          <w:tcPr>
            <w:tcW w:w="8073" w:type="dxa"/>
          </w:tcPr>
          <w:p w:rsidR="00712F9C" w:rsidRPr="006E5888" w:rsidRDefault="00720FF9" w:rsidP="009332EA">
            <w:pPr>
              <w:tabs>
                <w:tab w:val="left" w:pos="1494"/>
              </w:tabs>
              <w:rPr>
                <w:szCs w:val="24"/>
              </w:rPr>
            </w:pPr>
            <w:r w:rsidRPr="006E5888">
              <w:rPr>
                <w:szCs w:val="24"/>
              </w:rPr>
              <w:t>Latvijas Olimpiskā komiteja</w:t>
            </w:r>
          </w:p>
        </w:tc>
      </w:tr>
      <w:tr w:rsidR="0055468D" w:rsidRPr="006E5888" w:rsidTr="00184D4E">
        <w:tc>
          <w:tcPr>
            <w:tcW w:w="1271" w:type="dxa"/>
          </w:tcPr>
          <w:p w:rsidR="0055468D" w:rsidRPr="006E5888" w:rsidRDefault="0055468D" w:rsidP="009332EA">
            <w:pPr>
              <w:tabs>
                <w:tab w:val="left" w:pos="1494"/>
              </w:tabs>
              <w:rPr>
                <w:szCs w:val="24"/>
              </w:rPr>
            </w:pPr>
            <w:r w:rsidRPr="006E5888">
              <w:rPr>
                <w:szCs w:val="24"/>
              </w:rPr>
              <w:t>LM</w:t>
            </w:r>
          </w:p>
        </w:tc>
        <w:tc>
          <w:tcPr>
            <w:tcW w:w="8073" w:type="dxa"/>
          </w:tcPr>
          <w:p w:rsidR="0055468D" w:rsidRPr="006E5888" w:rsidRDefault="0055468D" w:rsidP="009332EA">
            <w:pPr>
              <w:tabs>
                <w:tab w:val="left" w:pos="1494"/>
              </w:tabs>
              <w:rPr>
                <w:szCs w:val="24"/>
              </w:rPr>
            </w:pPr>
            <w:r w:rsidRPr="006E5888">
              <w:rPr>
                <w:szCs w:val="24"/>
              </w:rPr>
              <w:t>Labklājības ministrija</w:t>
            </w:r>
          </w:p>
        </w:tc>
      </w:tr>
      <w:tr w:rsidR="0055468D" w:rsidRPr="006E5888" w:rsidTr="00184D4E">
        <w:tc>
          <w:tcPr>
            <w:tcW w:w="1271" w:type="dxa"/>
          </w:tcPr>
          <w:p w:rsidR="0055468D" w:rsidRPr="006E5888" w:rsidRDefault="00184D4E" w:rsidP="009332EA">
            <w:pPr>
              <w:tabs>
                <w:tab w:val="left" w:pos="1494"/>
              </w:tabs>
              <w:rPr>
                <w:szCs w:val="24"/>
              </w:rPr>
            </w:pPr>
            <w:r w:rsidRPr="006E5888">
              <w:rPr>
                <w:szCs w:val="24"/>
              </w:rPr>
              <w:t>MK</w:t>
            </w:r>
          </w:p>
        </w:tc>
        <w:tc>
          <w:tcPr>
            <w:tcW w:w="8073" w:type="dxa"/>
          </w:tcPr>
          <w:p w:rsidR="0055468D" w:rsidRPr="006E5888" w:rsidRDefault="00184D4E" w:rsidP="009332EA">
            <w:pPr>
              <w:tabs>
                <w:tab w:val="left" w:pos="1494"/>
              </w:tabs>
              <w:rPr>
                <w:szCs w:val="24"/>
              </w:rPr>
            </w:pPr>
            <w:r w:rsidRPr="006E5888">
              <w:rPr>
                <w:szCs w:val="24"/>
              </w:rPr>
              <w:t>Ministru kabinets</w:t>
            </w:r>
          </w:p>
        </w:tc>
      </w:tr>
      <w:tr w:rsidR="00184D4E" w:rsidRPr="006E5888" w:rsidTr="00184D4E">
        <w:tc>
          <w:tcPr>
            <w:tcW w:w="1271" w:type="dxa"/>
          </w:tcPr>
          <w:p w:rsidR="00184D4E" w:rsidRPr="006E5888" w:rsidRDefault="00184D4E" w:rsidP="009332EA">
            <w:pPr>
              <w:tabs>
                <w:tab w:val="left" w:pos="1494"/>
              </w:tabs>
              <w:rPr>
                <w:szCs w:val="24"/>
              </w:rPr>
            </w:pPr>
            <w:r w:rsidRPr="006E5888">
              <w:rPr>
                <w:szCs w:val="24"/>
              </w:rPr>
              <w:t>NAP</w:t>
            </w:r>
          </w:p>
        </w:tc>
        <w:tc>
          <w:tcPr>
            <w:tcW w:w="8073" w:type="dxa"/>
          </w:tcPr>
          <w:p w:rsidR="00184D4E" w:rsidRPr="006E5888" w:rsidRDefault="00184D4E" w:rsidP="009332EA">
            <w:pPr>
              <w:tabs>
                <w:tab w:val="left" w:pos="1494"/>
              </w:tabs>
              <w:rPr>
                <w:szCs w:val="24"/>
              </w:rPr>
            </w:pPr>
            <w:r w:rsidRPr="006E5888">
              <w:rPr>
                <w:szCs w:val="24"/>
              </w:rPr>
              <w:t>Nacionālais attīstības plāns</w:t>
            </w:r>
          </w:p>
        </w:tc>
      </w:tr>
      <w:tr w:rsidR="005562A7" w:rsidRPr="006E5888" w:rsidTr="00184D4E">
        <w:tc>
          <w:tcPr>
            <w:tcW w:w="1271" w:type="dxa"/>
          </w:tcPr>
          <w:p w:rsidR="005562A7" w:rsidRPr="006E5888" w:rsidRDefault="005562A7" w:rsidP="009332EA">
            <w:pPr>
              <w:tabs>
                <w:tab w:val="left" w:pos="1494"/>
              </w:tabs>
              <w:rPr>
                <w:szCs w:val="24"/>
              </w:rPr>
            </w:pPr>
            <w:r w:rsidRPr="006E5888">
              <w:rPr>
                <w:szCs w:val="24"/>
              </w:rPr>
              <w:t>NMP</w:t>
            </w:r>
          </w:p>
        </w:tc>
        <w:tc>
          <w:tcPr>
            <w:tcW w:w="8073" w:type="dxa"/>
          </w:tcPr>
          <w:p w:rsidR="005562A7" w:rsidRPr="006E5888" w:rsidRDefault="005562A7" w:rsidP="009332EA">
            <w:pPr>
              <w:tabs>
                <w:tab w:val="left" w:pos="1494"/>
              </w:tabs>
              <w:rPr>
                <w:szCs w:val="24"/>
              </w:rPr>
            </w:pPr>
            <w:r w:rsidRPr="006E5888">
              <w:rPr>
                <w:szCs w:val="24"/>
              </w:rPr>
              <w:t>Neatliekamā medicīniskā palīdzība</w:t>
            </w:r>
          </w:p>
        </w:tc>
      </w:tr>
      <w:tr w:rsidR="00EA1A52" w:rsidRPr="006E5888" w:rsidTr="00184D4E">
        <w:tc>
          <w:tcPr>
            <w:tcW w:w="1271" w:type="dxa"/>
          </w:tcPr>
          <w:p w:rsidR="00EA1A52" w:rsidRPr="006E5888" w:rsidRDefault="00EA1A52" w:rsidP="009332EA">
            <w:pPr>
              <w:tabs>
                <w:tab w:val="left" w:pos="1494"/>
              </w:tabs>
              <w:rPr>
                <w:szCs w:val="24"/>
              </w:rPr>
            </w:pPr>
            <w:r w:rsidRPr="006E5888">
              <w:rPr>
                <w:szCs w:val="24"/>
              </w:rPr>
              <w:t>NVA</w:t>
            </w:r>
          </w:p>
        </w:tc>
        <w:tc>
          <w:tcPr>
            <w:tcW w:w="8073" w:type="dxa"/>
          </w:tcPr>
          <w:p w:rsidR="00EA1A52" w:rsidRPr="006E5888" w:rsidRDefault="00EA1A52" w:rsidP="009332EA">
            <w:pPr>
              <w:tabs>
                <w:tab w:val="left" w:pos="1494"/>
              </w:tabs>
              <w:rPr>
                <w:szCs w:val="24"/>
              </w:rPr>
            </w:pPr>
            <w:r w:rsidRPr="006E5888">
              <w:rPr>
                <w:szCs w:val="24"/>
              </w:rPr>
              <w:t>Nodarbinātības valsts aģentūra</w:t>
            </w:r>
          </w:p>
        </w:tc>
      </w:tr>
      <w:tr w:rsidR="00532F9E" w:rsidRPr="006E5888" w:rsidTr="00184D4E">
        <w:tc>
          <w:tcPr>
            <w:tcW w:w="1271" w:type="dxa"/>
          </w:tcPr>
          <w:p w:rsidR="00532F9E" w:rsidRPr="006E5888" w:rsidRDefault="00532F9E" w:rsidP="009332EA">
            <w:pPr>
              <w:tabs>
                <w:tab w:val="left" w:pos="1494"/>
              </w:tabs>
              <w:rPr>
                <w:szCs w:val="24"/>
              </w:rPr>
            </w:pPr>
            <w:r w:rsidRPr="006E5888">
              <w:rPr>
                <w:szCs w:val="24"/>
              </w:rPr>
              <w:t>NVD</w:t>
            </w:r>
          </w:p>
        </w:tc>
        <w:tc>
          <w:tcPr>
            <w:tcW w:w="8073" w:type="dxa"/>
          </w:tcPr>
          <w:p w:rsidR="00532F9E" w:rsidRPr="006E5888" w:rsidRDefault="00532F9E" w:rsidP="00532F9E">
            <w:pPr>
              <w:tabs>
                <w:tab w:val="left" w:pos="1494"/>
              </w:tabs>
              <w:rPr>
                <w:szCs w:val="24"/>
              </w:rPr>
            </w:pPr>
            <w:r w:rsidRPr="006E5888">
              <w:rPr>
                <w:szCs w:val="24"/>
              </w:rPr>
              <w:t>Nacionālais veselības dienests</w:t>
            </w:r>
          </w:p>
        </w:tc>
      </w:tr>
      <w:tr w:rsidR="003956C0" w:rsidRPr="006E5888" w:rsidTr="00184D4E">
        <w:tc>
          <w:tcPr>
            <w:tcW w:w="1271" w:type="dxa"/>
          </w:tcPr>
          <w:p w:rsidR="003956C0" w:rsidRPr="006E5888" w:rsidRDefault="003956C0" w:rsidP="009332EA">
            <w:pPr>
              <w:tabs>
                <w:tab w:val="left" w:pos="1494"/>
              </w:tabs>
              <w:rPr>
                <w:szCs w:val="24"/>
              </w:rPr>
            </w:pPr>
            <w:r w:rsidRPr="006E5888">
              <w:rPr>
                <w:szCs w:val="24"/>
              </w:rPr>
              <w:t>OECD</w:t>
            </w:r>
          </w:p>
        </w:tc>
        <w:tc>
          <w:tcPr>
            <w:tcW w:w="8073" w:type="dxa"/>
          </w:tcPr>
          <w:p w:rsidR="003956C0" w:rsidRPr="006E5888" w:rsidRDefault="003956C0" w:rsidP="00532F9E">
            <w:pPr>
              <w:tabs>
                <w:tab w:val="left" w:pos="1494"/>
              </w:tabs>
              <w:rPr>
                <w:szCs w:val="24"/>
              </w:rPr>
            </w:pPr>
            <w:r w:rsidRPr="006E5888">
              <w:rPr>
                <w:szCs w:val="24"/>
              </w:rPr>
              <w:t>Ekonomiskās sadarbības un attīstības organizācija</w:t>
            </w:r>
          </w:p>
        </w:tc>
      </w:tr>
      <w:tr w:rsidR="00184D4E" w:rsidRPr="006E5888" w:rsidTr="00184D4E">
        <w:tc>
          <w:tcPr>
            <w:tcW w:w="1271" w:type="dxa"/>
          </w:tcPr>
          <w:p w:rsidR="00184D4E" w:rsidRPr="006E5888" w:rsidRDefault="00184D4E" w:rsidP="009332EA">
            <w:pPr>
              <w:tabs>
                <w:tab w:val="left" w:pos="1494"/>
              </w:tabs>
              <w:rPr>
                <w:szCs w:val="24"/>
              </w:rPr>
            </w:pPr>
            <w:r w:rsidRPr="006E5888">
              <w:rPr>
                <w:szCs w:val="24"/>
              </w:rPr>
              <w:t>PKC</w:t>
            </w:r>
          </w:p>
        </w:tc>
        <w:tc>
          <w:tcPr>
            <w:tcW w:w="8073" w:type="dxa"/>
          </w:tcPr>
          <w:p w:rsidR="00184D4E" w:rsidRPr="006E5888" w:rsidRDefault="00184D4E" w:rsidP="009332EA">
            <w:pPr>
              <w:tabs>
                <w:tab w:val="left" w:pos="1494"/>
              </w:tabs>
              <w:rPr>
                <w:szCs w:val="24"/>
              </w:rPr>
            </w:pPr>
            <w:proofErr w:type="spellStart"/>
            <w:r w:rsidRPr="006E5888">
              <w:rPr>
                <w:szCs w:val="24"/>
              </w:rPr>
              <w:t>Pārresoru</w:t>
            </w:r>
            <w:proofErr w:type="spellEnd"/>
            <w:r w:rsidRPr="006E5888">
              <w:rPr>
                <w:szCs w:val="24"/>
              </w:rPr>
              <w:t xml:space="preserve"> koordinācijas centrs</w:t>
            </w:r>
          </w:p>
        </w:tc>
      </w:tr>
      <w:tr w:rsidR="00037F94" w:rsidRPr="006E5888" w:rsidTr="00184D4E">
        <w:tc>
          <w:tcPr>
            <w:tcW w:w="1271" w:type="dxa"/>
          </w:tcPr>
          <w:p w:rsidR="00037F94" w:rsidRPr="006E5888" w:rsidRDefault="00892C0C" w:rsidP="009332EA">
            <w:pPr>
              <w:tabs>
                <w:tab w:val="left" w:pos="1494"/>
              </w:tabs>
              <w:rPr>
                <w:szCs w:val="24"/>
              </w:rPr>
            </w:pPr>
            <w:r w:rsidRPr="006E5888">
              <w:rPr>
                <w:szCs w:val="24"/>
              </w:rPr>
              <w:t>R</w:t>
            </w:r>
            <w:r w:rsidR="00037F94" w:rsidRPr="006E5888">
              <w:rPr>
                <w:szCs w:val="24"/>
              </w:rPr>
              <w:t>TV</w:t>
            </w:r>
          </w:p>
        </w:tc>
        <w:tc>
          <w:tcPr>
            <w:tcW w:w="8073" w:type="dxa"/>
          </w:tcPr>
          <w:p w:rsidR="00037F94" w:rsidRPr="006E5888" w:rsidRDefault="00037F94" w:rsidP="009332EA">
            <w:pPr>
              <w:tabs>
                <w:tab w:val="left" w:pos="1494"/>
              </w:tabs>
              <w:rPr>
                <w:szCs w:val="24"/>
              </w:rPr>
            </w:pPr>
            <w:r w:rsidRPr="006E5888">
              <w:rPr>
                <w:szCs w:val="24"/>
              </w:rPr>
              <w:t>Radio un televīzija</w:t>
            </w:r>
          </w:p>
        </w:tc>
      </w:tr>
      <w:tr w:rsidR="00997E8A" w:rsidRPr="006E5888" w:rsidTr="00184D4E">
        <w:tc>
          <w:tcPr>
            <w:tcW w:w="1271" w:type="dxa"/>
          </w:tcPr>
          <w:p w:rsidR="00997E8A" w:rsidRPr="006E5888" w:rsidRDefault="00997E8A" w:rsidP="009332EA">
            <w:pPr>
              <w:tabs>
                <w:tab w:val="left" w:pos="1494"/>
              </w:tabs>
              <w:rPr>
                <w:szCs w:val="24"/>
              </w:rPr>
            </w:pPr>
            <w:r w:rsidRPr="006E5888">
              <w:rPr>
                <w:szCs w:val="24"/>
              </w:rPr>
              <w:t>SIF</w:t>
            </w:r>
          </w:p>
        </w:tc>
        <w:tc>
          <w:tcPr>
            <w:tcW w:w="8073" w:type="dxa"/>
          </w:tcPr>
          <w:p w:rsidR="00997E8A" w:rsidRPr="006E5888" w:rsidRDefault="00997E8A" w:rsidP="009332EA">
            <w:pPr>
              <w:tabs>
                <w:tab w:val="left" w:pos="1494"/>
              </w:tabs>
              <w:rPr>
                <w:szCs w:val="24"/>
              </w:rPr>
            </w:pPr>
            <w:r w:rsidRPr="006E5888">
              <w:rPr>
                <w:szCs w:val="24"/>
              </w:rPr>
              <w:t>Sabiedrības integrācijas fonds</w:t>
            </w:r>
          </w:p>
        </w:tc>
      </w:tr>
      <w:tr w:rsidR="00184D4E" w:rsidRPr="006E5888" w:rsidTr="00184D4E">
        <w:tc>
          <w:tcPr>
            <w:tcW w:w="1271" w:type="dxa"/>
          </w:tcPr>
          <w:p w:rsidR="00184D4E" w:rsidRPr="006E5888" w:rsidRDefault="00184D4E" w:rsidP="009332EA">
            <w:pPr>
              <w:tabs>
                <w:tab w:val="left" w:pos="1494"/>
              </w:tabs>
              <w:rPr>
                <w:szCs w:val="24"/>
              </w:rPr>
            </w:pPr>
            <w:r w:rsidRPr="006E5888">
              <w:rPr>
                <w:szCs w:val="24"/>
              </w:rPr>
              <w:t>SM</w:t>
            </w:r>
          </w:p>
        </w:tc>
        <w:tc>
          <w:tcPr>
            <w:tcW w:w="8073" w:type="dxa"/>
          </w:tcPr>
          <w:p w:rsidR="00184D4E" w:rsidRPr="006E5888" w:rsidRDefault="00184D4E" w:rsidP="009332EA">
            <w:pPr>
              <w:tabs>
                <w:tab w:val="left" w:pos="1494"/>
              </w:tabs>
              <w:rPr>
                <w:szCs w:val="24"/>
              </w:rPr>
            </w:pPr>
            <w:r w:rsidRPr="006E5888">
              <w:rPr>
                <w:szCs w:val="24"/>
              </w:rPr>
              <w:t>Satiksmes ministrija</w:t>
            </w:r>
          </w:p>
        </w:tc>
      </w:tr>
      <w:tr w:rsidR="002D5BA9" w:rsidRPr="006E5888" w:rsidTr="00184D4E">
        <w:tc>
          <w:tcPr>
            <w:tcW w:w="1271" w:type="dxa"/>
          </w:tcPr>
          <w:p w:rsidR="002D5BA9" w:rsidRPr="006E5888" w:rsidRDefault="002D5BA9" w:rsidP="009332EA">
            <w:pPr>
              <w:tabs>
                <w:tab w:val="left" w:pos="1494"/>
              </w:tabs>
              <w:rPr>
                <w:szCs w:val="24"/>
              </w:rPr>
            </w:pPr>
            <w:r w:rsidRPr="006E5888">
              <w:rPr>
                <w:szCs w:val="24"/>
              </w:rPr>
              <w:t>SPRK</w:t>
            </w:r>
          </w:p>
        </w:tc>
        <w:tc>
          <w:tcPr>
            <w:tcW w:w="8073" w:type="dxa"/>
          </w:tcPr>
          <w:p w:rsidR="002D5BA9" w:rsidRPr="006E5888" w:rsidRDefault="002D5BA9" w:rsidP="009332EA">
            <w:pPr>
              <w:tabs>
                <w:tab w:val="left" w:pos="1494"/>
              </w:tabs>
              <w:rPr>
                <w:szCs w:val="24"/>
              </w:rPr>
            </w:pPr>
            <w:r w:rsidRPr="006E5888">
              <w:rPr>
                <w:szCs w:val="24"/>
              </w:rPr>
              <w:t>Sabiedrisko pakalpojumu regulēšanas komisija</w:t>
            </w:r>
          </w:p>
        </w:tc>
      </w:tr>
      <w:tr w:rsidR="002D5BA9" w:rsidRPr="006E5888" w:rsidTr="00184D4E">
        <w:tc>
          <w:tcPr>
            <w:tcW w:w="1271" w:type="dxa"/>
          </w:tcPr>
          <w:p w:rsidR="002D5BA9" w:rsidRPr="006E5888" w:rsidRDefault="002D5BA9" w:rsidP="009332EA">
            <w:pPr>
              <w:tabs>
                <w:tab w:val="left" w:pos="1494"/>
              </w:tabs>
              <w:rPr>
                <w:szCs w:val="24"/>
              </w:rPr>
            </w:pPr>
            <w:r w:rsidRPr="006E5888">
              <w:rPr>
                <w:szCs w:val="24"/>
              </w:rPr>
              <w:t>ST</w:t>
            </w:r>
          </w:p>
        </w:tc>
        <w:tc>
          <w:tcPr>
            <w:tcW w:w="8073" w:type="dxa"/>
          </w:tcPr>
          <w:p w:rsidR="002D5BA9" w:rsidRPr="006E5888" w:rsidRDefault="002D5BA9" w:rsidP="009332EA">
            <w:pPr>
              <w:tabs>
                <w:tab w:val="left" w:pos="1494"/>
              </w:tabs>
              <w:rPr>
                <w:szCs w:val="24"/>
              </w:rPr>
            </w:pPr>
            <w:r w:rsidRPr="006E5888">
              <w:rPr>
                <w:szCs w:val="24"/>
              </w:rPr>
              <w:t>Satversmes tiesa</w:t>
            </w:r>
          </w:p>
        </w:tc>
      </w:tr>
      <w:tr w:rsidR="002D5BA9" w:rsidRPr="006E5888" w:rsidTr="00184D4E">
        <w:tc>
          <w:tcPr>
            <w:tcW w:w="1271" w:type="dxa"/>
          </w:tcPr>
          <w:p w:rsidR="002D5BA9" w:rsidRPr="006E5888" w:rsidRDefault="002D5BA9" w:rsidP="009332EA">
            <w:pPr>
              <w:tabs>
                <w:tab w:val="left" w:pos="1494"/>
              </w:tabs>
              <w:rPr>
                <w:szCs w:val="24"/>
              </w:rPr>
            </w:pPr>
            <w:r w:rsidRPr="006E5888">
              <w:rPr>
                <w:szCs w:val="24"/>
              </w:rPr>
              <w:t>TB</w:t>
            </w:r>
          </w:p>
        </w:tc>
        <w:tc>
          <w:tcPr>
            <w:tcW w:w="8073" w:type="dxa"/>
          </w:tcPr>
          <w:p w:rsidR="002D5BA9" w:rsidRPr="006E5888" w:rsidRDefault="002D5BA9" w:rsidP="009332EA">
            <w:pPr>
              <w:tabs>
                <w:tab w:val="left" w:pos="1494"/>
              </w:tabs>
              <w:rPr>
                <w:szCs w:val="24"/>
              </w:rPr>
            </w:pPr>
            <w:proofErr w:type="spellStart"/>
            <w:r w:rsidRPr="006E5888">
              <w:rPr>
                <w:szCs w:val="24"/>
              </w:rPr>
              <w:t>Tiesībsarga</w:t>
            </w:r>
            <w:proofErr w:type="spellEnd"/>
            <w:r w:rsidRPr="006E5888">
              <w:rPr>
                <w:szCs w:val="24"/>
              </w:rPr>
              <w:t xml:space="preserve"> birojs</w:t>
            </w:r>
          </w:p>
        </w:tc>
      </w:tr>
      <w:tr w:rsidR="00184D4E" w:rsidRPr="006E5888" w:rsidTr="00184D4E">
        <w:tc>
          <w:tcPr>
            <w:tcW w:w="1271" w:type="dxa"/>
          </w:tcPr>
          <w:p w:rsidR="00184D4E" w:rsidRPr="006E5888" w:rsidRDefault="00184D4E" w:rsidP="009332EA">
            <w:pPr>
              <w:tabs>
                <w:tab w:val="left" w:pos="1494"/>
              </w:tabs>
              <w:rPr>
                <w:szCs w:val="24"/>
              </w:rPr>
            </w:pPr>
            <w:r w:rsidRPr="006E5888">
              <w:rPr>
                <w:szCs w:val="24"/>
              </w:rPr>
              <w:t>TM</w:t>
            </w:r>
          </w:p>
        </w:tc>
        <w:tc>
          <w:tcPr>
            <w:tcW w:w="8073" w:type="dxa"/>
          </w:tcPr>
          <w:p w:rsidR="00184D4E" w:rsidRPr="006E5888" w:rsidRDefault="00184D4E" w:rsidP="00184D4E">
            <w:pPr>
              <w:tabs>
                <w:tab w:val="left" w:pos="1494"/>
              </w:tabs>
              <w:rPr>
                <w:szCs w:val="24"/>
              </w:rPr>
            </w:pPr>
            <w:r w:rsidRPr="006E5888">
              <w:rPr>
                <w:szCs w:val="24"/>
              </w:rPr>
              <w:t>Tieslietu ministrija</w:t>
            </w:r>
          </w:p>
        </w:tc>
      </w:tr>
      <w:tr w:rsidR="00C10216" w:rsidRPr="006E5888" w:rsidTr="00184D4E">
        <w:tc>
          <w:tcPr>
            <w:tcW w:w="1271" w:type="dxa"/>
          </w:tcPr>
          <w:p w:rsidR="00C10216" w:rsidRPr="006E5888" w:rsidRDefault="00C10216" w:rsidP="009332EA">
            <w:pPr>
              <w:tabs>
                <w:tab w:val="left" w:pos="1494"/>
              </w:tabs>
              <w:rPr>
                <w:szCs w:val="24"/>
              </w:rPr>
            </w:pPr>
            <w:r w:rsidRPr="006E5888">
              <w:rPr>
                <w:szCs w:val="24"/>
              </w:rPr>
              <w:t>VPK</w:t>
            </w:r>
          </w:p>
        </w:tc>
        <w:tc>
          <w:tcPr>
            <w:tcW w:w="8073" w:type="dxa"/>
          </w:tcPr>
          <w:p w:rsidR="00C10216" w:rsidRPr="006E5888" w:rsidRDefault="00C10216" w:rsidP="00184D4E">
            <w:pPr>
              <w:tabs>
                <w:tab w:val="left" w:pos="1494"/>
              </w:tabs>
              <w:rPr>
                <w:szCs w:val="24"/>
              </w:rPr>
            </w:pPr>
            <w:r w:rsidRPr="006E5888">
              <w:rPr>
                <w:szCs w:val="24"/>
              </w:rPr>
              <w:t>Valsts prezidenta kanceleja</w:t>
            </w:r>
          </w:p>
        </w:tc>
      </w:tr>
      <w:tr w:rsidR="00184D4E" w:rsidRPr="006E5888" w:rsidTr="00184D4E">
        <w:tc>
          <w:tcPr>
            <w:tcW w:w="1271" w:type="dxa"/>
          </w:tcPr>
          <w:p w:rsidR="00184D4E" w:rsidRPr="006E5888" w:rsidRDefault="00184D4E" w:rsidP="009332EA">
            <w:pPr>
              <w:tabs>
                <w:tab w:val="left" w:pos="1494"/>
              </w:tabs>
              <w:rPr>
                <w:szCs w:val="24"/>
              </w:rPr>
            </w:pPr>
            <w:r w:rsidRPr="006E5888">
              <w:rPr>
                <w:szCs w:val="24"/>
              </w:rPr>
              <w:t>VARAM</w:t>
            </w:r>
          </w:p>
        </w:tc>
        <w:tc>
          <w:tcPr>
            <w:tcW w:w="8073" w:type="dxa"/>
          </w:tcPr>
          <w:p w:rsidR="00184D4E" w:rsidRPr="006E5888" w:rsidRDefault="00184D4E" w:rsidP="009332EA">
            <w:pPr>
              <w:tabs>
                <w:tab w:val="left" w:pos="1494"/>
              </w:tabs>
              <w:rPr>
                <w:szCs w:val="24"/>
              </w:rPr>
            </w:pPr>
            <w:r w:rsidRPr="006E5888">
              <w:rPr>
                <w:szCs w:val="24"/>
              </w:rPr>
              <w:t>Vides aizsardzības un reģionālās attīstības ministrija</w:t>
            </w:r>
          </w:p>
        </w:tc>
      </w:tr>
      <w:tr w:rsidR="00A000B1" w:rsidRPr="006E5888" w:rsidTr="00184D4E">
        <w:tc>
          <w:tcPr>
            <w:tcW w:w="1271" w:type="dxa"/>
          </w:tcPr>
          <w:p w:rsidR="00A000B1" w:rsidRPr="006E5888" w:rsidRDefault="00A000B1" w:rsidP="009332EA">
            <w:pPr>
              <w:tabs>
                <w:tab w:val="left" w:pos="1494"/>
              </w:tabs>
              <w:rPr>
                <w:szCs w:val="24"/>
              </w:rPr>
            </w:pPr>
            <w:r w:rsidRPr="006E5888">
              <w:rPr>
                <w:szCs w:val="24"/>
              </w:rPr>
              <w:t>VIIS</w:t>
            </w:r>
          </w:p>
        </w:tc>
        <w:tc>
          <w:tcPr>
            <w:tcW w:w="8073" w:type="dxa"/>
          </w:tcPr>
          <w:p w:rsidR="00A000B1" w:rsidRPr="006E5888" w:rsidRDefault="00A000B1" w:rsidP="009332EA">
            <w:pPr>
              <w:tabs>
                <w:tab w:val="left" w:pos="1494"/>
              </w:tabs>
              <w:rPr>
                <w:szCs w:val="24"/>
              </w:rPr>
            </w:pPr>
            <w:r w:rsidRPr="006E5888">
              <w:rPr>
                <w:szCs w:val="24"/>
              </w:rPr>
              <w:t>Valsts izglītības informācijas sistēma</w:t>
            </w:r>
          </w:p>
        </w:tc>
      </w:tr>
      <w:tr w:rsidR="0049719E" w:rsidRPr="006E5888" w:rsidTr="00184D4E">
        <w:tc>
          <w:tcPr>
            <w:tcW w:w="1271" w:type="dxa"/>
          </w:tcPr>
          <w:p w:rsidR="0049719E" w:rsidRPr="006E5888" w:rsidRDefault="0049719E" w:rsidP="009332EA">
            <w:pPr>
              <w:tabs>
                <w:tab w:val="left" w:pos="1494"/>
              </w:tabs>
              <w:rPr>
                <w:szCs w:val="24"/>
              </w:rPr>
            </w:pPr>
            <w:r w:rsidRPr="006E5888">
              <w:rPr>
                <w:szCs w:val="24"/>
              </w:rPr>
              <w:t>VID</w:t>
            </w:r>
          </w:p>
        </w:tc>
        <w:tc>
          <w:tcPr>
            <w:tcW w:w="8073" w:type="dxa"/>
          </w:tcPr>
          <w:p w:rsidR="0049719E" w:rsidRPr="006E5888" w:rsidRDefault="0049719E" w:rsidP="009332EA">
            <w:pPr>
              <w:tabs>
                <w:tab w:val="left" w:pos="1494"/>
              </w:tabs>
              <w:rPr>
                <w:szCs w:val="24"/>
              </w:rPr>
            </w:pPr>
            <w:r w:rsidRPr="006E5888">
              <w:rPr>
                <w:szCs w:val="24"/>
              </w:rPr>
              <w:t>Valsts ieņēmumu dienests</w:t>
            </w:r>
          </w:p>
        </w:tc>
      </w:tr>
      <w:tr w:rsidR="00184D4E" w:rsidRPr="006E5888" w:rsidTr="00184D4E">
        <w:tc>
          <w:tcPr>
            <w:tcW w:w="1271" w:type="dxa"/>
          </w:tcPr>
          <w:p w:rsidR="00184D4E" w:rsidRPr="006E5888" w:rsidRDefault="00184D4E" w:rsidP="009332EA">
            <w:pPr>
              <w:tabs>
                <w:tab w:val="left" w:pos="1494"/>
              </w:tabs>
              <w:rPr>
                <w:szCs w:val="24"/>
              </w:rPr>
            </w:pPr>
            <w:r w:rsidRPr="006E5888">
              <w:rPr>
                <w:szCs w:val="24"/>
              </w:rPr>
              <w:t>VK</w:t>
            </w:r>
          </w:p>
        </w:tc>
        <w:tc>
          <w:tcPr>
            <w:tcW w:w="8073" w:type="dxa"/>
          </w:tcPr>
          <w:p w:rsidR="00184D4E" w:rsidRPr="006E5888" w:rsidRDefault="00184D4E" w:rsidP="009332EA">
            <w:pPr>
              <w:tabs>
                <w:tab w:val="left" w:pos="1494"/>
              </w:tabs>
              <w:rPr>
                <w:szCs w:val="24"/>
              </w:rPr>
            </w:pPr>
            <w:r w:rsidRPr="006E5888">
              <w:rPr>
                <w:szCs w:val="24"/>
              </w:rPr>
              <w:t>Valsts kanceleja</w:t>
            </w:r>
          </w:p>
        </w:tc>
      </w:tr>
      <w:tr w:rsidR="002D5BA9" w:rsidRPr="006E5888" w:rsidTr="00184D4E">
        <w:tc>
          <w:tcPr>
            <w:tcW w:w="1271" w:type="dxa"/>
          </w:tcPr>
          <w:p w:rsidR="002D5BA9" w:rsidRPr="006E5888" w:rsidRDefault="002D5BA9" w:rsidP="009332EA">
            <w:pPr>
              <w:tabs>
                <w:tab w:val="left" w:pos="1494"/>
              </w:tabs>
              <w:rPr>
                <w:szCs w:val="24"/>
              </w:rPr>
            </w:pPr>
            <w:proofErr w:type="spellStart"/>
            <w:r w:rsidRPr="006E5888">
              <w:rPr>
                <w:szCs w:val="24"/>
              </w:rPr>
              <w:t>VKo</w:t>
            </w:r>
            <w:proofErr w:type="spellEnd"/>
          </w:p>
        </w:tc>
        <w:tc>
          <w:tcPr>
            <w:tcW w:w="8073" w:type="dxa"/>
          </w:tcPr>
          <w:p w:rsidR="002D5BA9" w:rsidRPr="006E5888" w:rsidRDefault="002D5BA9" w:rsidP="009332EA">
            <w:pPr>
              <w:tabs>
                <w:tab w:val="left" w:pos="1494"/>
              </w:tabs>
              <w:rPr>
                <w:szCs w:val="24"/>
              </w:rPr>
            </w:pPr>
            <w:r w:rsidRPr="006E5888">
              <w:rPr>
                <w:szCs w:val="24"/>
              </w:rPr>
              <w:t>Valsts Kontrole</w:t>
            </w:r>
          </w:p>
        </w:tc>
      </w:tr>
      <w:tr w:rsidR="00184D4E" w:rsidRPr="006E5888" w:rsidTr="00184D4E">
        <w:tc>
          <w:tcPr>
            <w:tcW w:w="1271" w:type="dxa"/>
          </w:tcPr>
          <w:p w:rsidR="00184D4E" w:rsidRPr="006E5888" w:rsidRDefault="00184D4E" w:rsidP="009332EA">
            <w:pPr>
              <w:tabs>
                <w:tab w:val="left" w:pos="1494"/>
              </w:tabs>
              <w:rPr>
                <w:szCs w:val="24"/>
              </w:rPr>
            </w:pPr>
            <w:r w:rsidRPr="006E5888">
              <w:rPr>
                <w:szCs w:val="24"/>
              </w:rPr>
              <w:t>VM</w:t>
            </w:r>
          </w:p>
        </w:tc>
        <w:tc>
          <w:tcPr>
            <w:tcW w:w="8073" w:type="dxa"/>
          </w:tcPr>
          <w:p w:rsidR="00184D4E" w:rsidRPr="006E5888" w:rsidRDefault="00184D4E" w:rsidP="009332EA">
            <w:pPr>
              <w:tabs>
                <w:tab w:val="left" w:pos="1494"/>
              </w:tabs>
              <w:rPr>
                <w:szCs w:val="24"/>
              </w:rPr>
            </w:pPr>
            <w:r w:rsidRPr="006E5888">
              <w:rPr>
                <w:szCs w:val="24"/>
              </w:rPr>
              <w:t>Veselības ministrija</w:t>
            </w:r>
          </w:p>
        </w:tc>
      </w:tr>
      <w:tr w:rsidR="00184D4E" w:rsidRPr="006E5888" w:rsidTr="00184D4E">
        <w:tc>
          <w:tcPr>
            <w:tcW w:w="1271" w:type="dxa"/>
          </w:tcPr>
          <w:p w:rsidR="00184D4E" w:rsidRPr="006E5888" w:rsidRDefault="00184D4E" w:rsidP="009332EA">
            <w:pPr>
              <w:tabs>
                <w:tab w:val="left" w:pos="1494"/>
              </w:tabs>
              <w:rPr>
                <w:szCs w:val="24"/>
              </w:rPr>
            </w:pPr>
            <w:r w:rsidRPr="006E5888">
              <w:rPr>
                <w:szCs w:val="24"/>
              </w:rPr>
              <w:t>ZM</w:t>
            </w:r>
          </w:p>
        </w:tc>
        <w:tc>
          <w:tcPr>
            <w:tcW w:w="8073" w:type="dxa"/>
          </w:tcPr>
          <w:p w:rsidR="00184D4E" w:rsidRPr="006E5888" w:rsidRDefault="00184D4E" w:rsidP="009332EA">
            <w:pPr>
              <w:tabs>
                <w:tab w:val="left" w:pos="1494"/>
              </w:tabs>
              <w:rPr>
                <w:szCs w:val="24"/>
              </w:rPr>
            </w:pPr>
            <w:r w:rsidRPr="006E5888">
              <w:rPr>
                <w:szCs w:val="24"/>
              </w:rPr>
              <w:t>Zemkopības ministrija</w:t>
            </w:r>
          </w:p>
        </w:tc>
      </w:tr>
      <w:tr w:rsidR="00037F94" w:rsidRPr="006E5888" w:rsidTr="00184D4E">
        <w:tc>
          <w:tcPr>
            <w:tcW w:w="1271" w:type="dxa"/>
          </w:tcPr>
          <w:p w:rsidR="00037F94" w:rsidRPr="006E5888" w:rsidRDefault="00037F94" w:rsidP="009332EA">
            <w:pPr>
              <w:tabs>
                <w:tab w:val="left" w:pos="1494"/>
              </w:tabs>
              <w:rPr>
                <w:szCs w:val="24"/>
              </w:rPr>
            </w:pPr>
            <w:r w:rsidRPr="006E5888">
              <w:rPr>
                <w:szCs w:val="24"/>
              </w:rPr>
              <w:t>62.resors</w:t>
            </w:r>
          </w:p>
        </w:tc>
        <w:tc>
          <w:tcPr>
            <w:tcW w:w="8073" w:type="dxa"/>
          </w:tcPr>
          <w:p w:rsidR="00037F94" w:rsidRPr="006E5888" w:rsidRDefault="00037F94" w:rsidP="009332EA">
            <w:pPr>
              <w:tabs>
                <w:tab w:val="left" w:pos="1494"/>
              </w:tabs>
              <w:rPr>
                <w:szCs w:val="24"/>
              </w:rPr>
            </w:pPr>
            <w:r w:rsidRPr="006E5888">
              <w:rPr>
                <w:szCs w:val="24"/>
              </w:rPr>
              <w:t>Mērķdotācijas pašvaldībām</w:t>
            </w:r>
          </w:p>
        </w:tc>
      </w:tr>
      <w:tr w:rsidR="00037F94" w:rsidRPr="006E5888" w:rsidTr="00184D4E">
        <w:tc>
          <w:tcPr>
            <w:tcW w:w="1271" w:type="dxa"/>
          </w:tcPr>
          <w:p w:rsidR="00037F94" w:rsidRPr="006E5888" w:rsidRDefault="00037F94" w:rsidP="009332EA">
            <w:pPr>
              <w:tabs>
                <w:tab w:val="left" w:pos="1494"/>
              </w:tabs>
              <w:rPr>
                <w:szCs w:val="24"/>
              </w:rPr>
            </w:pPr>
            <w:r w:rsidRPr="006E5888">
              <w:rPr>
                <w:szCs w:val="24"/>
              </w:rPr>
              <w:t>64.resors</w:t>
            </w:r>
          </w:p>
        </w:tc>
        <w:tc>
          <w:tcPr>
            <w:tcW w:w="8073" w:type="dxa"/>
          </w:tcPr>
          <w:p w:rsidR="00037F94" w:rsidRPr="006E5888" w:rsidRDefault="00037F94" w:rsidP="009332EA">
            <w:pPr>
              <w:tabs>
                <w:tab w:val="left" w:pos="1494"/>
              </w:tabs>
              <w:rPr>
                <w:szCs w:val="24"/>
              </w:rPr>
            </w:pPr>
            <w:r w:rsidRPr="006E5888">
              <w:rPr>
                <w:szCs w:val="24"/>
              </w:rPr>
              <w:t>Dotācija pašvaldībām</w:t>
            </w:r>
          </w:p>
        </w:tc>
      </w:tr>
      <w:tr w:rsidR="00037F94" w:rsidRPr="006E5888" w:rsidTr="00184D4E">
        <w:tc>
          <w:tcPr>
            <w:tcW w:w="1271" w:type="dxa"/>
          </w:tcPr>
          <w:p w:rsidR="00037F94" w:rsidRPr="006E5888" w:rsidRDefault="00037F94" w:rsidP="009332EA">
            <w:pPr>
              <w:tabs>
                <w:tab w:val="left" w:pos="1494"/>
              </w:tabs>
              <w:rPr>
                <w:szCs w:val="24"/>
              </w:rPr>
            </w:pPr>
            <w:r w:rsidRPr="006E5888">
              <w:rPr>
                <w:szCs w:val="24"/>
              </w:rPr>
              <w:t>74.resors</w:t>
            </w:r>
          </w:p>
        </w:tc>
        <w:tc>
          <w:tcPr>
            <w:tcW w:w="8073" w:type="dxa"/>
          </w:tcPr>
          <w:p w:rsidR="00037F94" w:rsidRPr="006E5888" w:rsidRDefault="00037F94" w:rsidP="009332EA">
            <w:pPr>
              <w:tabs>
                <w:tab w:val="left" w:pos="1494"/>
              </w:tabs>
              <w:rPr>
                <w:szCs w:val="24"/>
              </w:rPr>
            </w:pPr>
            <w:r w:rsidRPr="006E5888">
              <w:rPr>
                <w:szCs w:val="24"/>
              </w:rPr>
              <w:t>Gadskārtējā valsts budžeta izpildes procesā pārdalāmais finansējums</w:t>
            </w:r>
          </w:p>
        </w:tc>
      </w:tr>
    </w:tbl>
    <w:p w:rsidR="00F03E6C" w:rsidRPr="006E5888" w:rsidRDefault="00F03E6C" w:rsidP="009332EA">
      <w:pPr>
        <w:tabs>
          <w:tab w:val="left" w:pos="1494"/>
        </w:tabs>
        <w:rPr>
          <w:szCs w:val="24"/>
        </w:rPr>
      </w:pPr>
    </w:p>
    <w:p w:rsidR="0046669D" w:rsidRPr="006E5888" w:rsidRDefault="0046669D" w:rsidP="009332EA">
      <w:pPr>
        <w:tabs>
          <w:tab w:val="left" w:pos="1494"/>
        </w:tabs>
        <w:rPr>
          <w:b/>
          <w:szCs w:val="24"/>
        </w:rPr>
      </w:pPr>
    </w:p>
    <w:p w:rsidR="00F03E6C" w:rsidRPr="006E5888" w:rsidRDefault="00F03E6C" w:rsidP="005562A7">
      <w:pPr>
        <w:tabs>
          <w:tab w:val="left" w:pos="1494"/>
        </w:tabs>
        <w:rPr>
          <w:b/>
          <w:szCs w:val="24"/>
        </w:rPr>
      </w:pPr>
    </w:p>
    <w:p w:rsidR="00D07621" w:rsidRPr="006E5888" w:rsidRDefault="00D07621" w:rsidP="00760CE0">
      <w:pPr>
        <w:pStyle w:val="Heading1"/>
        <w:numPr>
          <w:ilvl w:val="0"/>
          <w:numId w:val="16"/>
        </w:numPr>
        <w:spacing w:before="0" w:after="120"/>
        <w:ind w:left="714" w:hanging="357"/>
        <w:rPr>
          <w:rFonts w:ascii="Times New Roman" w:hAnsi="Times New Roman" w:cs="Times New Roman"/>
          <w:b/>
          <w:color w:val="auto"/>
          <w:sz w:val="24"/>
          <w:szCs w:val="24"/>
        </w:rPr>
      </w:pPr>
      <w:bookmarkStart w:id="0" w:name="_Toc451340338"/>
      <w:r w:rsidRPr="006E5888">
        <w:rPr>
          <w:rFonts w:ascii="Times New Roman" w:hAnsi="Times New Roman" w:cs="Times New Roman"/>
          <w:b/>
          <w:color w:val="auto"/>
          <w:sz w:val="24"/>
          <w:szCs w:val="24"/>
        </w:rPr>
        <w:lastRenderedPageBreak/>
        <w:t>IEVADS</w:t>
      </w:r>
      <w:bookmarkEnd w:id="0"/>
    </w:p>
    <w:p w:rsidR="00D07621" w:rsidRPr="006E5888" w:rsidRDefault="00D07621" w:rsidP="00760CE0">
      <w:pPr>
        <w:ind w:firstLine="720"/>
        <w:jc w:val="both"/>
      </w:pPr>
      <w:r w:rsidRPr="006E5888">
        <w:t xml:space="preserve">Pamatojoties uz </w:t>
      </w:r>
      <w:r w:rsidR="007E541D" w:rsidRPr="006E5888">
        <w:t>LBFV</w:t>
      </w:r>
      <w:r w:rsidR="005E17C4" w:rsidRPr="006E5888">
        <w:t xml:space="preserve"> 16.</w:t>
      </w:r>
      <w:r w:rsidR="005E17C4" w:rsidRPr="006E5888">
        <w:rPr>
          <w:vertAlign w:val="superscript"/>
        </w:rPr>
        <w:t>3</w:t>
      </w:r>
      <w:r w:rsidR="009B66A6" w:rsidRPr="006E5888">
        <w:t xml:space="preserve"> pantu</w:t>
      </w:r>
      <w:r w:rsidR="0036001C" w:rsidRPr="006E5888">
        <w:t xml:space="preserve"> un atbilstoši 2016.gada 1.marta MK sēdes </w:t>
      </w:r>
      <w:proofErr w:type="spellStart"/>
      <w:r w:rsidR="0036001C" w:rsidRPr="006E5888">
        <w:t>protokollēmumam</w:t>
      </w:r>
      <w:proofErr w:type="spellEnd"/>
      <w:r w:rsidR="0036001C" w:rsidRPr="006E5888">
        <w:t xml:space="preserve"> (prot. Nr.10, 49.</w:t>
      </w:r>
      <w:r w:rsidR="0036001C" w:rsidRPr="006E5888">
        <w:rPr>
          <w:rFonts w:cs="Times New Roman"/>
        </w:rPr>
        <w:t>§</w:t>
      </w:r>
      <w:r w:rsidR="0036001C" w:rsidRPr="006E5888">
        <w:t>)</w:t>
      </w:r>
      <w:r w:rsidR="00292C49" w:rsidRPr="006E5888">
        <w:t>,</w:t>
      </w:r>
      <w:r w:rsidRPr="006E5888">
        <w:t xml:space="preserve"> saskaņā ar 2016.gada 29.februāra</w:t>
      </w:r>
      <w:r w:rsidR="007E541D" w:rsidRPr="006E5888">
        <w:t xml:space="preserve"> MK</w:t>
      </w:r>
      <w:r w:rsidRPr="006E5888">
        <w:t xml:space="preserve"> rīkojumu Nr.145 “Par likumprojekta “Par vidēja termiņa budžeta ietvaru 2017., 2018. un 2019.gadam” un likumprojekta “Par valsts budžeta 2017.gadam” sagatavošanas grafiku”, </w:t>
      </w:r>
      <w:r w:rsidR="00B70FD5" w:rsidRPr="006E5888">
        <w:t xml:space="preserve">FM </w:t>
      </w:r>
      <w:r w:rsidRPr="006E5888">
        <w:t xml:space="preserve">ir sagatavojusi informatīvo ziņojumu </w:t>
      </w:r>
      <w:r w:rsidR="00430F77" w:rsidRPr="006E5888">
        <w:t>“P</w:t>
      </w:r>
      <w:r w:rsidRPr="006E5888">
        <w:t xml:space="preserve">ar </w:t>
      </w:r>
      <w:r w:rsidR="00DA00E3" w:rsidRPr="006E5888">
        <w:t>valsts budžeta izdevumu pārskatīšanas 2017., 2018. un 2019.gadam rezultātiem un priekšlikum</w:t>
      </w:r>
      <w:r w:rsidR="00430F77" w:rsidRPr="006E5888">
        <w:t>i par</w:t>
      </w:r>
      <w:r w:rsidR="00DA00E3" w:rsidRPr="006E5888">
        <w:t xml:space="preserve"> šo rezultātu izmantošan</w:t>
      </w:r>
      <w:r w:rsidR="00430F77" w:rsidRPr="006E5888">
        <w:t>u</w:t>
      </w:r>
      <w:r w:rsidR="00DA00E3" w:rsidRPr="006E5888">
        <w:t xml:space="preserve"> likumprojekta “Par vidēja termiņa budžeta 2017., 2018. un 2019.gadam” un likumprojekta “Par valsts budžetu 2017.gadam” izstrādes procesā</w:t>
      </w:r>
      <w:r w:rsidR="00AD48DB" w:rsidRPr="006E5888">
        <w:t>”</w:t>
      </w:r>
      <w:r w:rsidRPr="006E5888">
        <w:t>.</w:t>
      </w:r>
    </w:p>
    <w:p w:rsidR="00EB0A8B" w:rsidRPr="006E5888" w:rsidRDefault="00EB0A8B" w:rsidP="0082203E">
      <w:pPr>
        <w:spacing w:after="240"/>
        <w:ind w:firstLine="720"/>
        <w:jc w:val="both"/>
        <w:rPr>
          <w:szCs w:val="24"/>
        </w:rPr>
      </w:pPr>
      <w:r w:rsidRPr="006E5888">
        <w:rPr>
          <w:szCs w:val="24"/>
        </w:rPr>
        <w:t xml:space="preserve">Valsts budžeta izdevumu pārskatīšana ir viens no </w:t>
      </w:r>
      <w:proofErr w:type="spellStart"/>
      <w:r w:rsidRPr="006E5888">
        <w:rPr>
          <w:szCs w:val="24"/>
        </w:rPr>
        <w:t>pamatrīkiem</w:t>
      </w:r>
      <w:proofErr w:type="spellEnd"/>
      <w:r w:rsidR="0082203E" w:rsidRPr="006E5888">
        <w:rPr>
          <w:szCs w:val="24"/>
        </w:rPr>
        <w:t>,</w:t>
      </w:r>
      <w:r w:rsidRPr="006E5888">
        <w:rPr>
          <w:szCs w:val="24"/>
        </w:rPr>
        <w:t xml:space="preserve"> kā nodrošināt publiskā finansējuma un politikas plānošanas stratēģisko prioritāšu sasaisti. Izdevumu pārskatīšanas pamatmērķis ir regulāri un sistemātiski novērtēt finansējuma izlietojuma efektivitāti, kā arī veicināt iecerēto rezultātu efektīvu sasniegšanu. </w:t>
      </w:r>
    </w:p>
    <w:p w:rsidR="00EB0A8B" w:rsidRPr="006E5888" w:rsidRDefault="00EB0A8B" w:rsidP="006B4A8A">
      <w:pPr>
        <w:pBdr>
          <w:top w:val="dashed" w:sz="12" w:space="1" w:color="auto"/>
          <w:left w:val="dashed" w:sz="12" w:space="4" w:color="auto"/>
          <w:bottom w:val="dashed" w:sz="12" w:space="1" w:color="auto"/>
          <w:right w:val="dashed" w:sz="12" w:space="4" w:color="auto"/>
        </w:pBdr>
        <w:spacing w:before="120" w:after="120"/>
        <w:jc w:val="center"/>
        <w:rPr>
          <w:b/>
          <w:i/>
          <w:szCs w:val="24"/>
        </w:rPr>
      </w:pPr>
      <w:r w:rsidRPr="006E5888">
        <w:rPr>
          <w:b/>
          <w:i/>
          <w:szCs w:val="24"/>
        </w:rPr>
        <w:t xml:space="preserve">Izdevumu pārskatīšanas mērķis ir </w:t>
      </w:r>
      <w:r w:rsidR="00430F77" w:rsidRPr="006E5888">
        <w:rPr>
          <w:b/>
          <w:i/>
          <w:szCs w:val="24"/>
        </w:rPr>
        <w:t xml:space="preserve">gūt </w:t>
      </w:r>
      <w:r w:rsidRPr="006E5888">
        <w:rPr>
          <w:b/>
          <w:i/>
          <w:szCs w:val="24"/>
        </w:rPr>
        <w:t>skaidras atbildes uz šādiem jautājumiem:</w:t>
      </w:r>
    </w:p>
    <w:p w:rsidR="00EB0A8B" w:rsidRPr="006E5888" w:rsidRDefault="00EB0A8B" w:rsidP="00EB0A8B">
      <w:pPr>
        <w:pBdr>
          <w:top w:val="dashed" w:sz="12" w:space="1" w:color="auto"/>
          <w:left w:val="dashed" w:sz="12" w:space="4" w:color="auto"/>
          <w:bottom w:val="dashed" w:sz="12" w:space="1" w:color="auto"/>
          <w:right w:val="dashed" w:sz="12" w:space="4" w:color="auto"/>
        </w:pBdr>
        <w:jc w:val="center"/>
        <w:rPr>
          <w:b/>
          <w:szCs w:val="24"/>
        </w:rPr>
      </w:pPr>
      <w:r w:rsidRPr="006E5888">
        <w:rPr>
          <w:b/>
          <w:szCs w:val="24"/>
        </w:rPr>
        <w:t>1. Ko sabiedrība iegūst no ieguldītajiem resursiem?</w:t>
      </w:r>
    </w:p>
    <w:p w:rsidR="00C0177A" w:rsidRPr="006E5888" w:rsidRDefault="00EB0A8B" w:rsidP="00C0177A">
      <w:pPr>
        <w:pBdr>
          <w:top w:val="dashed" w:sz="12" w:space="1" w:color="auto"/>
          <w:left w:val="dashed" w:sz="12" w:space="4" w:color="auto"/>
          <w:bottom w:val="dashed" w:sz="12" w:space="1" w:color="auto"/>
          <w:right w:val="dashed" w:sz="12" w:space="4" w:color="auto"/>
        </w:pBdr>
        <w:jc w:val="center"/>
        <w:rPr>
          <w:b/>
          <w:color w:val="C00000"/>
          <w:szCs w:val="24"/>
        </w:rPr>
      </w:pPr>
      <w:r w:rsidRPr="006E5888">
        <w:rPr>
          <w:b/>
          <w:szCs w:val="24"/>
        </w:rPr>
        <w:t>2. Kā varam ekonomiskāk sasniegt vēlamo rezultātu?</w:t>
      </w:r>
    </w:p>
    <w:p w:rsidR="009F46A8" w:rsidRPr="006E5888" w:rsidRDefault="00EB0A8B" w:rsidP="0082203E">
      <w:pPr>
        <w:spacing w:before="240"/>
        <w:ind w:firstLine="720"/>
        <w:jc w:val="both"/>
      </w:pPr>
      <w:r w:rsidRPr="006E5888">
        <w:rPr>
          <w:szCs w:val="24"/>
        </w:rPr>
        <w:t>2016.gada 1.janvārī stājās spēkā grozījumi LBFV, 16.</w:t>
      </w:r>
      <w:r w:rsidRPr="006E5888">
        <w:rPr>
          <w:szCs w:val="24"/>
          <w:vertAlign w:val="superscript"/>
        </w:rPr>
        <w:t>3</w:t>
      </w:r>
      <w:r w:rsidRPr="006E5888">
        <w:rPr>
          <w:szCs w:val="24"/>
        </w:rPr>
        <w:t xml:space="preserve"> pantā iedibinot jaunu procesu – pastāvīgu un sistemātisku valsts budžeta izdevumu pārskatīšanu.</w:t>
      </w:r>
      <w:r w:rsidRPr="006E5888">
        <w:t xml:space="preserve"> Lai uzsāktu pilnvērtīgu likumā paredzētā </w:t>
      </w:r>
      <w:r w:rsidR="005C7616" w:rsidRPr="006E5888">
        <w:t>uzdevumu</w:t>
      </w:r>
      <w:r w:rsidRPr="006E5888">
        <w:t xml:space="preserve"> ieviešanu, MK 2016.gada 1.martā tika izskatīts</w:t>
      </w:r>
      <w:r w:rsidR="00AD48DB" w:rsidRPr="006E5888">
        <w:t xml:space="preserve"> un apstiprināts</w:t>
      </w:r>
      <w:r w:rsidRPr="006E5888">
        <w:t xml:space="preserve"> FM sagatavotais informatīvais ziņojums “Paveiktie un plānotie pasākumi, ieviešot budžeta sistēmu, kas balstīta uz attīstības plānošanas dokumentu mērķu sasniegšanu”</w:t>
      </w:r>
      <w:r w:rsidR="00930F29" w:rsidRPr="006E5888">
        <w:rPr>
          <w:rStyle w:val="FootnoteReference"/>
        </w:rPr>
        <w:footnoteReference w:id="1"/>
      </w:r>
      <w:r w:rsidR="00094541" w:rsidRPr="006E5888">
        <w:t xml:space="preserve">, </w:t>
      </w:r>
      <w:r w:rsidRPr="006E5888">
        <w:t xml:space="preserve">ar kuru tika apstiprināts </w:t>
      </w:r>
      <w:r w:rsidRPr="006E5888">
        <w:rPr>
          <w:b/>
          <w:i/>
        </w:rPr>
        <w:t>valsts budžeta izdevumu pārskatīšanas tvērums</w:t>
      </w:r>
      <w:r w:rsidRPr="006E5888">
        <w:rPr>
          <w:b/>
        </w:rPr>
        <w:t>,</w:t>
      </w:r>
      <w:r w:rsidRPr="006E5888">
        <w:t xml:space="preserve"> izstrādājot likumprojektu “Par valsts budžetu 2017.gadam” un likumprojektu “Par vidēja termiņa budžeta ietvaru 2017., 2018. un 2019.gadam”, kā arī </w:t>
      </w:r>
      <w:r w:rsidR="001C31D5" w:rsidRPr="006E5888">
        <w:t xml:space="preserve">vidējā termiņā </w:t>
      </w:r>
      <w:r w:rsidRPr="006E5888">
        <w:t>veicamie uzdevumi FM, PKC un VK.</w:t>
      </w:r>
    </w:p>
    <w:p w:rsidR="009F46A8" w:rsidRPr="006E5888" w:rsidRDefault="009F46A8" w:rsidP="005562A7">
      <w:pPr>
        <w:ind w:firstLine="709"/>
        <w:jc w:val="both"/>
      </w:pPr>
      <w:r w:rsidRPr="006E5888">
        <w:t xml:space="preserve">MK 2016.gada 1.martā izskatītajam informatīvajam ziņojumam “Paveiktie un plānotie pasākumi, ieviešot budžeta sistēmu, kas balstīta uz attīstības plānošanas dokumentu mērķu sasniegšanu” pievienotajā MK </w:t>
      </w:r>
      <w:proofErr w:type="spellStart"/>
      <w:r w:rsidRPr="006E5888">
        <w:t>protokollēmumā</w:t>
      </w:r>
      <w:proofErr w:type="spellEnd"/>
      <w:r w:rsidRPr="006E5888">
        <w:t xml:space="preserve"> paredzēts:</w:t>
      </w:r>
    </w:p>
    <w:p w:rsidR="009F46A8" w:rsidRPr="006E5888" w:rsidRDefault="009F46A8" w:rsidP="005562A7">
      <w:pPr>
        <w:pStyle w:val="ListParagraph"/>
        <w:numPr>
          <w:ilvl w:val="0"/>
          <w:numId w:val="1"/>
        </w:numPr>
        <w:spacing w:after="120"/>
        <w:ind w:left="714" w:hanging="357"/>
        <w:jc w:val="both"/>
        <w:rPr>
          <w:b/>
          <w:i/>
        </w:rPr>
      </w:pPr>
      <w:r w:rsidRPr="006E5888">
        <w:rPr>
          <w:b/>
          <w:i/>
        </w:rPr>
        <w:t>Izdevumu pārskatīšanas tvērums 2017.gada budžetam:</w:t>
      </w:r>
    </w:p>
    <w:p w:rsidR="001C31D5" w:rsidRPr="006E5888" w:rsidRDefault="009F46A8" w:rsidP="00F72914">
      <w:pPr>
        <w:pStyle w:val="ListParagraph"/>
        <w:numPr>
          <w:ilvl w:val="2"/>
          <w:numId w:val="1"/>
        </w:numPr>
        <w:ind w:left="1134" w:hanging="283"/>
        <w:jc w:val="both"/>
      </w:pPr>
      <w:r w:rsidRPr="006E5888">
        <w:t>Budžeta elastības instrumentu izmantošanas efekti;</w:t>
      </w:r>
    </w:p>
    <w:p w:rsidR="001C31D5" w:rsidRPr="006E5888" w:rsidRDefault="001C31D5" w:rsidP="00F72914">
      <w:pPr>
        <w:pStyle w:val="ListParagraph"/>
        <w:numPr>
          <w:ilvl w:val="2"/>
          <w:numId w:val="1"/>
        </w:numPr>
        <w:ind w:left="1134" w:hanging="283"/>
        <w:jc w:val="both"/>
      </w:pPr>
      <w:r w:rsidRPr="006E5888">
        <w:t>Atsevišķu izdevumu veidu horizontāla analīze;</w:t>
      </w:r>
    </w:p>
    <w:p w:rsidR="009F46A8" w:rsidRPr="006E5888" w:rsidRDefault="00ED2D96" w:rsidP="00F72914">
      <w:pPr>
        <w:pStyle w:val="ListParagraph"/>
        <w:numPr>
          <w:ilvl w:val="2"/>
          <w:numId w:val="1"/>
        </w:numPr>
        <w:ind w:left="1134" w:hanging="283"/>
        <w:jc w:val="both"/>
      </w:pPr>
      <w:r w:rsidRPr="006E5888">
        <w:t>B</w:t>
      </w:r>
      <w:r w:rsidR="009F46A8" w:rsidRPr="006E5888">
        <w:t>udžeta attīstības daļas izdevumu analīze;</w:t>
      </w:r>
    </w:p>
    <w:p w:rsidR="009F46A8" w:rsidRPr="006E5888" w:rsidRDefault="009F46A8" w:rsidP="00F72914">
      <w:pPr>
        <w:pStyle w:val="ListParagraph"/>
        <w:numPr>
          <w:ilvl w:val="2"/>
          <w:numId w:val="1"/>
        </w:numPr>
        <w:ind w:left="1134" w:hanging="283"/>
        <w:jc w:val="both"/>
      </w:pPr>
      <w:r w:rsidRPr="006E5888">
        <w:t>Nulles budžeta princip</w:t>
      </w:r>
      <w:r w:rsidR="001C31D5" w:rsidRPr="006E5888">
        <w:t>s atsevišķām budžeta programmām;</w:t>
      </w:r>
    </w:p>
    <w:p w:rsidR="001C31D5" w:rsidRPr="006E5888" w:rsidRDefault="001C31D5" w:rsidP="00F72914">
      <w:pPr>
        <w:pStyle w:val="ListParagraph"/>
        <w:numPr>
          <w:ilvl w:val="2"/>
          <w:numId w:val="1"/>
        </w:numPr>
        <w:ind w:left="1134" w:hanging="283"/>
        <w:jc w:val="both"/>
      </w:pPr>
      <w:r w:rsidRPr="006E5888">
        <w:t>Audita un revīzijas ziņojumu analīze.</w:t>
      </w:r>
    </w:p>
    <w:p w:rsidR="009F46A8" w:rsidRPr="006E5888" w:rsidRDefault="009F46A8" w:rsidP="00094541">
      <w:pPr>
        <w:pStyle w:val="ListParagraph"/>
        <w:numPr>
          <w:ilvl w:val="0"/>
          <w:numId w:val="1"/>
        </w:numPr>
        <w:jc w:val="both"/>
        <w:rPr>
          <w:b/>
          <w:i/>
        </w:rPr>
      </w:pPr>
      <w:r w:rsidRPr="006E5888">
        <w:rPr>
          <w:b/>
          <w:i/>
        </w:rPr>
        <w:t>P</w:t>
      </w:r>
      <w:r w:rsidR="004266D4" w:rsidRPr="006E5888">
        <w:rPr>
          <w:b/>
          <w:i/>
        </w:rPr>
        <w:t xml:space="preserve">KC, FM </w:t>
      </w:r>
      <w:r w:rsidR="00094541" w:rsidRPr="006E5888">
        <w:rPr>
          <w:b/>
          <w:i/>
        </w:rPr>
        <w:t xml:space="preserve">sadarbībā ar nozaru ministrijām – </w:t>
      </w:r>
      <w:r w:rsidR="00094541" w:rsidRPr="006E5888">
        <w:t>i</w:t>
      </w:r>
      <w:r w:rsidRPr="006E5888">
        <w:t>zveido budžeta izdevumu attiecināšanas metodiku sasaistei ar APD noteiktajiem pasākumiem vai funkcijām bez APD.</w:t>
      </w:r>
    </w:p>
    <w:p w:rsidR="00896267" w:rsidRPr="006E5888" w:rsidRDefault="009F46A8" w:rsidP="00094541">
      <w:pPr>
        <w:pStyle w:val="ListParagraph"/>
        <w:numPr>
          <w:ilvl w:val="0"/>
          <w:numId w:val="1"/>
        </w:numPr>
        <w:jc w:val="both"/>
        <w:rPr>
          <w:b/>
          <w:i/>
        </w:rPr>
      </w:pPr>
      <w:r w:rsidRPr="006E5888">
        <w:rPr>
          <w:b/>
          <w:i/>
        </w:rPr>
        <w:t>V</w:t>
      </w:r>
      <w:r w:rsidR="00094541" w:rsidRPr="006E5888">
        <w:rPr>
          <w:b/>
          <w:i/>
        </w:rPr>
        <w:t xml:space="preserve">K sadarbībā ar FM un PKC – </w:t>
      </w:r>
      <w:r w:rsidR="00094541" w:rsidRPr="006E5888">
        <w:t>i</w:t>
      </w:r>
      <w:r w:rsidR="0009078F" w:rsidRPr="006E5888">
        <w:t>zstrādā nozarēs ieguldītā finansējuma un īstenotās politikas efektivitātes/produktivitātes analīzes metodiku.</w:t>
      </w:r>
    </w:p>
    <w:p w:rsidR="00896267" w:rsidRPr="006E5888" w:rsidRDefault="0009078F" w:rsidP="00094541">
      <w:pPr>
        <w:pStyle w:val="ListParagraph"/>
        <w:numPr>
          <w:ilvl w:val="0"/>
          <w:numId w:val="1"/>
        </w:numPr>
        <w:jc w:val="both"/>
        <w:rPr>
          <w:b/>
          <w:i/>
        </w:rPr>
      </w:pPr>
      <w:r w:rsidRPr="006E5888">
        <w:rPr>
          <w:b/>
          <w:i/>
        </w:rPr>
        <w:t>FM un PKC sadarbībā ar nozaru ministrijām</w:t>
      </w:r>
      <w:r w:rsidR="00094541" w:rsidRPr="006E5888">
        <w:rPr>
          <w:b/>
          <w:i/>
        </w:rPr>
        <w:t xml:space="preserve"> – </w:t>
      </w:r>
      <w:r w:rsidR="00094541" w:rsidRPr="006E5888">
        <w:t>p</w:t>
      </w:r>
      <w:r w:rsidRPr="006E5888">
        <w:t>ilnveidot budžeta programmām definētos mērķus un rezultatīvos rādītājus.</w:t>
      </w:r>
    </w:p>
    <w:p w:rsidR="00961A60" w:rsidRPr="006E5888" w:rsidRDefault="00961A60" w:rsidP="00744777">
      <w:pPr>
        <w:tabs>
          <w:tab w:val="left" w:pos="2149"/>
        </w:tabs>
        <w:ind w:firstLine="709"/>
        <w:jc w:val="both"/>
        <w:rPr>
          <w:szCs w:val="24"/>
        </w:rPr>
      </w:pPr>
      <w:r w:rsidRPr="006E5888">
        <w:rPr>
          <w:szCs w:val="24"/>
        </w:rPr>
        <w:t xml:space="preserve">MK </w:t>
      </w:r>
      <w:proofErr w:type="spellStart"/>
      <w:r w:rsidRPr="006E5888">
        <w:rPr>
          <w:szCs w:val="24"/>
        </w:rPr>
        <w:t>protokollēmumā</w:t>
      </w:r>
      <w:proofErr w:type="spellEnd"/>
      <w:r w:rsidRPr="006E5888">
        <w:rPr>
          <w:szCs w:val="24"/>
        </w:rPr>
        <w:t xml:space="preserve"> apstiprināto </w:t>
      </w:r>
      <w:r w:rsidR="00B81396" w:rsidRPr="006E5888">
        <w:rPr>
          <w:szCs w:val="24"/>
        </w:rPr>
        <w:t xml:space="preserve">uzdevumu izpildei </w:t>
      </w:r>
      <w:r w:rsidR="00B81396" w:rsidRPr="006E5888">
        <w:rPr>
          <w:b/>
          <w:i/>
          <w:szCs w:val="24"/>
        </w:rPr>
        <w:t>ir pakļautas visas no valsts budžeta finansētās nozares (funkcijas)</w:t>
      </w:r>
      <w:r w:rsidR="00B81396" w:rsidRPr="006E5888">
        <w:rPr>
          <w:szCs w:val="24"/>
        </w:rPr>
        <w:t xml:space="preserve">, vienlaikus, ņemot vērā </w:t>
      </w:r>
      <w:r w:rsidR="009B529E" w:rsidRPr="006E5888">
        <w:rPr>
          <w:szCs w:val="24"/>
        </w:rPr>
        <w:t>ES</w:t>
      </w:r>
      <w:r w:rsidR="00B81396" w:rsidRPr="006E5888">
        <w:rPr>
          <w:szCs w:val="24"/>
        </w:rPr>
        <w:t xml:space="preserve"> Padomes 2015.gada 14.jūlija ieteikumus Nr.2 un Nr.3 par Latvijas 2015.gada valsts reformu programmu un ar ko sniedz Padomes atzinumu par Latvijas 2015.gada stabilitātes programmu (2015/C 272/17), par prioritārajām iepriekš minēto uzdevumu izpildē tika noteikta veselības nozare, tās sasaiste ar labklājības nozari valsts sociālās apdrošināšanas obligāto iemaksu kontekstā</w:t>
      </w:r>
      <w:r w:rsidR="00AC49D5" w:rsidRPr="006E5888">
        <w:rPr>
          <w:szCs w:val="24"/>
        </w:rPr>
        <w:t>,</w:t>
      </w:r>
      <w:r w:rsidR="00B81396" w:rsidRPr="006E5888">
        <w:rPr>
          <w:szCs w:val="24"/>
        </w:rPr>
        <w:t xml:space="preserve"> kā arī noteikts uzsākt izglītības nozares padziļinātu </w:t>
      </w:r>
      <w:proofErr w:type="spellStart"/>
      <w:r w:rsidR="00B81396" w:rsidRPr="006E5888">
        <w:rPr>
          <w:szCs w:val="24"/>
        </w:rPr>
        <w:t>izvērtējumu</w:t>
      </w:r>
      <w:proofErr w:type="spellEnd"/>
      <w:r w:rsidR="00B81396" w:rsidRPr="006E5888">
        <w:rPr>
          <w:szCs w:val="24"/>
        </w:rPr>
        <w:t>.</w:t>
      </w:r>
      <w:r w:rsidR="00A24D7A" w:rsidRPr="006E5888">
        <w:rPr>
          <w:szCs w:val="24"/>
        </w:rPr>
        <w:t xml:space="preserve"> </w:t>
      </w:r>
    </w:p>
    <w:p w:rsidR="00B81396" w:rsidRPr="006E5888" w:rsidRDefault="00A24D7A" w:rsidP="00744777">
      <w:pPr>
        <w:tabs>
          <w:tab w:val="left" w:pos="2149"/>
        </w:tabs>
        <w:ind w:firstLine="709"/>
        <w:jc w:val="both"/>
        <w:rPr>
          <w:szCs w:val="24"/>
        </w:rPr>
      </w:pPr>
      <w:r w:rsidRPr="006E5888">
        <w:rPr>
          <w:szCs w:val="24"/>
        </w:rPr>
        <w:lastRenderedPageBreak/>
        <w:t>Līdz ar to</w:t>
      </w:r>
      <w:r w:rsidR="007F0251" w:rsidRPr="006E5888">
        <w:rPr>
          <w:szCs w:val="24"/>
        </w:rPr>
        <w:t xml:space="preserve"> par prioritārajām nozarēm izdevumu pārskatīšanā valdība ir atzinusi </w:t>
      </w:r>
      <w:r w:rsidR="007F0251" w:rsidRPr="006E5888">
        <w:rPr>
          <w:b/>
          <w:i/>
          <w:szCs w:val="24"/>
        </w:rPr>
        <w:t>veselības</w:t>
      </w:r>
      <w:r w:rsidR="007F0251" w:rsidRPr="006E5888">
        <w:rPr>
          <w:szCs w:val="24"/>
        </w:rPr>
        <w:t xml:space="preserve"> un </w:t>
      </w:r>
      <w:r w:rsidR="00187464" w:rsidRPr="006E5888">
        <w:rPr>
          <w:b/>
          <w:i/>
          <w:szCs w:val="24"/>
        </w:rPr>
        <w:t>izglītības nozari</w:t>
      </w:r>
      <w:r w:rsidR="007F0251" w:rsidRPr="006E5888">
        <w:rPr>
          <w:szCs w:val="24"/>
        </w:rPr>
        <w:t>.</w:t>
      </w:r>
    </w:p>
    <w:p w:rsidR="00FD4F08" w:rsidRPr="006E5888" w:rsidRDefault="00FD4F08" w:rsidP="009B529E">
      <w:pPr>
        <w:tabs>
          <w:tab w:val="left" w:pos="2149"/>
        </w:tabs>
        <w:spacing w:before="120"/>
        <w:jc w:val="both"/>
        <w:rPr>
          <w:szCs w:val="24"/>
        </w:rPr>
      </w:pPr>
      <w:r w:rsidRPr="006E5888">
        <w:rPr>
          <w:szCs w:val="24"/>
        </w:rPr>
        <w:t xml:space="preserve">Papildus </w:t>
      </w:r>
      <w:r w:rsidR="00187464" w:rsidRPr="006E5888">
        <w:rPr>
          <w:szCs w:val="24"/>
        </w:rPr>
        <w:t xml:space="preserve">iepriekš </w:t>
      </w:r>
      <w:r w:rsidRPr="006E5888">
        <w:rPr>
          <w:szCs w:val="24"/>
        </w:rPr>
        <w:t>minētajam</w:t>
      </w:r>
      <w:r w:rsidR="00961A60" w:rsidRPr="006E5888">
        <w:rPr>
          <w:szCs w:val="24"/>
        </w:rPr>
        <w:t xml:space="preserve"> izdevumu pārskatīšanas kontekstā</w:t>
      </w:r>
      <w:r w:rsidRPr="006E5888">
        <w:rPr>
          <w:szCs w:val="24"/>
        </w:rPr>
        <w:t xml:space="preserve"> </w:t>
      </w:r>
      <w:r w:rsidRPr="006E5888">
        <w:rPr>
          <w:b/>
          <w:i/>
          <w:szCs w:val="24"/>
        </w:rPr>
        <w:t>FM</w:t>
      </w:r>
      <w:r w:rsidRPr="006E5888">
        <w:rPr>
          <w:szCs w:val="24"/>
        </w:rPr>
        <w:t>:</w:t>
      </w:r>
    </w:p>
    <w:p w:rsidR="00187464" w:rsidRPr="006E5888" w:rsidRDefault="00D67640" w:rsidP="003C4EF5">
      <w:pPr>
        <w:pStyle w:val="ListParagraph"/>
        <w:numPr>
          <w:ilvl w:val="0"/>
          <w:numId w:val="2"/>
        </w:numPr>
        <w:tabs>
          <w:tab w:val="left" w:pos="2149"/>
        </w:tabs>
        <w:jc w:val="both"/>
        <w:rPr>
          <w:szCs w:val="24"/>
        </w:rPr>
      </w:pPr>
      <w:r w:rsidRPr="006E5888">
        <w:rPr>
          <w:szCs w:val="24"/>
        </w:rPr>
        <w:t>Apkopo</w:t>
      </w:r>
      <w:r w:rsidR="006E3540" w:rsidRPr="006E5888">
        <w:rPr>
          <w:szCs w:val="24"/>
        </w:rPr>
        <w:t>ja</w:t>
      </w:r>
      <w:r w:rsidRPr="006E5888">
        <w:rPr>
          <w:szCs w:val="24"/>
        </w:rPr>
        <w:t xml:space="preserve"> ministriju </w:t>
      </w:r>
      <w:r w:rsidR="00187464" w:rsidRPr="006E5888">
        <w:rPr>
          <w:szCs w:val="24"/>
        </w:rPr>
        <w:t xml:space="preserve">izteiktos </w:t>
      </w:r>
      <w:r w:rsidRPr="006E5888">
        <w:rPr>
          <w:szCs w:val="24"/>
        </w:rPr>
        <w:t>priekšlikumus</w:t>
      </w:r>
      <w:r w:rsidR="00187464" w:rsidRPr="006E5888">
        <w:rPr>
          <w:szCs w:val="24"/>
        </w:rPr>
        <w:t xml:space="preserve"> izdevumu un vispārējo procesu </w:t>
      </w:r>
      <w:proofErr w:type="spellStart"/>
      <w:r w:rsidR="00187464" w:rsidRPr="006E5888">
        <w:rPr>
          <w:szCs w:val="24"/>
        </w:rPr>
        <w:t>efektivizācijai</w:t>
      </w:r>
      <w:proofErr w:type="spellEnd"/>
      <w:r w:rsidRPr="006E5888">
        <w:rPr>
          <w:szCs w:val="24"/>
        </w:rPr>
        <w:t xml:space="preserve">, kā arī FM </w:t>
      </w:r>
      <w:r w:rsidR="00187464" w:rsidRPr="006E5888">
        <w:rPr>
          <w:szCs w:val="24"/>
        </w:rPr>
        <w:t>izstrādā</w:t>
      </w:r>
      <w:r w:rsidR="006E3540" w:rsidRPr="006E5888">
        <w:rPr>
          <w:szCs w:val="24"/>
        </w:rPr>
        <w:t>ja</w:t>
      </w:r>
      <w:r w:rsidR="00187464" w:rsidRPr="006E5888">
        <w:rPr>
          <w:szCs w:val="24"/>
        </w:rPr>
        <w:t xml:space="preserve"> savus </w:t>
      </w:r>
      <w:r w:rsidRPr="006E5888">
        <w:rPr>
          <w:szCs w:val="24"/>
        </w:rPr>
        <w:t>priekšlikumus</w:t>
      </w:r>
      <w:r w:rsidR="00187464" w:rsidRPr="006E5888">
        <w:rPr>
          <w:szCs w:val="24"/>
        </w:rPr>
        <w:t>;</w:t>
      </w:r>
    </w:p>
    <w:p w:rsidR="00FD4F08" w:rsidRPr="006E5888" w:rsidRDefault="00FD4F08" w:rsidP="003C4EF5">
      <w:pPr>
        <w:pStyle w:val="ListParagraph"/>
        <w:numPr>
          <w:ilvl w:val="0"/>
          <w:numId w:val="2"/>
        </w:numPr>
        <w:tabs>
          <w:tab w:val="left" w:pos="2149"/>
        </w:tabs>
        <w:jc w:val="both"/>
        <w:rPr>
          <w:szCs w:val="24"/>
        </w:rPr>
      </w:pPr>
      <w:r w:rsidRPr="006E5888">
        <w:t>Analizē</w:t>
      </w:r>
      <w:r w:rsidR="006E3540" w:rsidRPr="006E5888">
        <w:t>ja</w:t>
      </w:r>
      <w:r w:rsidRPr="006E5888">
        <w:t xml:space="preserve"> pamatfunkciju budžeta programmu mērķus un tiem atbilstošos rezultatīvos rādītājus;</w:t>
      </w:r>
    </w:p>
    <w:p w:rsidR="00FD4F08" w:rsidRPr="006E5888" w:rsidRDefault="00FD4F08" w:rsidP="00F72914">
      <w:pPr>
        <w:pStyle w:val="ListParagraph"/>
        <w:numPr>
          <w:ilvl w:val="0"/>
          <w:numId w:val="2"/>
        </w:numPr>
        <w:tabs>
          <w:tab w:val="left" w:pos="2149"/>
        </w:tabs>
        <w:spacing w:before="120" w:after="120"/>
        <w:jc w:val="both"/>
        <w:rPr>
          <w:szCs w:val="24"/>
        </w:rPr>
      </w:pPr>
      <w:r w:rsidRPr="006E5888">
        <w:rPr>
          <w:szCs w:val="24"/>
        </w:rPr>
        <w:t>Vei</w:t>
      </w:r>
      <w:r w:rsidR="006E3540" w:rsidRPr="006E5888">
        <w:rPr>
          <w:szCs w:val="24"/>
        </w:rPr>
        <w:t>ca</w:t>
      </w:r>
      <w:r w:rsidRPr="006E5888">
        <w:rPr>
          <w:szCs w:val="24"/>
        </w:rPr>
        <w:t xml:space="preserve"> vidēja termiņa izdevumu izmaiņu un sistemātiski neizlietotu budžeta izdevumu analīzi.</w:t>
      </w:r>
    </w:p>
    <w:p w:rsidR="00FD4F08" w:rsidRPr="006E5888" w:rsidRDefault="00367BCC" w:rsidP="006B4A8A">
      <w:pPr>
        <w:tabs>
          <w:tab w:val="left" w:pos="2149"/>
        </w:tabs>
        <w:spacing w:before="120" w:after="120"/>
        <w:jc w:val="both"/>
        <w:rPr>
          <w:szCs w:val="24"/>
        </w:rPr>
      </w:pPr>
      <w:r w:rsidRPr="006E5888">
        <w:rPr>
          <w:b/>
          <w:bCs/>
          <w:i/>
          <w:szCs w:val="24"/>
        </w:rPr>
        <w:t>LB</w:t>
      </w:r>
      <w:r w:rsidR="00FD4F08" w:rsidRPr="006E5888">
        <w:rPr>
          <w:szCs w:val="24"/>
        </w:rPr>
        <w:t xml:space="preserve"> nodrošin</w:t>
      </w:r>
      <w:r w:rsidR="006E3540" w:rsidRPr="006E5888">
        <w:rPr>
          <w:szCs w:val="24"/>
        </w:rPr>
        <w:t>āja</w:t>
      </w:r>
      <w:r w:rsidR="00FD4F08" w:rsidRPr="006E5888">
        <w:rPr>
          <w:szCs w:val="24"/>
        </w:rPr>
        <w:t xml:space="preserve"> pēc iespējas vairākām nozarēm makro līmeņa analīzi.</w:t>
      </w:r>
    </w:p>
    <w:p w:rsidR="00C50A47" w:rsidRPr="006E5888" w:rsidRDefault="00C50A47" w:rsidP="00C50A47">
      <w:pPr>
        <w:jc w:val="both"/>
        <w:rPr>
          <w:szCs w:val="24"/>
        </w:rPr>
      </w:pPr>
      <w:r w:rsidRPr="006E5888">
        <w:rPr>
          <w:b/>
          <w:i/>
          <w:szCs w:val="24"/>
        </w:rPr>
        <w:t>PKC</w:t>
      </w:r>
      <w:r w:rsidRPr="006E5888">
        <w:rPr>
          <w:szCs w:val="24"/>
        </w:rPr>
        <w:t xml:space="preserve"> sniedza ministrijām sākotnējo skatījumu par budžeta izdevumu sasaisti ar politikas mērķiem un rezultātiem, kā arī informāciju par zemākās funkcionāli neatkarīgās izmaksu attiecināšanas sistēmas ieviešanas iespējām.</w:t>
      </w:r>
    </w:p>
    <w:p w:rsidR="00FD4F08" w:rsidRPr="006E5888" w:rsidRDefault="00FD4F08" w:rsidP="006B4A8A">
      <w:pPr>
        <w:tabs>
          <w:tab w:val="left" w:pos="2149"/>
        </w:tabs>
        <w:spacing w:before="120"/>
        <w:jc w:val="both"/>
        <w:rPr>
          <w:szCs w:val="24"/>
        </w:rPr>
      </w:pPr>
      <w:r w:rsidRPr="006E5888">
        <w:rPr>
          <w:b/>
          <w:bCs/>
          <w:i/>
          <w:szCs w:val="24"/>
        </w:rPr>
        <w:t>VK</w:t>
      </w:r>
      <w:r w:rsidRPr="006E5888">
        <w:rPr>
          <w:b/>
          <w:bCs/>
          <w:szCs w:val="24"/>
        </w:rPr>
        <w:t xml:space="preserve"> </w:t>
      </w:r>
      <w:r w:rsidRPr="006E5888">
        <w:rPr>
          <w:bCs/>
          <w:szCs w:val="24"/>
        </w:rPr>
        <w:t>izstrādā</w:t>
      </w:r>
      <w:r w:rsidR="006E3540" w:rsidRPr="006E5888">
        <w:rPr>
          <w:bCs/>
          <w:szCs w:val="24"/>
        </w:rPr>
        <w:t>ja</w:t>
      </w:r>
      <w:r w:rsidRPr="006E5888">
        <w:rPr>
          <w:b/>
          <w:bCs/>
          <w:szCs w:val="24"/>
        </w:rPr>
        <w:t xml:space="preserve"> </w:t>
      </w:r>
      <w:r w:rsidRPr="006E5888">
        <w:rPr>
          <w:szCs w:val="24"/>
        </w:rPr>
        <w:t>priekšlikumus par iespējām nozaru līmenī ieviest:</w:t>
      </w:r>
    </w:p>
    <w:p w:rsidR="00AE74A3" w:rsidRPr="006E5888" w:rsidRDefault="00FD4F08" w:rsidP="00F72914">
      <w:pPr>
        <w:pStyle w:val="ListParagraph"/>
        <w:numPr>
          <w:ilvl w:val="0"/>
          <w:numId w:val="4"/>
        </w:numPr>
        <w:tabs>
          <w:tab w:val="left" w:pos="1418"/>
        </w:tabs>
        <w:jc w:val="both"/>
        <w:rPr>
          <w:szCs w:val="24"/>
        </w:rPr>
      </w:pPr>
      <w:r w:rsidRPr="006E5888">
        <w:rPr>
          <w:szCs w:val="24"/>
        </w:rPr>
        <w:t xml:space="preserve">Izdevumu un to </w:t>
      </w:r>
      <w:proofErr w:type="spellStart"/>
      <w:r w:rsidRPr="006E5888">
        <w:rPr>
          <w:szCs w:val="24"/>
        </w:rPr>
        <w:t>atdeves</w:t>
      </w:r>
      <w:proofErr w:type="spellEnd"/>
      <w:r w:rsidRPr="006E5888">
        <w:rPr>
          <w:szCs w:val="24"/>
        </w:rPr>
        <w:t>/rezultātu savstarpējo dinamikas analīzi;</w:t>
      </w:r>
    </w:p>
    <w:p w:rsidR="00FD4F08" w:rsidRPr="006E5888" w:rsidRDefault="00FD4F08" w:rsidP="00F72914">
      <w:pPr>
        <w:pStyle w:val="ListParagraph"/>
        <w:numPr>
          <w:ilvl w:val="0"/>
          <w:numId w:val="4"/>
        </w:numPr>
        <w:tabs>
          <w:tab w:val="left" w:pos="1418"/>
        </w:tabs>
        <w:spacing w:after="120"/>
        <w:jc w:val="both"/>
        <w:rPr>
          <w:szCs w:val="24"/>
        </w:rPr>
      </w:pPr>
      <w:r w:rsidRPr="006E5888">
        <w:rPr>
          <w:szCs w:val="24"/>
        </w:rPr>
        <w:t xml:space="preserve">Izdevumu un to </w:t>
      </w:r>
      <w:proofErr w:type="spellStart"/>
      <w:r w:rsidRPr="006E5888">
        <w:rPr>
          <w:szCs w:val="24"/>
        </w:rPr>
        <w:t>atdeves</w:t>
      </w:r>
      <w:proofErr w:type="spellEnd"/>
      <w:r w:rsidRPr="006E5888">
        <w:rPr>
          <w:szCs w:val="24"/>
        </w:rPr>
        <w:t>/rezultātu starptautiski salīdzinošo analīzi.</w:t>
      </w:r>
    </w:p>
    <w:p w:rsidR="00C86359" w:rsidRPr="006E5888" w:rsidRDefault="00580631" w:rsidP="00306932">
      <w:pPr>
        <w:spacing w:after="120"/>
        <w:ind w:firstLine="709"/>
        <w:jc w:val="both"/>
      </w:pPr>
      <w:r w:rsidRPr="006E5888">
        <w:t>Pamatojoties uz MK apstiprinātajiem uzdevumiem un noteiktajām prioritārajām nozarēm, kā arī mērķi efektīvāk un ekonomiskāk īstenot valsts politiku, FM uzsāka izdevumu pār</w:t>
      </w:r>
      <w:r w:rsidR="000053FB" w:rsidRPr="006E5888">
        <w:t>skatīšanas procesu</w:t>
      </w:r>
      <w:r w:rsidR="008B2CDF" w:rsidRPr="006E5888">
        <w:t>.</w:t>
      </w:r>
      <w:r w:rsidRPr="006E5888">
        <w:t xml:space="preserve"> </w:t>
      </w:r>
    </w:p>
    <w:p w:rsidR="000E6275" w:rsidRPr="006E5888" w:rsidRDefault="005463ED" w:rsidP="00B756BC">
      <w:pPr>
        <w:pStyle w:val="Heading1"/>
        <w:numPr>
          <w:ilvl w:val="0"/>
          <w:numId w:val="16"/>
        </w:numPr>
        <w:spacing w:before="120" w:after="120"/>
        <w:ind w:left="714" w:hanging="357"/>
        <w:rPr>
          <w:rFonts w:ascii="Times New Roman" w:hAnsi="Times New Roman" w:cs="Times New Roman"/>
          <w:b/>
          <w:color w:val="auto"/>
          <w:sz w:val="24"/>
          <w:szCs w:val="24"/>
        </w:rPr>
      </w:pPr>
      <w:bookmarkStart w:id="1" w:name="_Toc451340339"/>
      <w:r w:rsidRPr="006E5888">
        <w:rPr>
          <w:rFonts w:ascii="Times New Roman" w:hAnsi="Times New Roman" w:cs="Times New Roman"/>
          <w:b/>
          <w:color w:val="auto"/>
          <w:sz w:val="24"/>
          <w:szCs w:val="24"/>
        </w:rPr>
        <w:t>IZDEVUMU PĀRSKATĪ</w:t>
      </w:r>
      <w:r w:rsidR="000E6275" w:rsidRPr="006E5888">
        <w:rPr>
          <w:rFonts w:ascii="Times New Roman" w:hAnsi="Times New Roman" w:cs="Times New Roman"/>
          <w:b/>
          <w:color w:val="auto"/>
          <w:sz w:val="24"/>
          <w:szCs w:val="24"/>
        </w:rPr>
        <w:t xml:space="preserve">ŠANAS </w:t>
      </w:r>
      <w:r w:rsidR="007C60D9" w:rsidRPr="006E5888">
        <w:rPr>
          <w:rFonts w:ascii="Times New Roman" w:hAnsi="Times New Roman" w:cs="Times New Roman"/>
          <w:b/>
          <w:color w:val="auto"/>
          <w:sz w:val="24"/>
          <w:szCs w:val="24"/>
        </w:rPr>
        <w:t>P</w:t>
      </w:r>
      <w:r w:rsidR="00237F1F" w:rsidRPr="006E5888">
        <w:rPr>
          <w:rFonts w:ascii="Times New Roman" w:hAnsi="Times New Roman" w:cs="Times New Roman"/>
          <w:b/>
          <w:color w:val="auto"/>
          <w:sz w:val="24"/>
          <w:szCs w:val="24"/>
        </w:rPr>
        <w:t>R</w:t>
      </w:r>
      <w:r w:rsidR="007C60D9" w:rsidRPr="006E5888">
        <w:rPr>
          <w:rFonts w:ascii="Times New Roman" w:hAnsi="Times New Roman" w:cs="Times New Roman"/>
          <w:b/>
          <w:color w:val="auto"/>
          <w:sz w:val="24"/>
          <w:szCs w:val="24"/>
        </w:rPr>
        <w:t>OCESS</w:t>
      </w:r>
      <w:bookmarkEnd w:id="1"/>
    </w:p>
    <w:p w:rsidR="007A37A5" w:rsidRPr="006E5888" w:rsidRDefault="00837C8B" w:rsidP="00895B29">
      <w:pPr>
        <w:spacing w:after="120"/>
        <w:ind w:firstLine="709"/>
        <w:jc w:val="both"/>
      </w:pPr>
      <w:r w:rsidRPr="006E5888">
        <w:t xml:space="preserve">Ministrijas vairākkārt ir norādījušas, ka budžeta izdevumi </w:t>
      </w:r>
      <w:r w:rsidR="00472162" w:rsidRPr="006E5888">
        <w:t xml:space="preserve">nesasniedz </w:t>
      </w:r>
      <w:proofErr w:type="spellStart"/>
      <w:r w:rsidR="00472162" w:rsidRPr="006E5888">
        <w:t>pirmskrīzes</w:t>
      </w:r>
      <w:proofErr w:type="spellEnd"/>
      <w:r w:rsidR="00472162" w:rsidRPr="006E5888">
        <w:t xml:space="preserve"> jeb 2008.gada līmeni. Kaut arī 2016.gada valsts </w:t>
      </w:r>
      <w:r w:rsidR="00564058" w:rsidRPr="006E5888">
        <w:t xml:space="preserve">konsolidētā budžeta </w:t>
      </w:r>
      <w:r w:rsidR="00472162" w:rsidRPr="006E5888">
        <w:t>i</w:t>
      </w:r>
      <w:r w:rsidR="00BD6B07" w:rsidRPr="006E5888">
        <w:t xml:space="preserve">zdevumi, salīdzinot ar 2008.gadu, </w:t>
      </w:r>
      <w:r w:rsidR="00895B29" w:rsidRPr="006E5888">
        <w:t xml:space="preserve">ir pieauguši par </w:t>
      </w:r>
      <w:r w:rsidR="00564058" w:rsidRPr="006E5888">
        <w:t>437,7</w:t>
      </w:r>
      <w:r w:rsidR="00895B29" w:rsidRPr="006E5888">
        <w:t xml:space="preserve"> milj. </w:t>
      </w:r>
      <w:proofErr w:type="spellStart"/>
      <w:r w:rsidR="00895B29" w:rsidRPr="006E5888">
        <w:rPr>
          <w:i/>
        </w:rPr>
        <w:t>euro</w:t>
      </w:r>
      <w:proofErr w:type="spellEnd"/>
      <w:r w:rsidR="00895B29" w:rsidRPr="006E5888">
        <w:t xml:space="preserve">, </w:t>
      </w:r>
      <w:r w:rsidRPr="006E5888">
        <w:t xml:space="preserve">svarīgi ir izprast, ka šo gadu laikā ir būtiski mainījusies izdevumu struktūra (skat. </w:t>
      </w:r>
      <w:r w:rsidR="00BD6B07" w:rsidRPr="006E5888">
        <w:t>t</w:t>
      </w:r>
      <w:r w:rsidR="003020B1" w:rsidRPr="006E5888">
        <w:t>abulu Nr.1</w:t>
      </w:r>
      <w:r w:rsidRPr="006E5888">
        <w:t xml:space="preserve">). </w:t>
      </w:r>
      <w:r w:rsidR="00C23202" w:rsidRPr="006E5888">
        <w:t>P</w:t>
      </w:r>
      <w:r w:rsidRPr="006E5888">
        <w:t xml:space="preserve">amatfunkciju daļas pieaugums, ko tiešā veidā finansē nodokļu maksātāji, veido </w:t>
      </w:r>
      <w:r w:rsidR="00C23202" w:rsidRPr="006E5888">
        <w:t xml:space="preserve">217,1 milj. </w:t>
      </w:r>
      <w:proofErr w:type="spellStart"/>
      <w:r w:rsidR="00C23202" w:rsidRPr="006E5888">
        <w:rPr>
          <w:i/>
        </w:rPr>
        <w:t>euro</w:t>
      </w:r>
      <w:proofErr w:type="spellEnd"/>
      <w:r w:rsidRPr="006E5888">
        <w:t xml:space="preserve">. </w:t>
      </w:r>
      <w:r w:rsidR="002B74B0" w:rsidRPr="006E5888">
        <w:t>L</w:t>
      </w:r>
      <w:r w:rsidRPr="006E5888">
        <w:t xml:space="preserve">ielākoties šos papildu izdevumus kopš 2008.gada ir ietekmējis </w:t>
      </w:r>
      <w:r w:rsidR="002B74B0" w:rsidRPr="006E5888">
        <w:t>pensiju un sociālo pabalstu pieaugums</w:t>
      </w:r>
      <w:r w:rsidRPr="006E5888">
        <w:t xml:space="preserve">. Līdz ar to izdevumi, kas ir attiecināmi uz pamatdarbību, attiecībā pret 2008.gadu joprojām ir par </w:t>
      </w:r>
      <w:r w:rsidR="001C32A1" w:rsidRPr="006E5888">
        <w:t>704,3</w:t>
      </w:r>
      <w:r w:rsidRPr="006E5888">
        <w:t xml:space="preserve"> milj. </w:t>
      </w:r>
      <w:proofErr w:type="spellStart"/>
      <w:r w:rsidRPr="006E5888">
        <w:rPr>
          <w:i/>
        </w:rPr>
        <w:t>euro</w:t>
      </w:r>
      <w:proofErr w:type="spellEnd"/>
      <w:r w:rsidRPr="006E5888">
        <w:t xml:space="preserve"> mazāki.</w:t>
      </w:r>
    </w:p>
    <w:p w:rsidR="00895B29" w:rsidRPr="006E5888" w:rsidRDefault="00895B29" w:rsidP="00895B29">
      <w:pPr>
        <w:spacing w:after="120"/>
        <w:jc w:val="right"/>
      </w:pPr>
      <w:r w:rsidRPr="006E5888">
        <w:t>Tabula Nr.1</w:t>
      </w:r>
    </w:p>
    <w:p w:rsidR="00895B29" w:rsidRPr="006E5888" w:rsidRDefault="00895B29" w:rsidP="00E2441B">
      <w:pPr>
        <w:spacing w:after="120"/>
        <w:jc w:val="center"/>
        <w:rPr>
          <w:i/>
          <w:szCs w:val="24"/>
        </w:rPr>
      </w:pPr>
      <w:r w:rsidRPr="006E5888">
        <w:rPr>
          <w:szCs w:val="24"/>
        </w:rPr>
        <w:t xml:space="preserve">Būtiskākās izmaiņas valsts </w:t>
      </w:r>
      <w:r w:rsidR="00564058" w:rsidRPr="006E5888">
        <w:rPr>
          <w:szCs w:val="24"/>
        </w:rPr>
        <w:t>konsolidētajā budžetā</w:t>
      </w:r>
      <w:r w:rsidRPr="006E5888">
        <w:rPr>
          <w:szCs w:val="24"/>
        </w:rPr>
        <w:t xml:space="preserve"> 2016.gadā, salīdzinot ar 2008.gadu, milj. </w:t>
      </w:r>
      <w:proofErr w:type="spellStart"/>
      <w:r w:rsidRPr="006E5888">
        <w:rPr>
          <w:i/>
          <w:szCs w:val="24"/>
        </w:rPr>
        <w:t>euro</w:t>
      </w:r>
      <w:proofErr w:type="spellEnd"/>
    </w:p>
    <w:tbl>
      <w:tblPr>
        <w:tblStyle w:val="TableGrid"/>
        <w:tblW w:w="0" w:type="auto"/>
        <w:tblLook w:val="04A0" w:firstRow="1" w:lastRow="0" w:firstColumn="1" w:lastColumn="0" w:noHBand="0" w:noVBand="1"/>
      </w:tblPr>
      <w:tblGrid>
        <w:gridCol w:w="6374"/>
        <w:gridCol w:w="2970"/>
      </w:tblGrid>
      <w:tr w:rsidR="00895B29" w:rsidRPr="006E5888" w:rsidTr="003020B1">
        <w:trPr>
          <w:trHeight w:val="20"/>
          <w:tblHeader/>
        </w:trPr>
        <w:tc>
          <w:tcPr>
            <w:tcW w:w="6374" w:type="dxa"/>
            <w:shd w:val="clear" w:color="auto" w:fill="D9D9D9" w:themeFill="background1" w:themeFillShade="D9"/>
            <w:vAlign w:val="center"/>
          </w:tcPr>
          <w:p w:rsidR="00895B29" w:rsidRPr="006E5888" w:rsidRDefault="00895B29" w:rsidP="00B87FE5">
            <w:pPr>
              <w:jc w:val="center"/>
            </w:pPr>
          </w:p>
        </w:tc>
        <w:tc>
          <w:tcPr>
            <w:tcW w:w="2970" w:type="dxa"/>
            <w:shd w:val="clear" w:color="auto" w:fill="D9D9D9" w:themeFill="background1" w:themeFillShade="D9"/>
            <w:vAlign w:val="center"/>
          </w:tcPr>
          <w:p w:rsidR="00895B29" w:rsidRPr="006E5888" w:rsidRDefault="00E2441B" w:rsidP="00B87FE5">
            <w:pPr>
              <w:jc w:val="center"/>
              <w:rPr>
                <w:b/>
              </w:rPr>
            </w:pPr>
            <w:r w:rsidRPr="006E5888">
              <w:rPr>
                <w:b/>
              </w:rPr>
              <w:t>Izmaiņas 2016.gads pret 2008.gadu</w:t>
            </w:r>
          </w:p>
        </w:tc>
      </w:tr>
      <w:tr w:rsidR="00895B29" w:rsidRPr="006E5888" w:rsidTr="003020B1">
        <w:trPr>
          <w:trHeight w:val="20"/>
        </w:trPr>
        <w:tc>
          <w:tcPr>
            <w:tcW w:w="6374" w:type="dxa"/>
          </w:tcPr>
          <w:p w:rsidR="00895B29" w:rsidRPr="006E5888" w:rsidRDefault="00E2441B" w:rsidP="00B87FE5">
            <w:pPr>
              <w:jc w:val="right"/>
              <w:rPr>
                <w:b/>
              </w:rPr>
            </w:pPr>
            <w:r w:rsidRPr="006E5888">
              <w:rPr>
                <w:b/>
              </w:rPr>
              <w:t>Valsts konsolidētais budžets kopā:</w:t>
            </w:r>
          </w:p>
        </w:tc>
        <w:tc>
          <w:tcPr>
            <w:tcW w:w="2970" w:type="dxa"/>
          </w:tcPr>
          <w:p w:rsidR="00895B29" w:rsidRPr="006E5888" w:rsidRDefault="00E2441B" w:rsidP="00B87FE5">
            <w:pPr>
              <w:jc w:val="center"/>
              <w:rPr>
                <w:b/>
              </w:rPr>
            </w:pPr>
            <w:r w:rsidRPr="006E5888">
              <w:rPr>
                <w:b/>
              </w:rPr>
              <w:t>+437,7</w:t>
            </w:r>
          </w:p>
        </w:tc>
      </w:tr>
      <w:tr w:rsidR="00895B29" w:rsidRPr="006E5888" w:rsidTr="003020B1">
        <w:trPr>
          <w:trHeight w:val="20"/>
        </w:trPr>
        <w:tc>
          <w:tcPr>
            <w:tcW w:w="6374" w:type="dxa"/>
          </w:tcPr>
          <w:p w:rsidR="00895B29" w:rsidRPr="006E5888" w:rsidRDefault="00E2441B" w:rsidP="00B87FE5">
            <w:r w:rsidRPr="006E5888">
              <w:t>Izdevumi pamatfunkcijām</w:t>
            </w:r>
          </w:p>
        </w:tc>
        <w:tc>
          <w:tcPr>
            <w:tcW w:w="2970" w:type="dxa"/>
          </w:tcPr>
          <w:p w:rsidR="00895B29" w:rsidRPr="006E5888" w:rsidRDefault="00E2441B" w:rsidP="00B87FE5">
            <w:pPr>
              <w:jc w:val="center"/>
            </w:pPr>
            <w:r w:rsidRPr="006E5888">
              <w:t>+217,1</w:t>
            </w:r>
          </w:p>
        </w:tc>
      </w:tr>
      <w:tr w:rsidR="00895B29" w:rsidRPr="006E5888" w:rsidTr="003020B1">
        <w:trPr>
          <w:trHeight w:val="20"/>
        </w:trPr>
        <w:tc>
          <w:tcPr>
            <w:tcW w:w="6374" w:type="dxa"/>
          </w:tcPr>
          <w:p w:rsidR="00895B29" w:rsidRPr="006E5888" w:rsidRDefault="00E2441B" w:rsidP="00B87FE5">
            <w:pPr>
              <w:jc w:val="right"/>
              <w:rPr>
                <w:i/>
              </w:rPr>
            </w:pPr>
            <w:r w:rsidRPr="006E5888">
              <w:rPr>
                <w:i/>
              </w:rPr>
              <w:t>tai skaitā</w:t>
            </w:r>
            <w:r w:rsidR="00BD6B07" w:rsidRPr="006E5888">
              <w:rPr>
                <w:i/>
              </w:rPr>
              <w:t>:</w:t>
            </w:r>
          </w:p>
        </w:tc>
        <w:tc>
          <w:tcPr>
            <w:tcW w:w="2970" w:type="dxa"/>
          </w:tcPr>
          <w:p w:rsidR="00895B29" w:rsidRPr="006E5888" w:rsidRDefault="00895B29" w:rsidP="00B87FE5">
            <w:pPr>
              <w:jc w:val="center"/>
            </w:pPr>
          </w:p>
        </w:tc>
      </w:tr>
      <w:tr w:rsidR="00895B29" w:rsidRPr="006E5888" w:rsidTr="003020B1">
        <w:trPr>
          <w:trHeight w:val="20"/>
        </w:trPr>
        <w:tc>
          <w:tcPr>
            <w:tcW w:w="6374" w:type="dxa"/>
          </w:tcPr>
          <w:p w:rsidR="00895B29" w:rsidRPr="006E5888" w:rsidRDefault="00E2441B" w:rsidP="00B87FE5">
            <w:pPr>
              <w:jc w:val="right"/>
              <w:rPr>
                <w:i/>
              </w:rPr>
            </w:pPr>
            <w:r w:rsidRPr="006E5888">
              <w:rPr>
                <w:i/>
              </w:rPr>
              <w:t>Pensijas un sociālie pabalsti</w:t>
            </w:r>
          </w:p>
        </w:tc>
        <w:tc>
          <w:tcPr>
            <w:tcW w:w="2970" w:type="dxa"/>
          </w:tcPr>
          <w:p w:rsidR="00895B29" w:rsidRPr="006E5888" w:rsidRDefault="00E2441B" w:rsidP="00B87FE5">
            <w:pPr>
              <w:jc w:val="center"/>
              <w:rPr>
                <w:i/>
              </w:rPr>
            </w:pPr>
            <w:r w:rsidRPr="006E5888">
              <w:rPr>
                <w:i/>
              </w:rPr>
              <w:t>+682,2</w:t>
            </w:r>
          </w:p>
        </w:tc>
      </w:tr>
      <w:tr w:rsidR="00895B29" w:rsidRPr="006E5888" w:rsidTr="003020B1">
        <w:trPr>
          <w:trHeight w:val="20"/>
        </w:trPr>
        <w:tc>
          <w:tcPr>
            <w:tcW w:w="6374" w:type="dxa"/>
          </w:tcPr>
          <w:p w:rsidR="00895B29" w:rsidRPr="006E5888" w:rsidRDefault="009B4E24" w:rsidP="00B87FE5">
            <w:pPr>
              <w:tabs>
                <w:tab w:val="center" w:pos="3079"/>
                <w:tab w:val="right" w:pos="6158"/>
              </w:tabs>
              <w:rPr>
                <w:i/>
              </w:rPr>
            </w:pPr>
            <w:r w:rsidRPr="006E5888">
              <w:rPr>
                <w:i/>
              </w:rPr>
              <w:tab/>
            </w:r>
            <w:r w:rsidRPr="006E5888">
              <w:rPr>
                <w:i/>
              </w:rPr>
              <w:tab/>
            </w:r>
            <w:r w:rsidR="00E2441B" w:rsidRPr="006E5888">
              <w:rPr>
                <w:i/>
              </w:rPr>
              <w:t>Procentu izdevumi</w:t>
            </w:r>
          </w:p>
        </w:tc>
        <w:tc>
          <w:tcPr>
            <w:tcW w:w="2970" w:type="dxa"/>
          </w:tcPr>
          <w:p w:rsidR="00895B29" w:rsidRPr="006E5888" w:rsidRDefault="00E2441B" w:rsidP="00B87FE5">
            <w:pPr>
              <w:jc w:val="center"/>
              <w:rPr>
                <w:i/>
              </w:rPr>
            </w:pPr>
            <w:r w:rsidRPr="006E5888">
              <w:rPr>
                <w:i/>
              </w:rPr>
              <w:t>+165,1</w:t>
            </w:r>
          </w:p>
        </w:tc>
      </w:tr>
      <w:tr w:rsidR="00E2441B" w:rsidRPr="006E5888" w:rsidTr="003020B1">
        <w:trPr>
          <w:trHeight w:val="20"/>
        </w:trPr>
        <w:tc>
          <w:tcPr>
            <w:tcW w:w="6374" w:type="dxa"/>
          </w:tcPr>
          <w:p w:rsidR="00E2441B" w:rsidRPr="006E5888" w:rsidRDefault="00E2441B" w:rsidP="00B87FE5">
            <w:pPr>
              <w:jc w:val="right"/>
              <w:rPr>
                <w:i/>
              </w:rPr>
            </w:pPr>
            <w:r w:rsidRPr="006E5888">
              <w:rPr>
                <w:i/>
              </w:rPr>
              <w:t>Iemaksas ES budžetā</w:t>
            </w:r>
          </w:p>
        </w:tc>
        <w:tc>
          <w:tcPr>
            <w:tcW w:w="2970" w:type="dxa"/>
          </w:tcPr>
          <w:p w:rsidR="00E2441B" w:rsidRPr="006E5888" w:rsidRDefault="00E2441B" w:rsidP="00B87FE5">
            <w:pPr>
              <w:jc w:val="center"/>
              <w:rPr>
                <w:i/>
              </w:rPr>
            </w:pPr>
            <w:r w:rsidRPr="006E5888">
              <w:rPr>
                <w:i/>
              </w:rPr>
              <w:t>+74,1</w:t>
            </w:r>
          </w:p>
        </w:tc>
      </w:tr>
      <w:tr w:rsidR="00E2441B" w:rsidRPr="006E5888" w:rsidTr="003020B1">
        <w:trPr>
          <w:trHeight w:val="20"/>
        </w:trPr>
        <w:tc>
          <w:tcPr>
            <w:tcW w:w="6374" w:type="dxa"/>
          </w:tcPr>
          <w:p w:rsidR="00E2441B" w:rsidRPr="006E5888" w:rsidRDefault="00E2441B" w:rsidP="00B87FE5">
            <w:pPr>
              <w:jc w:val="right"/>
              <w:rPr>
                <w:i/>
              </w:rPr>
            </w:pPr>
            <w:r w:rsidRPr="006E5888">
              <w:rPr>
                <w:i/>
              </w:rPr>
              <w:t>Pārējā pamatdarbība</w:t>
            </w:r>
          </w:p>
        </w:tc>
        <w:tc>
          <w:tcPr>
            <w:tcW w:w="2970" w:type="dxa"/>
          </w:tcPr>
          <w:p w:rsidR="00E2441B" w:rsidRPr="006E5888" w:rsidRDefault="00E2441B" w:rsidP="00B87FE5">
            <w:pPr>
              <w:jc w:val="center"/>
              <w:rPr>
                <w:i/>
              </w:rPr>
            </w:pPr>
            <w:r w:rsidRPr="006E5888">
              <w:rPr>
                <w:i/>
              </w:rPr>
              <w:t>-704,3</w:t>
            </w:r>
          </w:p>
        </w:tc>
      </w:tr>
      <w:tr w:rsidR="00E2441B" w:rsidRPr="006E5888" w:rsidTr="003020B1">
        <w:trPr>
          <w:trHeight w:val="20"/>
        </w:trPr>
        <w:tc>
          <w:tcPr>
            <w:tcW w:w="6374" w:type="dxa"/>
          </w:tcPr>
          <w:p w:rsidR="00E2441B" w:rsidRPr="006E5888" w:rsidRDefault="00E2441B" w:rsidP="00B87FE5">
            <w:r w:rsidRPr="006E5888">
              <w:t>Izdevumi ES fondu projektiem</w:t>
            </w:r>
          </w:p>
        </w:tc>
        <w:tc>
          <w:tcPr>
            <w:tcW w:w="2970" w:type="dxa"/>
          </w:tcPr>
          <w:p w:rsidR="00E2441B" w:rsidRPr="006E5888" w:rsidRDefault="00E2441B" w:rsidP="00B87FE5">
            <w:pPr>
              <w:jc w:val="center"/>
            </w:pPr>
            <w:r w:rsidRPr="006E5888">
              <w:t>+220,6</w:t>
            </w:r>
          </w:p>
        </w:tc>
      </w:tr>
    </w:tbl>
    <w:p w:rsidR="000E6275" w:rsidRPr="006E5888" w:rsidRDefault="00DA159D" w:rsidP="005562A7">
      <w:pPr>
        <w:spacing w:before="120"/>
        <w:ind w:firstLine="709"/>
        <w:jc w:val="both"/>
      </w:pPr>
      <w:r w:rsidRPr="006E5888">
        <w:t xml:space="preserve">Lai sagatavotu priekšlikumus valsts budžeta izdevumu pārskatīšanai, kā arī novērtētu līdzšinējo līdzekļu izlietojuma efektivitāti </w:t>
      </w:r>
      <w:r w:rsidR="00375601" w:rsidRPr="006E5888">
        <w:t>un caur</w:t>
      </w:r>
      <w:r w:rsidR="000053FB" w:rsidRPr="006E5888">
        <w:t>skatāmību</w:t>
      </w:r>
      <w:r w:rsidR="00F6670C" w:rsidRPr="006E5888">
        <w:t>,</w:t>
      </w:r>
      <w:r w:rsidR="000053FB" w:rsidRPr="006E5888">
        <w:t xml:space="preserve"> tika paredzēti </w:t>
      </w:r>
      <w:r w:rsidR="00375601" w:rsidRPr="006E5888">
        <w:t>šādi</w:t>
      </w:r>
      <w:r w:rsidRPr="006E5888">
        <w:t xml:space="preserve"> izdevumu pārskatīšanas etapi:</w:t>
      </w:r>
    </w:p>
    <w:p w:rsidR="00DA159D" w:rsidRPr="006E5888" w:rsidRDefault="00681871" w:rsidP="00F72914">
      <w:pPr>
        <w:pStyle w:val="ListParagraph"/>
        <w:numPr>
          <w:ilvl w:val="0"/>
          <w:numId w:val="5"/>
        </w:numPr>
        <w:jc w:val="both"/>
      </w:pPr>
      <w:r w:rsidRPr="006E5888">
        <w:t>Darba grupu izveidošana;</w:t>
      </w:r>
    </w:p>
    <w:p w:rsidR="00986025" w:rsidRPr="006E5888" w:rsidRDefault="000053FB" w:rsidP="00F72914">
      <w:pPr>
        <w:pStyle w:val="ListParagraph"/>
        <w:numPr>
          <w:ilvl w:val="0"/>
          <w:numId w:val="5"/>
        </w:numPr>
        <w:jc w:val="both"/>
      </w:pPr>
      <w:r w:rsidRPr="006E5888">
        <w:t>N</w:t>
      </w:r>
      <w:r w:rsidR="00986025" w:rsidRPr="006E5888">
        <w:t>ozares ministriju analīze</w:t>
      </w:r>
      <w:r w:rsidRPr="006E5888">
        <w:t xml:space="preserve"> (veica darba grupa un </w:t>
      </w:r>
      <w:r w:rsidR="003E5360" w:rsidRPr="006E5888">
        <w:t>konkrētā</w:t>
      </w:r>
      <w:r w:rsidRPr="006E5888">
        <w:t xml:space="preserve"> nozares ministrija)</w:t>
      </w:r>
      <w:r w:rsidR="00986025" w:rsidRPr="006E5888">
        <w:t>;</w:t>
      </w:r>
    </w:p>
    <w:p w:rsidR="00986025" w:rsidRPr="006E5888" w:rsidRDefault="00986025" w:rsidP="00F72914">
      <w:pPr>
        <w:pStyle w:val="ListParagraph"/>
        <w:numPr>
          <w:ilvl w:val="0"/>
          <w:numId w:val="5"/>
        </w:numPr>
        <w:jc w:val="both"/>
      </w:pPr>
      <w:r w:rsidRPr="006E5888">
        <w:t>Tikšanās ar nozaru ministrijām;</w:t>
      </w:r>
    </w:p>
    <w:p w:rsidR="00681871" w:rsidRPr="006E5888" w:rsidRDefault="00821161" w:rsidP="00F72914">
      <w:pPr>
        <w:pStyle w:val="ListParagraph"/>
        <w:numPr>
          <w:ilvl w:val="0"/>
          <w:numId w:val="5"/>
        </w:numPr>
        <w:jc w:val="both"/>
      </w:pPr>
      <w:r w:rsidRPr="006E5888">
        <w:t>Informatīvā ziņojuma sagatavošana</w:t>
      </w:r>
      <w:r w:rsidR="00BE397E" w:rsidRPr="006E5888">
        <w:t>.</w:t>
      </w:r>
    </w:p>
    <w:p w:rsidR="00A91B97" w:rsidRPr="006E5888" w:rsidRDefault="00A91B97" w:rsidP="00A91B97">
      <w:pPr>
        <w:spacing w:before="120" w:after="120"/>
        <w:jc w:val="both"/>
        <w:rPr>
          <w:b/>
          <w:u w:val="single"/>
        </w:rPr>
      </w:pPr>
      <w:r w:rsidRPr="006E5888">
        <w:rPr>
          <w:b/>
          <w:u w:val="single"/>
        </w:rPr>
        <w:lastRenderedPageBreak/>
        <w:t>Darba grupu izveidošana</w:t>
      </w:r>
    </w:p>
    <w:p w:rsidR="000053FB" w:rsidRPr="006E5888" w:rsidRDefault="000053FB" w:rsidP="005562A7">
      <w:pPr>
        <w:spacing w:before="120"/>
        <w:jc w:val="both"/>
      </w:pPr>
      <w:r w:rsidRPr="006E5888">
        <w:t>Atbilstoši dotajam uzdevumam ir izve</w:t>
      </w:r>
      <w:r w:rsidR="00751753" w:rsidRPr="006E5888">
        <w:t xml:space="preserve">idotas divas </w:t>
      </w:r>
      <w:proofErr w:type="spellStart"/>
      <w:r w:rsidR="00751753" w:rsidRPr="006E5888">
        <w:t>starpinstitucionālā</w:t>
      </w:r>
      <w:r w:rsidRPr="006E5888">
        <w:t>s</w:t>
      </w:r>
      <w:proofErr w:type="spellEnd"/>
      <w:r w:rsidRPr="006E5888">
        <w:t xml:space="preserve"> darba grupas:</w:t>
      </w:r>
    </w:p>
    <w:p w:rsidR="00370345" w:rsidRPr="006E5888" w:rsidRDefault="00E70A2C" w:rsidP="005562A7">
      <w:pPr>
        <w:pStyle w:val="ListParagraph"/>
        <w:numPr>
          <w:ilvl w:val="0"/>
          <w:numId w:val="29"/>
        </w:numPr>
        <w:spacing w:after="120"/>
        <w:ind w:left="284" w:hanging="284"/>
        <w:jc w:val="both"/>
      </w:pPr>
      <w:r w:rsidRPr="006E5888">
        <w:t xml:space="preserve">ar FM 2016.gada 5.februāra rīkojumu Nr.71 “Par darba grupu” izveidota pastāvīga </w:t>
      </w:r>
      <w:proofErr w:type="spellStart"/>
      <w:r w:rsidRPr="006E5888">
        <w:t>starpinstitucionāl</w:t>
      </w:r>
      <w:r w:rsidR="00751753" w:rsidRPr="006E5888">
        <w:t>ā</w:t>
      </w:r>
      <w:proofErr w:type="spellEnd"/>
      <w:r w:rsidRPr="006E5888">
        <w:t xml:space="preserve"> darba grup</w:t>
      </w:r>
      <w:r w:rsidR="008A0701" w:rsidRPr="006E5888">
        <w:t xml:space="preserve">a, kuras sastāvā ir FM, LB, PKC un </w:t>
      </w:r>
      <w:r w:rsidRPr="006E5888">
        <w:t>VK pārstāvji</w:t>
      </w:r>
      <w:r w:rsidR="008A0701" w:rsidRPr="006E5888">
        <w:t>, kā arī neatkarīgi eksperti</w:t>
      </w:r>
      <w:r w:rsidRPr="006E5888">
        <w:t>. Darba grupas uzdevums ir sagatavot un iesniegt finanšu ministram izdevumu pārskatīšanas rezultātus un priekšlikumus par šo rezultātu izmantošanu vidēja termiņa budžeta ietvara likuma projekta un gadskārtējā valsts budžeta lik</w:t>
      </w:r>
      <w:r w:rsidR="00CD5427" w:rsidRPr="006E5888">
        <w:t>uma projekta izstrādes procesā.</w:t>
      </w:r>
      <w:r w:rsidR="005B22B7" w:rsidRPr="006E5888">
        <w:t xml:space="preserve"> Kopumā notika 2 darba grupas sanāksmes.</w:t>
      </w:r>
    </w:p>
    <w:p w:rsidR="008A0701" w:rsidRPr="006E5888" w:rsidRDefault="00E70A2C" w:rsidP="005F7FDE">
      <w:pPr>
        <w:pStyle w:val="ListParagraph"/>
        <w:numPr>
          <w:ilvl w:val="0"/>
          <w:numId w:val="29"/>
        </w:numPr>
        <w:spacing w:before="120" w:after="60"/>
        <w:ind w:left="284" w:hanging="284"/>
        <w:jc w:val="both"/>
      </w:pPr>
      <w:r w:rsidRPr="006E5888">
        <w:t xml:space="preserve">ar FM 2016.gada 1.marta rīkojumu Nr.103 “Par darba grupu” ir izveidota pastāvīga </w:t>
      </w:r>
      <w:proofErr w:type="spellStart"/>
      <w:r w:rsidRPr="006E5888">
        <w:t>starpinstitucionāl</w:t>
      </w:r>
      <w:r w:rsidR="00751753" w:rsidRPr="006E5888">
        <w:t>ā</w:t>
      </w:r>
      <w:proofErr w:type="spellEnd"/>
      <w:r w:rsidRPr="006E5888">
        <w:t xml:space="preserve"> darba grupa, kuras sastāvā ir FM, LB, PKC, </w:t>
      </w:r>
      <w:r w:rsidR="008A0701" w:rsidRPr="006E5888">
        <w:t>VM</w:t>
      </w:r>
      <w:r w:rsidRPr="006E5888">
        <w:t>, Nacionālā veselības dienesta pārstāvji un neatkarīgi veselības nozares eksperti.</w:t>
      </w:r>
      <w:r w:rsidR="00370345" w:rsidRPr="006E5888">
        <w:t xml:space="preserve"> Kopumā notika 6 darba grupas sanāksmes, kuru ietvaros sagatavots vērtējums par veselības nozari.</w:t>
      </w:r>
      <w:r w:rsidRPr="006E5888">
        <w:t xml:space="preserve"> </w:t>
      </w:r>
      <w:r w:rsidR="005A5DD3" w:rsidRPr="006E5888">
        <w:t xml:space="preserve"> </w:t>
      </w:r>
    </w:p>
    <w:p w:rsidR="00370345" w:rsidRPr="006E5888" w:rsidRDefault="00370345" w:rsidP="005F7FDE">
      <w:pPr>
        <w:spacing w:before="60"/>
        <w:ind w:firstLine="709"/>
        <w:jc w:val="both"/>
      </w:pPr>
      <w:r w:rsidRPr="006E5888">
        <w:t>Kopumā ar nozaru ministrijām</w:t>
      </w:r>
      <w:r w:rsidR="00751753" w:rsidRPr="006E5888">
        <w:t xml:space="preserve"> </w:t>
      </w:r>
      <w:r w:rsidRPr="006E5888">
        <w:t>atbilstoši tabu</w:t>
      </w:r>
      <w:r w:rsidR="00751753" w:rsidRPr="006E5888">
        <w:t>lā Nr.2 sniegtajai informācijai</w:t>
      </w:r>
      <w:r w:rsidRPr="006E5888">
        <w:t xml:space="preserve"> tika organizētas 19 tikšanās.</w:t>
      </w:r>
    </w:p>
    <w:p w:rsidR="00682619" w:rsidRPr="006E5888" w:rsidRDefault="00682619" w:rsidP="00682619">
      <w:pPr>
        <w:spacing w:before="120" w:after="120"/>
        <w:jc w:val="both"/>
        <w:rPr>
          <w:b/>
          <w:u w:val="single"/>
        </w:rPr>
      </w:pPr>
      <w:r w:rsidRPr="006E5888">
        <w:rPr>
          <w:b/>
          <w:u w:val="single"/>
        </w:rPr>
        <w:t>Sarunas ar nozaru ministrijām</w:t>
      </w:r>
    </w:p>
    <w:p w:rsidR="00A9613D" w:rsidRPr="006E5888" w:rsidRDefault="00FC6C0B" w:rsidP="003D28CA">
      <w:pPr>
        <w:spacing w:before="120"/>
        <w:ind w:firstLine="720"/>
        <w:jc w:val="both"/>
      </w:pPr>
      <w:r w:rsidRPr="006E5888">
        <w:t xml:space="preserve">Viens no pamata priekšnosacījumiem uzsākot izdevumu pārskatīšanas procesu bija cieša sadarbība </w:t>
      </w:r>
      <w:r w:rsidR="00EF76CD" w:rsidRPr="006E5888">
        <w:t xml:space="preserve">ar nozaru ministrijām. </w:t>
      </w:r>
      <w:r w:rsidR="007E541D" w:rsidRPr="006E5888">
        <w:t xml:space="preserve">FM </w:t>
      </w:r>
      <w:r w:rsidR="00EF76CD" w:rsidRPr="006E5888">
        <w:t>organizēja</w:t>
      </w:r>
      <w:r w:rsidR="007E541D" w:rsidRPr="006E5888">
        <w:t xml:space="preserve"> </w:t>
      </w:r>
      <w:r w:rsidR="00B118DC" w:rsidRPr="006E5888">
        <w:t xml:space="preserve">darba grupas </w:t>
      </w:r>
      <w:r w:rsidR="007E541D" w:rsidRPr="006E5888">
        <w:t xml:space="preserve">tikšanās ar nozaru ministrijām, lai uzsāktu pilnvērtīgu likumā paredzētā deleģējuma ieviešanu. </w:t>
      </w:r>
    </w:p>
    <w:p w:rsidR="007E541D" w:rsidRPr="006E5888" w:rsidRDefault="00A9613D" w:rsidP="00A9613D">
      <w:pPr>
        <w:jc w:val="right"/>
      </w:pPr>
      <w:r w:rsidRPr="006E5888">
        <w:t>Tabula. Nr.</w:t>
      </w:r>
      <w:r w:rsidR="004544DF" w:rsidRPr="006E5888">
        <w:t>2</w:t>
      </w:r>
    </w:p>
    <w:p w:rsidR="00A9613D" w:rsidRPr="006E5888" w:rsidRDefault="00395DC0" w:rsidP="00CC1C3F">
      <w:pPr>
        <w:spacing w:after="120"/>
        <w:jc w:val="center"/>
      </w:pPr>
      <w:r w:rsidRPr="006E5888">
        <w:t>Tikšanos</w:t>
      </w:r>
      <w:r w:rsidR="00CC1C3F" w:rsidRPr="006E5888">
        <w:t xml:space="preserve"> ar nozares ministrijām grafiks</w:t>
      </w:r>
    </w:p>
    <w:tbl>
      <w:tblPr>
        <w:tblStyle w:val="TableGrid"/>
        <w:tblW w:w="6662" w:type="dxa"/>
        <w:tblInd w:w="1555" w:type="dxa"/>
        <w:tblLook w:val="0420" w:firstRow="1" w:lastRow="0" w:firstColumn="0" w:lastColumn="0" w:noHBand="0" w:noVBand="1"/>
      </w:tblPr>
      <w:tblGrid>
        <w:gridCol w:w="3685"/>
        <w:gridCol w:w="2977"/>
      </w:tblGrid>
      <w:tr w:rsidR="00CC1C3F" w:rsidRPr="006E5888" w:rsidTr="002F6B66">
        <w:trPr>
          <w:trHeight w:val="20"/>
          <w:tblHeader/>
        </w:trPr>
        <w:tc>
          <w:tcPr>
            <w:tcW w:w="3685" w:type="dxa"/>
            <w:shd w:val="clear" w:color="auto" w:fill="D9D9D9" w:themeFill="background1" w:themeFillShade="D9"/>
            <w:vAlign w:val="center"/>
            <w:hideMark/>
          </w:tcPr>
          <w:p w:rsidR="00CC1C3F" w:rsidRPr="006E5888" w:rsidRDefault="00CC1C3F" w:rsidP="002F6B66">
            <w:pPr>
              <w:tabs>
                <w:tab w:val="left" w:pos="537"/>
              </w:tabs>
              <w:jc w:val="center"/>
              <w:rPr>
                <w:b/>
                <w:szCs w:val="24"/>
              </w:rPr>
            </w:pPr>
            <w:r w:rsidRPr="006E5888">
              <w:rPr>
                <w:b/>
                <w:bCs/>
                <w:szCs w:val="24"/>
              </w:rPr>
              <w:t>Ministrija</w:t>
            </w:r>
          </w:p>
        </w:tc>
        <w:tc>
          <w:tcPr>
            <w:tcW w:w="2977" w:type="dxa"/>
            <w:shd w:val="clear" w:color="auto" w:fill="D9D9D9" w:themeFill="background1" w:themeFillShade="D9"/>
            <w:vAlign w:val="center"/>
            <w:hideMark/>
          </w:tcPr>
          <w:p w:rsidR="00CC1C3F" w:rsidRPr="006E5888" w:rsidRDefault="00CC1C3F" w:rsidP="002F6B66">
            <w:pPr>
              <w:tabs>
                <w:tab w:val="left" w:pos="537"/>
              </w:tabs>
              <w:jc w:val="center"/>
              <w:rPr>
                <w:b/>
                <w:szCs w:val="24"/>
              </w:rPr>
            </w:pPr>
            <w:r w:rsidRPr="006E5888">
              <w:rPr>
                <w:b/>
                <w:bCs/>
                <w:szCs w:val="24"/>
              </w:rPr>
              <w:t>Tikšanās laiks</w:t>
            </w:r>
          </w:p>
        </w:tc>
      </w:tr>
      <w:tr w:rsidR="00CC1C3F" w:rsidRPr="006E5888" w:rsidTr="002F6B66">
        <w:trPr>
          <w:trHeight w:val="20"/>
        </w:trPr>
        <w:tc>
          <w:tcPr>
            <w:tcW w:w="3685" w:type="dxa"/>
            <w:hideMark/>
          </w:tcPr>
          <w:p w:rsidR="00CC1C3F" w:rsidRPr="006E5888" w:rsidRDefault="00980C95" w:rsidP="002F6B66">
            <w:pPr>
              <w:tabs>
                <w:tab w:val="left" w:pos="537"/>
              </w:tabs>
              <w:jc w:val="center"/>
              <w:rPr>
                <w:szCs w:val="24"/>
              </w:rPr>
            </w:pPr>
            <w:r w:rsidRPr="006E5888">
              <w:rPr>
                <w:szCs w:val="24"/>
              </w:rPr>
              <w:t>ZM</w:t>
            </w:r>
          </w:p>
        </w:tc>
        <w:tc>
          <w:tcPr>
            <w:tcW w:w="2977" w:type="dxa"/>
            <w:hideMark/>
          </w:tcPr>
          <w:p w:rsidR="00CC1C3F" w:rsidRPr="006E5888" w:rsidRDefault="00CC1C3F" w:rsidP="002F6B66">
            <w:pPr>
              <w:tabs>
                <w:tab w:val="left" w:pos="537"/>
              </w:tabs>
              <w:jc w:val="center"/>
              <w:rPr>
                <w:szCs w:val="24"/>
              </w:rPr>
            </w:pPr>
            <w:r w:rsidRPr="006E5888">
              <w:rPr>
                <w:szCs w:val="24"/>
              </w:rPr>
              <w:t>24.marts</w:t>
            </w:r>
          </w:p>
        </w:tc>
      </w:tr>
      <w:tr w:rsidR="00CC1C3F" w:rsidRPr="006E5888" w:rsidTr="002F6B66">
        <w:trPr>
          <w:trHeight w:val="20"/>
        </w:trPr>
        <w:tc>
          <w:tcPr>
            <w:tcW w:w="3685" w:type="dxa"/>
            <w:hideMark/>
          </w:tcPr>
          <w:p w:rsidR="00CC1C3F" w:rsidRPr="006E5888" w:rsidRDefault="00980C95" w:rsidP="002F6B66">
            <w:pPr>
              <w:tabs>
                <w:tab w:val="left" w:pos="537"/>
              </w:tabs>
              <w:jc w:val="center"/>
              <w:rPr>
                <w:szCs w:val="24"/>
              </w:rPr>
            </w:pPr>
            <w:r w:rsidRPr="006E5888">
              <w:rPr>
                <w:szCs w:val="24"/>
              </w:rPr>
              <w:t>KM</w:t>
            </w:r>
          </w:p>
        </w:tc>
        <w:tc>
          <w:tcPr>
            <w:tcW w:w="2977" w:type="dxa"/>
            <w:hideMark/>
          </w:tcPr>
          <w:p w:rsidR="00CC1C3F" w:rsidRPr="006E5888" w:rsidRDefault="00CC1C3F" w:rsidP="002F6B66">
            <w:pPr>
              <w:tabs>
                <w:tab w:val="left" w:pos="537"/>
              </w:tabs>
              <w:jc w:val="center"/>
              <w:rPr>
                <w:szCs w:val="24"/>
              </w:rPr>
            </w:pPr>
            <w:r w:rsidRPr="006E5888">
              <w:rPr>
                <w:szCs w:val="24"/>
              </w:rPr>
              <w:t>30.marts</w:t>
            </w:r>
          </w:p>
        </w:tc>
      </w:tr>
      <w:tr w:rsidR="00CC1C3F" w:rsidRPr="006E5888" w:rsidTr="002F6B66">
        <w:trPr>
          <w:trHeight w:val="20"/>
        </w:trPr>
        <w:tc>
          <w:tcPr>
            <w:tcW w:w="3685" w:type="dxa"/>
            <w:hideMark/>
          </w:tcPr>
          <w:p w:rsidR="00CC1C3F" w:rsidRPr="006E5888" w:rsidRDefault="00980C95" w:rsidP="002F6B66">
            <w:pPr>
              <w:tabs>
                <w:tab w:val="left" w:pos="537"/>
              </w:tabs>
              <w:jc w:val="center"/>
              <w:rPr>
                <w:szCs w:val="24"/>
              </w:rPr>
            </w:pPr>
            <w:r w:rsidRPr="006E5888">
              <w:rPr>
                <w:szCs w:val="24"/>
              </w:rPr>
              <w:t>TM</w:t>
            </w:r>
          </w:p>
        </w:tc>
        <w:tc>
          <w:tcPr>
            <w:tcW w:w="2977" w:type="dxa"/>
            <w:hideMark/>
          </w:tcPr>
          <w:p w:rsidR="00CC1C3F" w:rsidRPr="006E5888" w:rsidRDefault="00CC1C3F" w:rsidP="002F6B66">
            <w:pPr>
              <w:tabs>
                <w:tab w:val="left" w:pos="537"/>
              </w:tabs>
              <w:jc w:val="center"/>
              <w:rPr>
                <w:szCs w:val="24"/>
              </w:rPr>
            </w:pPr>
            <w:r w:rsidRPr="006E5888">
              <w:rPr>
                <w:szCs w:val="24"/>
              </w:rPr>
              <w:t>30.marts</w:t>
            </w:r>
          </w:p>
        </w:tc>
      </w:tr>
      <w:tr w:rsidR="00CC1C3F" w:rsidRPr="006E5888" w:rsidTr="002F6B66">
        <w:trPr>
          <w:trHeight w:val="20"/>
        </w:trPr>
        <w:tc>
          <w:tcPr>
            <w:tcW w:w="3685" w:type="dxa"/>
          </w:tcPr>
          <w:p w:rsidR="00CC1C3F" w:rsidRPr="006E5888" w:rsidRDefault="00980C95" w:rsidP="002F6B66">
            <w:pPr>
              <w:tabs>
                <w:tab w:val="left" w:pos="537"/>
              </w:tabs>
              <w:jc w:val="center"/>
              <w:rPr>
                <w:szCs w:val="24"/>
              </w:rPr>
            </w:pPr>
            <w:r w:rsidRPr="006E5888">
              <w:rPr>
                <w:szCs w:val="24"/>
              </w:rPr>
              <w:t>VARAM</w:t>
            </w:r>
          </w:p>
        </w:tc>
        <w:tc>
          <w:tcPr>
            <w:tcW w:w="2977" w:type="dxa"/>
            <w:hideMark/>
          </w:tcPr>
          <w:p w:rsidR="00CC1C3F" w:rsidRPr="006E5888" w:rsidRDefault="00CC1C3F" w:rsidP="002F6B66">
            <w:pPr>
              <w:tabs>
                <w:tab w:val="left" w:pos="537"/>
              </w:tabs>
              <w:jc w:val="center"/>
              <w:rPr>
                <w:szCs w:val="24"/>
              </w:rPr>
            </w:pPr>
            <w:r w:rsidRPr="006E5888">
              <w:rPr>
                <w:szCs w:val="24"/>
              </w:rPr>
              <w:t>1.aprīlis</w:t>
            </w:r>
          </w:p>
        </w:tc>
      </w:tr>
      <w:tr w:rsidR="00CC1C3F" w:rsidRPr="006E5888" w:rsidTr="002F6B66">
        <w:trPr>
          <w:trHeight w:val="20"/>
        </w:trPr>
        <w:tc>
          <w:tcPr>
            <w:tcW w:w="3685" w:type="dxa"/>
          </w:tcPr>
          <w:p w:rsidR="00CC1C3F" w:rsidRPr="006E5888" w:rsidRDefault="00980C95" w:rsidP="002F6B66">
            <w:pPr>
              <w:tabs>
                <w:tab w:val="left" w:pos="537"/>
              </w:tabs>
              <w:jc w:val="center"/>
              <w:rPr>
                <w:szCs w:val="24"/>
              </w:rPr>
            </w:pPr>
            <w:r w:rsidRPr="006E5888">
              <w:rPr>
                <w:szCs w:val="24"/>
              </w:rPr>
              <w:t>SM</w:t>
            </w:r>
          </w:p>
        </w:tc>
        <w:tc>
          <w:tcPr>
            <w:tcW w:w="2977" w:type="dxa"/>
            <w:hideMark/>
          </w:tcPr>
          <w:p w:rsidR="00CC1C3F" w:rsidRPr="006E5888" w:rsidRDefault="00CC1C3F" w:rsidP="002F6B66">
            <w:pPr>
              <w:tabs>
                <w:tab w:val="left" w:pos="537"/>
              </w:tabs>
              <w:jc w:val="center"/>
              <w:rPr>
                <w:szCs w:val="24"/>
              </w:rPr>
            </w:pPr>
            <w:r w:rsidRPr="006E5888">
              <w:rPr>
                <w:szCs w:val="24"/>
              </w:rPr>
              <w:t>6.aprīlis</w:t>
            </w:r>
          </w:p>
        </w:tc>
      </w:tr>
      <w:tr w:rsidR="00CC1C3F" w:rsidRPr="006E5888" w:rsidTr="002F6B66">
        <w:trPr>
          <w:trHeight w:val="20"/>
        </w:trPr>
        <w:tc>
          <w:tcPr>
            <w:tcW w:w="3685" w:type="dxa"/>
          </w:tcPr>
          <w:p w:rsidR="00CC1C3F" w:rsidRPr="006E5888" w:rsidRDefault="00980C95" w:rsidP="002F6B66">
            <w:pPr>
              <w:tabs>
                <w:tab w:val="left" w:pos="537"/>
              </w:tabs>
              <w:jc w:val="center"/>
              <w:rPr>
                <w:szCs w:val="24"/>
              </w:rPr>
            </w:pPr>
            <w:r w:rsidRPr="006E5888">
              <w:rPr>
                <w:szCs w:val="24"/>
              </w:rPr>
              <w:t>ĀM</w:t>
            </w:r>
          </w:p>
        </w:tc>
        <w:tc>
          <w:tcPr>
            <w:tcW w:w="2977" w:type="dxa"/>
            <w:hideMark/>
          </w:tcPr>
          <w:p w:rsidR="00CC1C3F" w:rsidRPr="006E5888" w:rsidRDefault="00CC1C3F" w:rsidP="002F6B66">
            <w:pPr>
              <w:tabs>
                <w:tab w:val="left" w:pos="537"/>
              </w:tabs>
              <w:jc w:val="center"/>
              <w:rPr>
                <w:szCs w:val="24"/>
              </w:rPr>
            </w:pPr>
            <w:r w:rsidRPr="006E5888">
              <w:rPr>
                <w:szCs w:val="24"/>
              </w:rPr>
              <w:t>7.aprīlis</w:t>
            </w:r>
          </w:p>
        </w:tc>
      </w:tr>
      <w:tr w:rsidR="00CC1C3F" w:rsidRPr="006E5888" w:rsidTr="002F6B66">
        <w:trPr>
          <w:trHeight w:val="20"/>
        </w:trPr>
        <w:tc>
          <w:tcPr>
            <w:tcW w:w="3685" w:type="dxa"/>
          </w:tcPr>
          <w:p w:rsidR="00CC1C3F" w:rsidRPr="006E5888" w:rsidRDefault="00980C95" w:rsidP="002F6B66">
            <w:pPr>
              <w:tabs>
                <w:tab w:val="left" w:pos="537"/>
              </w:tabs>
              <w:jc w:val="center"/>
              <w:rPr>
                <w:szCs w:val="24"/>
              </w:rPr>
            </w:pPr>
            <w:r w:rsidRPr="006E5888">
              <w:rPr>
                <w:szCs w:val="24"/>
              </w:rPr>
              <w:t>EM</w:t>
            </w:r>
          </w:p>
        </w:tc>
        <w:tc>
          <w:tcPr>
            <w:tcW w:w="2977" w:type="dxa"/>
            <w:hideMark/>
          </w:tcPr>
          <w:p w:rsidR="00CC1C3F" w:rsidRPr="006E5888" w:rsidRDefault="00CC1C3F" w:rsidP="002F6B66">
            <w:pPr>
              <w:tabs>
                <w:tab w:val="left" w:pos="537"/>
              </w:tabs>
              <w:jc w:val="center"/>
              <w:rPr>
                <w:szCs w:val="24"/>
              </w:rPr>
            </w:pPr>
            <w:r w:rsidRPr="006E5888">
              <w:rPr>
                <w:szCs w:val="24"/>
              </w:rPr>
              <w:t>7.aprīlis</w:t>
            </w:r>
          </w:p>
        </w:tc>
      </w:tr>
      <w:tr w:rsidR="00CC1C3F" w:rsidRPr="006E5888" w:rsidTr="002F6B66">
        <w:trPr>
          <w:trHeight w:val="20"/>
        </w:trPr>
        <w:tc>
          <w:tcPr>
            <w:tcW w:w="3685" w:type="dxa"/>
          </w:tcPr>
          <w:p w:rsidR="00CC1C3F" w:rsidRPr="006E5888" w:rsidRDefault="00980C95" w:rsidP="002F6B66">
            <w:pPr>
              <w:tabs>
                <w:tab w:val="left" w:pos="537"/>
              </w:tabs>
              <w:jc w:val="center"/>
              <w:rPr>
                <w:szCs w:val="24"/>
              </w:rPr>
            </w:pPr>
            <w:proofErr w:type="spellStart"/>
            <w:r w:rsidRPr="006E5888">
              <w:rPr>
                <w:szCs w:val="24"/>
              </w:rPr>
              <w:t>AiM</w:t>
            </w:r>
            <w:proofErr w:type="spellEnd"/>
          </w:p>
        </w:tc>
        <w:tc>
          <w:tcPr>
            <w:tcW w:w="2977" w:type="dxa"/>
            <w:hideMark/>
          </w:tcPr>
          <w:p w:rsidR="00CC1C3F" w:rsidRPr="006E5888" w:rsidRDefault="00CC1C3F" w:rsidP="002F6B66">
            <w:pPr>
              <w:tabs>
                <w:tab w:val="left" w:pos="537"/>
              </w:tabs>
              <w:jc w:val="center"/>
              <w:rPr>
                <w:szCs w:val="24"/>
              </w:rPr>
            </w:pPr>
            <w:r w:rsidRPr="006E5888">
              <w:rPr>
                <w:szCs w:val="24"/>
              </w:rPr>
              <w:t>8.aprīlis</w:t>
            </w:r>
          </w:p>
        </w:tc>
      </w:tr>
      <w:tr w:rsidR="00CC1C3F" w:rsidRPr="006E5888" w:rsidTr="002F6B66">
        <w:trPr>
          <w:trHeight w:val="20"/>
        </w:trPr>
        <w:tc>
          <w:tcPr>
            <w:tcW w:w="3685" w:type="dxa"/>
          </w:tcPr>
          <w:p w:rsidR="00CC1C3F" w:rsidRPr="006E5888" w:rsidRDefault="00980C95" w:rsidP="002F6B66">
            <w:pPr>
              <w:tabs>
                <w:tab w:val="left" w:pos="537"/>
              </w:tabs>
              <w:jc w:val="center"/>
              <w:rPr>
                <w:szCs w:val="24"/>
              </w:rPr>
            </w:pPr>
            <w:r w:rsidRPr="006E5888">
              <w:rPr>
                <w:szCs w:val="24"/>
              </w:rPr>
              <w:t>LM</w:t>
            </w:r>
          </w:p>
        </w:tc>
        <w:tc>
          <w:tcPr>
            <w:tcW w:w="2977" w:type="dxa"/>
            <w:hideMark/>
          </w:tcPr>
          <w:p w:rsidR="00CC1C3F" w:rsidRPr="006E5888" w:rsidRDefault="00CC1C3F" w:rsidP="002F6B66">
            <w:pPr>
              <w:tabs>
                <w:tab w:val="left" w:pos="537"/>
              </w:tabs>
              <w:jc w:val="center"/>
              <w:rPr>
                <w:szCs w:val="24"/>
              </w:rPr>
            </w:pPr>
            <w:r w:rsidRPr="006E5888">
              <w:rPr>
                <w:szCs w:val="24"/>
              </w:rPr>
              <w:t>8.aprīlis</w:t>
            </w:r>
          </w:p>
        </w:tc>
      </w:tr>
      <w:tr w:rsidR="00CC1C3F" w:rsidRPr="006E5888" w:rsidTr="002F6B66">
        <w:trPr>
          <w:trHeight w:val="20"/>
        </w:trPr>
        <w:tc>
          <w:tcPr>
            <w:tcW w:w="3685" w:type="dxa"/>
          </w:tcPr>
          <w:p w:rsidR="00CC1C3F" w:rsidRPr="006E5888" w:rsidRDefault="00980C95" w:rsidP="002F6B66">
            <w:pPr>
              <w:tabs>
                <w:tab w:val="left" w:pos="537"/>
              </w:tabs>
              <w:jc w:val="center"/>
              <w:rPr>
                <w:szCs w:val="24"/>
              </w:rPr>
            </w:pPr>
            <w:r w:rsidRPr="006E5888">
              <w:rPr>
                <w:szCs w:val="24"/>
              </w:rPr>
              <w:t>FM</w:t>
            </w:r>
          </w:p>
        </w:tc>
        <w:tc>
          <w:tcPr>
            <w:tcW w:w="2977" w:type="dxa"/>
            <w:hideMark/>
          </w:tcPr>
          <w:p w:rsidR="00CC1C3F" w:rsidRPr="006E5888" w:rsidRDefault="00CC1C3F" w:rsidP="002F6B66">
            <w:pPr>
              <w:tabs>
                <w:tab w:val="left" w:pos="537"/>
              </w:tabs>
              <w:jc w:val="center"/>
              <w:rPr>
                <w:szCs w:val="24"/>
              </w:rPr>
            </w:pPr>
            <w:r w:rsidRPr="006E5888">
              <w:rPr>
                <w:szCs w:val="24"/>
              </w:rPr>
              <w:t>12.aprīlis</w:t>
            </w:r>
          </w:p>
        </w:tc>
      </w:tr>
      <w:tr w:rsidR="00CC1C3F" w:rsidRPr="006E5888" w:rsidTr="002F6B66">
        <w:trPr>
          <w:trHeight w:val="20"/>
        </w:trPr>
        <w:tc>
          <w:tcPr>
            <w:tcW w:w="3685" w:type="dxa"/>
            <w:hideMark/>
          </w:tcPr>
          <w:p w:rsidR="00CC1C3F" w:rsidRPr="006E5888" w:rsidRDefault="00980C95" w:rsidP="002F6B66">
            <w:pPr>
              <w:tabs>
                <w:tab w:val="left" w:pos="537"/>
              </w:tabs>
              <w:jc w:val="center"/>
              <w:rPr>
                <w:szCs w:val="24"/>
              </w:rPr>
            </w:pPr>
            <w:r w:rsidRPr="006E5888">
              <w:rPr>
                <w:szCs w:val="24"/>
              </w:rPr>
              <w:t>IZM</w:t>
            </w:r>
          </w:p>
        </w:tc>
        <w:tc>
          <w:tcPr>
            <w:tcW w:w="2977" w:type="dxa"/>
            <w:hideMark/>
          </w:tcPr>
          <w:p w:rsidR="00CC1C3F" w:rsidRPr="006E5888" w:rsidRDefault="00CC1C3F" w:rsidP="002F6B66">
            <w:pPr>
              <w:tabs>
                <w:tab w:val="left" w:pos="537"/>
              </w:tabs>
              <w:jc w:val="center"/>
              <w:rPr>
                <w:szCs w:val="24"/>
              </w:rPr>
            </w:pPr>
            <w:r w:rsidRPr="006E5888">
              <w:rPr>
                <w:szCs w:val="24"/>
              </w:rPr>
              <w:t>13.aprīlis</w:t>
            </w:r>
          </w:p>
        </w:tc>
      </w:tr>
      <w:tr w:rsidR="00CC1C3F" w:rsidRPr="006E5888" w:rsidTr="002F6B66">
        <w:trPr>
          <w:trHeight w:val="20"/>
        </w:trPr>
        <w:tc>
          <w:tcPr>
            <w:tcW w:w="3685" w:type="dxa"/>
          </w:tcPr>
          <w:p w:rsidR="00CC1C3F" w:rsidRPr="006E5888" w:rsidRDefault="00980C95" w:rsidP="002F6B66">
            <w:pPr>
              <w:tabs>
                <w:tab w:val="left" w:pos="537"/>
              </w:tabs>
              <w:jc w:val="center"/>
              <w:rPr>
                <w:szCs w:val="24"/>
              </w:rPr>
            </w:pPr>
            <w:r w:rsidRPr="006E5888">
              <w:rPr>
                <w:szCs w:val="24"/>
              </w:rPr>
              <w:t>IeM</w:t>
            </w:r>
          </w:p>
        </w:tc>
        <w:tc>
          <w:tcPr>
            <w:tcW w:w="2977" w:type="dxa"/>
          </w:tcPr>
          <w:p w:rsidR="00CC1C3F" w:rsidRPr="006E5888" w:rsidRDefault="00CC1C3F" w:rsidP="002F6B66">
            <w:pPr>
              <w:tabs>
                <w:tab w:val="left" w:pos="537"/>
              </w:tabs>
              <w:jc w:val="center"/>
              <w:rPr>
                <w:szCs w:val="24"/>
              </w:rPr>
            </w:pPr>
            <w:r w:rsidRPr="006E5888">
              <w:rPr>
                <w:szCs w:val="24"/>
              </w:rPr>
              <w:t>14.aprīlis</w:t>
            </w:r>
          </w:p>
        </w:tc>
      </w:tr>
      <w:tr w:rsidR="0093550D" w:rsidRPr="006E5888" w:rsidTr="002F6B66">
        <w:trPr>
          <w:trHeight w:val="20"/>
        </w:trPr>
        <w:tc>
          <w:tcPr>
            <w:tcW w:w="3685" w:type="dxa"/>
          </w:tcPr>
          <w:p w:rsidR="0093550D" w:rsidRPr="006E5888" w:rsidRDefault="0093550D" w:rsidP="002F6B66">
            <w:pPr>
              <w:tabs>
                <w:tab w:val="left" w:pos="537"/>
              </w:tabs>
              <w:jc w:val="center"/>
              <w:rPr>
                <w:szCs w:val="24"/>
              </w:rPr>
            </w:pPr>
            <w:r w:rsidRPr="006E5888">
              <w:rPr>
                <w:szCs w:val="24"/>
              </w:rPr>
              <w:t>Horizontālā tikšanās par augstāko izglītību</w:t>
            </w:r>
            <w:r w:rsidR="00E6154B" w:rsidRPr="006E5888">
              <w:rPr>
                <w:szCs w:val="24"/>
              </w:rPr>
              <w:t xml:space="preserve"> (IZM, ZM, KM, VM)</w:t>
            </w:r>
          </w:p>
        </w:tc>
        <w:tc>
          <w:tcPr>
            <w:tcW w:w="2977" w:type="dxa"/>
            <w:vAlign w:val="center"/>
          </w:tcPr>
          <w:p w:rsidR="0093550D" w:rsidRPr="006E5888" w:rsidRDefault="0093550D" w:rsidP="002F6B66">
            <w:pPr>
              <w:tabs>
                <w:tab w:val="left" w:pos="537"/>
              </w:tabs>
              <w:jc w:val="center"/>
              <w:rPr>
                <w:szCs w:val="24"/>
              </w:rPr>
            </w:pPr>
            <w:r w:rsidRPr="006E5888">
              <w:rPr>
                <w:szCs w:val="24"/>
              </w:rPr>
              <w:t>22.aprīlis</w:t>
            </w:r>
          </w:p>
        </w:tc>
      </w:tr>
      <w:tr w:rsidR="00370345" w:rsidRPr="006E5888" w:rsidTr="002F6B66">
        <w:trPr>
          <w:trHeight w:val="20"/>
        </w:trPr>
        <w:tc>
          <w:tcPr>
            <w:tcW w:w="3685" w:type="dxa"/>
            <w:vAlign w:val="center"/>
          </w:tcPr>
          <w:p w:rsidR="00370345" w:rsidRPr="006E5888" w:rsidRDefault="00370345" w:rsidP="002F6B66">
            <w:pPr>
              <w:tabs>
                <w:tab w:val="left" w:pos="537"/>
              </w:tabs>
              <w:jc w:val="center"/>
              <w:rPr>
                <w:szCs w:val="24"/>
              </w:rPr>
            </w:pPr>
            <w:r w:rsidRPr="006E5888">
              <w:rPr>
                <w:szCs w:val="24"/>
              </w:rPr>
              <w:t>VM</w:t>
            </w:r>
          </w:p>
        </w:tc>
        <w:tc>
          <w:tcPr>
            <w:tcW w:w="2977" w:type="dxa"/>
            <w:vAlign w:val="center"/>
          </w:tcPr>
          <w:p w:rsidR="00370345" w:rsidRPr="006E5888" w:rsidRDefault="00370345" w:rsidP="002F6B66">
            <w:pPr>
              <w:tabs>
                <w:tab w:val="left" w:pos="537"/>
              </w:tabs>
              <w:jc w:val="center"/>
              <w:rPr>
                <w:szCs w:val="24"/>
              </w:rPr>
            </w:pPr>
            <w:r w:rsidRPr="006E5888">
              <w:rPr>
                <w:szCs w:val="24"/>
              </w:rPr>
              <w:t>2.marts</w:t>
            </w:r>
          </w:p>
          <w:p w:rsidR="00370345" w:rsidRPr="006E5888" w:rsidRDefault="00370345" w:rsidP="002F6B66">
            <w:pPr>
              <w:tabs>
                <w:tab w:val="left" w:pos="537"/>
              </w:tabs>
              <w:jc w:val="center"/>
              <w:rPr>
                <w:szCs w:val="24"/>
              </w:rPr>
            </w:pPr>
            <w:r w:rsidRPr="006E5888">
              <w:rPr>
                <w:szCs w:val="24"/>
              </w:rPr>
              <w:t>23.marts</w:t>
            </w:r>
          </w:p>
          <w:p w:rsidR="00370345" w:rsidRPr="006E5888" w:rsidRDefault="00370345" w:rsidP="002F6B66">
            <w:pPr>
              <w:tabs>
                <w:tab w:val="left" w:pos="537"/>
              </w:tabs>
              <w:jc w:val="center"/>
              <w:rPr>
                <w:szCs w:val="24"/>
              </w:rPr>
            </w:pPr>
            <w:r w:rsidRPr="006E5888">
              <w:rPr>
                <w:szCs w:val="24"/>
              </w:rPr>
              <w:t>11.aprīlis</w:t>
            </w:r>
          </w:p>
          <w:p w:rsidR="00370345" w:rsidRPr="006E5888" w:rsidRDefault="00370345" w:rsidP="002F6B66">
            <w:pPr>
              <w:tabs>
                <w:tab w:val="left" w:pos="537"/>
              </w:tabs>
              <w:jc w:val="center"/>
              <w:rPr>
                <w:szCs w:val="24"/>
              </w:rPr>
            </w:pPr>
            <w:r w:rsidRPr="006E5888">
              <w:rPr>
                <w:szCs w:val="24"/>
              </w:rPr>
              <w:t>27.aprīlis</w:t>
            </w:r>
          </w:p>
          <w:p w:rsidR="00370345" w:rsidRPr="006E5888" w:rsidRDefault="00370345" w:rsidP="002F6B66">
            <w:pPr>
              <w:tabs>
                <w:tab w:val="left" w:pos="537"/>
              </w:tabs>
              <w:jc w:val="center"/>
              <w:rPr>
                <w:szCs w:val="24"/>
              </w:rPr>
            </w:pPr>
            <w:r w:rsidRPr="006E5888">
              <w:rPr>
                <w:szCs w:val="24"/>
              </w:rPr>
              <w:t>13.maijs</w:t>
            </w:r>
          </w:p>
          <w:p w:rsidR="00370345" w:rsidRPr="006E5888" w:rsidRDefault="00370345" w:rsidP="002F6B66">
            <w:pPr>
              <w:tabs>
                <w:tab w:val="left" w:pos="537"/>
              </w:tabs>
              <w:jc w:val="center"/>
              <w:rPr>
                <w:szCs w:val="24"/>
              </w:rPr>
            </w:pPr>
            <w:r w:rsidRPr="006E5888">
              <w:rPr>
                <w:szCs w:val="24"/>
              </w:rPr>
              <w:t>18.maijs</w:t>
            </w:r>
          </w:p>
        </w:tc>
      </w:tr>
    </w:tbl>
    <w:p w:rsidR="001E20A9" w:rsidRPr="006E5888" w:rsidRDefault="001E20A9" w:rsidP="005562A7">
      <w:pPr>
        <w:spacing w:before="240"/>
        <w:ind w:firstLine="709"/>
        <w:jc w:val="both"/>
        <w:rPr>
          <w:szCs w:val="24"/>
        </w:rPr>
      </w:pPr>
      <w:r w:rsidRPr="006E5888">
        <w:rPr>
          <w:szCs w:val="24"/>
        </w:rPr>
        <w:t xml:space="preserve">Ņemot vērā to, ka finansējuma izlietojums ir </w:t>
      </w:r>
      <w:r w:rsidR="00EA3512" w:rsidRPr="006E5888">
        <w:rPr>
          <w:szCs w:val="24"/>
        </w:rPr>
        <w:t>jāvērtē</w:t>
      </w:r>
      <w:r w:rsidRPr="006E5888">
        <w:rPr>
          <w:szCs w:val="24"/>
        </w:rPr>
        <w:t xml:space="preserve"> nevis aritmētiski, bet gan analītiski, </w:t>
      </w:r>
      <w:r w:rsidR="008A0701" w:rsidRPr="006E5888">
        <w:rPr>
          <w:szCs w:val="24"/>
        </w:rPr>
        <w:t>ministrijām</w:t>
      </w:r>
      <w:r w:rsidR="00F20B4A" w:rsidRPr="006E5888">
        <w:rPr>
          <w:szCs w:val="24"/>
        </w:rPr>
        <w:t>,</w:t>
      </w:r>
      <w:r w:rsidR="008A0701" w:rsidRPr="006E5888">
        <w:rPr>
          <w:szCs w:val="24"/>
        </w:rPr>
        <w:t xml:space="preserve"> tiekoties ar </w:t>
      </w:r>
      <w:r w:rsidR="003020B1" w:rsidRPr="006E5888">
        <w:rPr>
          <w:szCs w:val="24"/>
        </w:rPr>
        <w:t>darba grupas pārstāvjiem</w:t>
      </w:r>
      <w:r w:rsidR="00F20B4A" w:rsidRPr="006E5888">
        <w:rPr>
          <w:szCs w:val="24"/>
        </w:rPr>
        <w:t>,</w:t>
      </w:r>
      <w:r w:rsidR="00EA3512" w:rsidRPr="006E5888">
        <w:rPr>
          <w:szCs w:val="24"/>
        </w:rPr>
        <w:t xml:space="preserve"> </w:t>
      </w:r>
      <w:r w:rsidR="008A0701" w:rsidRPr="006E5888">
        <w:rPr>
          <w:szCs w:val="24"/>
        </w:rPr>
        <w:t>tika noteikti šādi uzdevumi</w:t>
      </w:r>
      <w:r w:rsidRPr="006E5888">
        <w:rPr>
          <w:szCs w:val="24"/>
        </w:rPr>
        <w:t>:</w:t>
      </w:r>
    </w:p>
    <w:p w:rsidR="001E20A9" w:rsidRPr="006E5888" w:rsidRDefault="001E20A9" w:rsidP="005562A7">
      <w:pPr>
        <w:pStyle w:val="ListParagraph"/>
        <w:numPr>
          <w:ilvl w:val="0"/>
          <w:numId w:val="6"/>
        </w:numPr>
        <w:ind w:left="1066" w:hanging="357"/>
        <w:jc w:val="both"/>
        <w:rPr>
          <w:szCs w:val="24"/>
        </w:rPr>
      </w:pPr>
      <w:r w:rsidRPr="006E5888">
        <w:rPr>
          <w:szCs w:val="24"/>
        </w:rPr>
        <w:t xml:space="preserve">Izstrādāt nozares rezultatīvo rādītāju </w:t>
      </w:r>
      <w:r w:rsidRPr="006E5888">
        <w:rPr>
          <w:b/>
          <w:i/>
          <w:szCs w:val="24"/>
        </w:rPr>
        <w:t>mērinstrumentu paneli</w:t>
      </w:r>
      <w:r w:rsidRPr="006E5888">
        <w:rPr>
          <w:szCs w:val="24"/>
        </w:rPr>
        <w:t xml:space="preserve">, kas ministrijas ieskatā vislabāk nodokļu maksātājiem raksturotu nozaru politiku efektus un tiešos darbības rezultātus. Mērinstrumentu paneli veido atsevišķi </w:t>
      </w:r>
      <w:r w:rsidR="00D55709" w:rsidRPr="006E5888">
        <w:rPr>
          <w:szCs w:val="24"/>
        </w:rPr>
        <w:t>par katru ministrijas kompetencē esošu</w:t>
      </w:r>
      <w:r w:rsidRPr="006E5888">
        <w:rPr>
          <w:szCs w:val="24"/>
        </w:rPr>
        <w:t xml:space="preserve"> </w:t>
      </w:r>
      <w:r w:rsidRPr="006E5888">
        <w:rPr>
          <w:b/>
          <w:i/>
          <w:szCs w:val="24"/>
        </w:rPr>
        <w:t>noza</w:t>
      </w:r>
      <w:r w:rsidR="00D55709" w:rsidRPr="006E5888">
        <w:rPr>
          <w:b/>
          <w:i/>
          <w:szCs w:val="24"/>
        </w:rPr>
        <w:t>ri/jomu</w:t>
      </w:r>
      <w:r w:rsidRPr="006E5888">
        <w:rPr>
          <w:szCs w:val="24"/>
        </w:rPr>
        <w:t>, un tas sastāv no šādiem elementiem, t.sk. arī skaitliskās vērtības:</w:t>
      </w:r>
    </w:p>
    <w:p w:rsidR="004B531F" w:rsidRPr="006E5888" w:rsidRDefault="001E20A9" w:rsidP="00F72914">
      <w:pPr>
        <w:pStyle w:val="ListParagraph"/>
        <w:numPr>
          <w:ilvl w:val="0"/>
          <w:numId w:val="7"/>
        </w:numPr>
        <w:ind w:left="1701" w:hanging="283"/>
        <w:jc w:val="both"/>
        <w:rPr>
          <w:szCs w:val="24"/>
        </w:rPr>
      </w:pPr>
      <w:r w:rsidRPr="006E5888">
        <w:rPr>
          <w:szCs w:val="24"/>
        </w:rPr>
        <w:lastRenderedPageBreak/>
        <w:t>Mērķis (kuru sasniedzot tiktu atrisināta galvenā nozares problemātika)</w:t>
      </w:r>
    </w:p>
    <w:p w:rsidR="004B531F" w:rsidRPr="006E5888" w:rsidRDefault="001E20A9" w:rsidP="00F72914">
      <w:pPr>
        <w:pStyle w:val="ListParagraph"/>
        <w:numPr>
          <w:ilvl w:val="0"/>
          <w:numId w:val="7"/>
        </w:numPr>
        <w:ind w:left="1701" w:hanging="283"/>
        <w:jc w:val="both"/>
        <w:rPr>
          <w:szCs w:val="24"/>
        </w:rPr>
      </w:pPr>
      <w:r w:rsidRPr="006E5888">
        <w:rPr>
          <w:szCs w:val="24"/>
        </w:rPr>
        <w:t>Visbūtiskākie nozaru politikas rezultāti (</w:t>
      </w:r>
      <w:proofErr w:type="spellStart"/>
      <w:r w:rsidRPr="006E5888">
        <w:rPr>
          <w:i/>
          <w:szCs w:val="24"/>
        </w:rPr>
        <w:t>Outcome</w:t>
      </w:r>
      <w:proofErr w:type="spellEnd"/>
      <w:r w:rsidRPr="006E5888">
        <w:rPr>
          <w:szCs w:val="24"/>
        </w:rPr>
        <w:t>)</w:t>
      </w:r>
    </w:p>
    <w:p w:rsidR="004B531F" w:rsidRPr="006E5888" w:rsidRDefault="001E20A9" w:rsidP="00F72914">
      <w:pPr>
        <w:pStyle w:val="ListParagraph"/>
        <w:numPr>
          <w:ilvl w:val="0"/>
          <w:numId w:val="7"/>
        </w:numPr>
        <w:ind w:left="1701" w:hanging="283"/>
        <w:jc w:val="both"/>
        <w:rPr>
          <w:szCs w:val="24"/>
        </w:rPr>
      </w:pPr>
      <w:r w:rsidRPr="006E5888">
        <w:rPr>
          <w:szCs w:val="24"/>
        </w:rPr>
        <w:t>Ieguldījumus raksturojošie rādītāji (</w:t>
      </w:r>
      <w:proofErr w:type="spellStart"/>
      <w:r w:rsidRPr="006E5888">
        <w:rPr>
          <w:i/>
          <w:szCs w:val="24"/>
        </w:rPr>
        <w:t>Input</w:t>
      </w:r>
      <w:proofErr w:type="spellEnd"/>
      <w:r w:rsidRPr="006E5888">
        <w:rPr>
          <w:szCs w:val="24"/>
        </w:rPr>
        <w:t>)</w:t>
      </w:r>
    </w:p>
    <w:p w:rsidR="004B531F" w:rsidRPr="006E5888" w:rsidRDefault="00D55709" w:rsidP="00F72914">
      <w:pPr>
        <w:pStyle w:val="ListParagraph"/>
        <w:numPr>
          <w:ilvl w:val="0"/>
          <w:numId w:val="7"/>
        </w:numPr>
        <w:ind w:left="1701" w:hanging="283"/>
        <w:jc w:val="both"/>
        <w:rPr>
          <w:szCs w:val="24"/>
        </w:rPr>
      </w:pPr>
      <w:r w:rsidRPr="006E5888">
        <w:rPr>
          <w:szCs w:val="24"/>
        </w:rPr>
        <w:t>Galvenie</w:t>
      </w:r>
      <w:r w:rsidR="001E20A9" w:rsidRPr="006E5888">
        <w:rPr>
          <w:szCs w:val="24"/>
        </w:rPr>
        <w:t xml:space="preserve"> darbības rezultāti (</w:t>
      </w:r>
      <w:proofErr w:type="spellStart"/>
      <w:r w:rsidR="001E20A9" w:rsidRPr="006E5888">
        <w:rPr>
          <w:i/>
          <w:szCs w:val="24"/>
        </w:rPr>
        <w:t>Output</w:t>
      </w:r>
      <w:proofErr w:type="spellEnd"/>
      <w:r w:rsidR="001E20A9" w:rsidRPr="006E5888">
        <w:rPr>
          <w:szCs w:val="24"/>
        </w:rPr>
        <w:t>)</w:t>
      </w:r>
    </w:p>
    <w:p w:rsidR="001E20A9" w:rsidRPr="006E5888" w:rsidRDefault="001E20A9" w:rsidP="00F72914">
      <w:pPr>
        <w:pStyle w:val="ListParagraph"/>
        <w:numPr>
          <w:ilvl w:val="0"/>
          <w:numId w:val="7"/>
        </w:numPr>
        <w:ind w:left="1701" w:hanging="283"/>
        <w:jc w:val="both"/>
        <w:rPr>
          <w:szCs w:val="24"/>
        </w:rPr>
      </w:pPr>
      <w:r w:rsidRPr="006E5888">
        <w:rPr>
          <w:szCs w:val="24"/>
        </w:rPr>
        <w:t>Nozares nemateriālais novērtējums – kvalitāte, uzticamība u.tml. (viens rādītājs).</w:t>
      </w:r>
    </w:p>
    <w:p w:rsidR="001E20A9" w:rsidRPr="006E5888" w:rsidRDefault="001E20A9" w:rsidP="003D28CA">
      <w:pPr>
        <w:ind w:firstLine="709"/>
        <w:jc w:val="both"/>
        <w:rPr>
          <w:szCs w:val="24"/>
        </w:rPr>
      </w:pPr>
      <w:r w:rsidRPr="006E5888">
        <w:rPr>
          <w:szCs w:val="24"/>
        </w:rPr>
        <w:t xml:space="preserve">Līdz ar to </w:t>
      </w:r>
      <w:r w:rsidR="00EA3512" w:rsidRPr="006E5888">
        <w:rPr>
          <w:szCs w:val="24"/>
        </w:rPr>
        <w:t xml:space="preserve">kā </w:t>
      </w:r>
      <w:r w:rsidRPr="006E5888">
        <w:rPr>
          <w:szCs w:val="24"/>
        </w:rPr>
        <w:t xml:space="preserve">priekšnosacījums izdevumu pārskatīšanas sistēmas ieviešanai un efektivitātes mērīšanai </w:t>
      </w:r>
      <w:r w:rsidR="00EA3512" w:rsidRPr="006E5888">
        <w:rPr>
          <w:szCs w:val="24"/>
        </w:rPr>
        <w:t>būtu</w:t>
      </w:r>
      <w:r w:rsidRPr="006E5888">
        <w:rPr>
          <w:szCs w:val="24"/>
        </w:rPr>
        <w:t xml:space="preserve"> izveidot nozarēm ieguldījumu un snieguma mērīšanas sistēmu. </w:t>
      </w:r>
    </w:p>
    <w:p w:rsidR="00EA3512" w:rsidRPr="006E5888" w:rsidRDefault="007E4F14" w:rsidP="00F72914">
      <w:pPr>
        <w:pStyle w:val="ListParagraph"/>
        <w:numPr>
          <w:ilvl w:val="0"/>
          <w:numId w:val="6"/>
        </w:numPr>
        <w:tabs>
          <w:tab w:val="left" w:pos="1967"/>
        </w:tabs>
        <w:spacing w:before="120"/>
        <w:ind w:left="1066" w:hanging="357"/>
        <w:jc w:val="both"/>
        <w:rPr>
          <w:szCs w:val="24"/>
        </w:rPr>
      </w:pPr>
      <w:r w:rsidRPr="006E5888">
        <w:rPr>
          <w:b/>
          <w:i/>
          <w:szCs w:val="24"/>
        </w:rPr>
        <w:t>Sagatavot a</w:t>
      </w:r>
      <w:r w:rsidR="00EA3512" w:rsidRPr="006E5888">
        <w:rPr>
          <w:b/>
          <w:i/>
          <w:szCs w:val="24"/>
        </w:rPr>
        <w:t>nalīzi par vienu finansiāli ietilpīgāko</w:t>
      </w:r>
      <w:r w:rsidR="00EA3512" w:rsidRPr="006E5888">
        <w:rPr>
          <w:szCs w:val="24"/>
        </w:rPr>
        <w:t xml:space="preserve"> likuma “Par valsts budžetu 2016.gadam” </w:t>
      </w:r>
      <w:r w:rsidR="00EA3512" w:rsidRPr="006E5888">
        <w:rPr>
          <w:b/>
          <w:i/>
          <w:szCs w:val="24"/>
        </w:rPr>
        <w:t>pamatfunkciju budžeta programmu</w:t>
      </w:r>
      <w:r w:rsidR="00EA3512" w:rsidRPr="006E5888">
        <w:rPr>
          <w:szCs w:val="24"/>
        </w:rPr>
        <w:t>:</w:t>
      </w:r>
    </w:p>
    <w:p w:rsidR="007E4F14" w:rsidRPr="006E5888" w:rsidRDefault="00EA3512" w:rsidP="00032D13">
      <w:pPr>
        <w:pStyle w:val="ListParagraph"/>
        <w:numPr>
          <w:ilvl w:val="0"/>
          <w:numId w:val="8"/>
        </w:numPr>
        <w:tabs>
          <w:tab w:val="left" w:pos="1967"/>
        </w:tabs>
        <w:ind w:left="1701" w:hanging="283"/>
        <w:jc w:val="both"/>
        <w:rPr>
          <w:szCs w:val="24"/>
        </w:rPr>
      </w:pPr>
      <w:r w:rsidRPr="006E5888">
        <w:rPr>
          <w:szCs w:val="24"/>
        </w:rPr>
        <w:t>Kādā mērā pie</w:t>
      </w:r>
      <w:r w:rsidR="00D8467D" w:rsidRPr="006E5888">
        <w:rPr>
          <w:szCs w:val="24"/>
        </w:rPr>
        <w:t>šķirtais finansējums (t.sk.</w:t>
      </w:r>
      <w:r w:rsidRPr="006E5888">
        <w:rPr>
          <w:szCs w:val="24"/>
        </w:rPr>
        <w:t xml:space="preserve"> JPI piešķirtais finansējums) ir veicinājis būtiskāko rezultatīvo rādītāju sasniegšanu?</w:t>
      </w:r>
    </w:p>
    <w:p w:rsidR="007E4F14" w:rsidRPr="006E5888" w:rsidRDefault="00EA3512" w:rsidP="00032D13">
      <w:pPr>
        <w:pStyle w:val="ListParagraph"/>
        <w:numPr>
          <w:ilvl w:val="0"/>
          <w:numId w:val="8"/>
        </w:numPr>
        <w:tabs>
          <w:tab w:val="left" w:pos="1967"/>
        </w:tabs>
        <w:ind w:left="1701" w:hanging="283"/>
        <w:jc w:val="both"/>
        <w:rPr>
          <w:szCs w:val="24"/>
        </w:rPr>
      </w:pPr>
      <w:r w:rsidRPr="006E5888">
        <w:rPr>
          <w:szCs w:val="24"/>
        </w:rPr>
        <w:t xml:space="preserve">Kā pēdējo </w:t>
      </w:r>
      <w:r w:rsidR="00D8467D" w:rsidRPr="006E5888">
        <w:rPr>
          <w:szCs w:val="24"/>
        </w:rPr>
        <w:t>trīs</w:t>
      </w:r>
      <w:r w:rsidRPr="006E5888">
        <w:rPr>
          <w:szCs w:val="24"/>
        </w:rPr>
        <w:t xml:space="preserve"> gadu laikā sasniegtie darbības rezultāti ir sekmējuši programmai izvirzītā mērķa sasniegšanu un vai nav nepieciešamība veikt izmaiņas mērķa/rezultātu formulējumā?</w:t>
      </w:r>
    </w:p>
    <w:p w:rsidR="00661AB0" w:rsidRPr="006E5888" w:rsidRDefault="00EA3512" w:rsidP="00032D13">
      <w:pPr>
        <w:pStyle w:val="ListParagraph"/>
        <w:numPr>
          <w:ilvl w:val="0"/>
          <w:numId w:val="8"/>
        </w:numPr>
        <w:tabs>
          <w:tab w:val="left" w:pos="1967"/>
        </w:tabs>
        <w:spacing w:before="120" w:after="120"/>
        <w:ind w:left="1701" w:hanging="283"/>
        <w:jc w:val="both"/>
        <w:rPr>
          <w:szCs w:val="24"/>
        </w:rPr>
      </w:pPr>
      <w:r w:rsidRPr="006E5888">
        <w:rPr>
          <w:szCs w:val="24"/>
        </w:rPr>
        <w:t xml:space="preserve">Kādā mērā ir sasniegti tie mērķi/rezultāti (vai izpildīti darbi), ko ministrija izvirzīja pēdējo </w:t>
      </w:r>
      <w:r w:rsidR="00D8467D" w:rsidRPr="006E5888">
        <w:rPr>
          <w:szCs w:val="24"/>
        </w:rPr>
        <w:t>trīs</w:t>
      </w:r>
      <w:r w:rsidRPr="006E5888">
        <w:rPr>
          <w:szCs w:val="24"/>
        </w:rPr>
        <w:t xml:space="preserve"> gadu laikā atbalstītajām JPI/neatliekamiem pasākumiem?</w:t>
      </w:r>
    </w:p>
    <w:p w:rsidR="00661AB0" w:rsidRPr="006E5888" w:rsidRDefault="00661AB0" w:rsidP="00661AB0">
      <w:pPr>
        <w:pStyle w:val="ListParagraph"/>
        <w:tabs>
          <w:tab w:val="left" w:pos="1967"/>
        </w:tabs>
        <w:spacing w:before="120" w:after="120"/>
        <w:ind w:left="714"/>
        <w:jc w:val="both"/>
        <w:rPr>
          <w:sz w:val="8"/>
          <w:szCs w:val="8"/>
        </w:rPr>
      </w:pPr>
    </w:p>
    <w:p w:rsidR="007E4F14" w:rsidRPr="006E5888" w:rsidRDefault="007E4F14" w:rsidP="00F72914">
      <w:pPr>
        <w:pStyle w:val="ListParagraph"/>
        <w:numPr>
          <w:ilvl w:val="0"/>
          <w:numId w:val="6"/>
        </w:numPr>
        <w:tabs>
          <w:tab w:val="left" w:pos="2149"/>
        </w:tabs>
        <w:spacing w:before="120"/>
        <w:ind w:left="1066" w:hanging="357"/>
        <w:rPr>
          <w:szCs w:val="24"/>
        </w:rPr>
      </w:pPr>
      <w:r w:rsidRPr="006E5888">
        <w:rPr>
          <w:szCs w:val="24"/>
        </w:rPr>
        <w:t xml:space="preserve">Sagatavot ministrijas </w:t>
      </w:r>
      <w:r w:rsidRPr="006E5888">
        <w:rPr>
          <w:b/>
          <w:i/>
          <w:szCs w:val="24"/>
        </w:rPr>
        <w:t xml:space="preserve">priekšlikumus izdevumu </w:t>
      </w:r>
      <w:proofErr w:type="spellStart"/>
      <w:r w:rsidRPr="006E5888">
        <w:rPr>
          <w:b/>
          <w:i/>
          <w:szCs w:val="24"/>
        </w:rPr>
        <w:t>efektivizācijas</w:t>
      </w:r>
      <w:proofErr w:type="spellEnd"/>
      <w:r w:rsidRPr="006E5888">
        <w:rPr>
          <w:b/>
          <w:i/>
          <w:szCs w:val="24"/>
        </w:rPr>
        <w:t xml:space="preserve"> iespējām</w:t>
      </w:r>
      <w:r w:rsidRPr="006E5888">
        <w:rPr>
          <w:szCs w:val="24"/>
        </w:rPr>
        <w:t>.</w:t>
      </w:r>
    </w:p>
    <w:p w:rsidR="007E4F14" w:rsidRPr="006E5888" w:rsidRDefault="007E4F14" w:rsidP="00682619">
      <w:pPr>
        <w:ind w:firstLine="709"/>
        <w:jc w:val="both"/>
      </w:pPr>
      <w:r w:rsidRPr="006E5888">
        <w:t xml:space="preserve">Nozares ministrijas redzējums izdevumu </w:t>
      </w:r>
      <w:proofErr w:type="spellStart"/>
      <w:r w:rsidRPr="006E5888">
        <w:t>efektivizācijas</w:t>
      </w:r>
      <w:proofErr w:type="spellEnd"/>
      <w:r w:rsidRPr="006E5888">
        <w:t xml:space="preserve"> iespējām, piedāvājot optimizēt funkcijas, veikt strukturālās reformas u.tml., tādējādi efektīvāk izmantojot ministrijai pieejamos budžeta līdzekļus un rodot papildu nepieciešamos finanšu resursus nozares prioritāro </w:t>
      </w:r>
      <w:r w:rsidR="0047388E" w:rsidRPr="006E5888">
        <w:t>jautājumu</w:t>
      </w:r>
      <w:r w:rsidRPr="006E5888">
        <w:t xml:space="preserve"> risināšanai. Priekšlikumi par valsts pārvaldes līmenī horizontālo funkciju vai veicamo darbību izmaiņām, lai izvairītos no nelietderīgām vai resursietilpīgām aktivitātēm, kā rezultātā ministrijas varētu koncentrēt savus resursu svarīgāko nozares jautājumu risināšanai.</w:t>
      </w:r>
    </w:p>
    <w:p w:rsidR="007E4F14" w:rsidRPr="006E5888" w:rsidRDefault="00E43311" w:rsidP="00714F04">
      <w:pPr>
        <w:tabs>
          <w:tab w:val="left" w:pos="537"/>
        </w:tabs>
        <w:ind w:firstLine="709"/>
        <w:jc w:val="both"/>
        <w:rPr>
          <w:szCs w:val="24"/>
        </w:rPr>
      </w:pPr>
      <w:r w:rsidRPr="006E5888">
        <w:rPr>
          <w:szCs w:val="24"/>
        </w:rPr>
        <w:t xml:space="preserve">Sarunās ar ministrijām piedalījās </w:t>
      </w:r>
      <w:r w:rsidR="005A36E6" w:rsidRPr="006E5888">
        <w:rPr>
          <w:szCs w:val="24"/>
        </w:rPr>
        <w:t>darba grupas pārstāvji</w:t>
      </w:r>
      <w:r w:rsidRPr="006E5888">
        <w:rPr>
          <w:szCs w:val="24"/>
        </w:rPr>
        <w:t>, tāpat m</w:t>
      </w:r>
      <w:r w:rsidR="007E4F14" w:rsidRPr="006E5888">
        <w:rPr>
          <w:szCs w:val="24"/>
        </w:rPr>
        <w:t xml:space="preserve">inistriju valsts sekretāri tika aicināti deleģēt sarunām darbiniekus, kas </w:t>
      </w:r>
      <w:r w:rsidR="00A608DB" w:rsidRPr="006E5888">
        <w:rPr>
          <w:szCs w:val="24"/>
        </w:rPr>
        <w:t>ir pilnvaroti</w:t>
      </w:r>
      <w:r w:rsidR="007E4F14" w:rsidRPr="006E5888">
        <w:rPr>
          <w:szCs w:val="24"/>
        </w:rPr>
        <w:t xml:space="preserve"> pārstāvēt ministrijas oficiālo viedokli sanāksmju laikā. </w:t>
      </w:r>
    </w:p>
    <w:p w:rsidR="00661910" w:rsidRPr="006E5888" w:rsidRDefault="00E43311" w:rsidP="00714F04">
      <w:pPr>
        <w:jc w:val="both"/>
        <w:rPr>
          <w:b/>
          <w:i/>
        </w:rPr>
      </w:pPr>
      <w:r w:rsidRPr="006E5888">
        <w:t>Tiekoties ar ministrijām</w:t>
      </w:r>
      <w:r w:rsidR="00A608DB" w:rsidRPr="006E5888">
        <w:t>,</w:t>
      </w:r>
      <w:r w:rsidRPr="006E5888">
        <w:t xml:space="preserve"> tika noteikta šāda </w:t>
      </w:r>
      <w:r w:rsidRPr="006E5888">
        <w:rPr>
          <w:b/>
          <w:i/>
        </w:rPr>
        <w:t>s</w:t>
      </w:r>
      <w:r w:rsidR="00661910" w:rsidRPr="006E5888">
        <w:rPr>
          <w:b/>
          <w:i/>
        </w:rPr>
        <w:t>arunu struktūra:</w:t>
      </w:r>
    </w:p>
    <w:p w:rsidR="00661910" w:rsidRPr="006E5888" w:rsidRDefault="00661910" w:rsidP="00F72914">
      <w:pPr>
        <w:pStyle w:val="ListParagraph"/>
        <w:numPr>
          <w:ilvl w:val="0"/>
          <w:numId w:val="9"/>
        </w:numPr>
        <w:jc w:val="both"/>
      </w:pPr>
      <w:r w:rsidRPr="006E5888">
        <w:t>FM ievada komentārs;</w:t>
      </w:r>
    </w:p>
    <w:p w:rsidR="00661910" w:rsidRPr="006E5888" w:rsidRDefault="00661910" w:rsidP="00F72914">
      <w:pPr>
        <w:pStyle w:val="ListParagraph"/>
        <w:numPr>
          <w:ilvl w:val="0"/>
          <w:numId w:val="9"/>
        </w:numPr>
        <w:jc w:val="both"/>
      </w:pPr>
      <w:r w:rsidRPr="006E5888">
        <w:t>LB nozares makro līmeņa analīze;</w:t>
      </w:r>
    </w:p>
    <w:p w:rsidR="00661910" w:rsidRPr="006E5888" w:rsidRDefault="00661910" w:rsidP="00F72914">
      <w:pPr>
        <w:pStyle w:val="ListParagraph"/>
        <w:numPr>
          <w:ilvl w:val="0"/>
          <w:numId w:val="9"/>
        </w:numPr>
        <w:jc w:val="both"/>
      </w:pPr>
      <w:r w:rsidRPr="006E5888">
        <w:t xml:space="preserve">FM piedāvājums izdevumu pārskatīšanai un konstatētie </w:t>
      </w:r>
      <w:proofErr w:type="spellStart"/>
      <w:r w:rsidRPr="006E5888">
        <w:t>problēmjautājumi</w:t>
      </w:r>
      <w:proofErr w:type="spellEnd"/>
      <w:r w:rsidRPr="006E5888">
        <w:t xml:space="preserve"> budžeta vadībā;</w:t>
      </w:r>
    </w:p>
    <w:p w:rsidR="00661910" w:rsidRPr="006E5888" w:rsidRDefault="00661910" w:rsidP="00F72914">
      <w:pPr>
        <w:pStyle w:val="ListParagraph"/>
        <w:numPr>
          <w:ilvl w:val="0"/>
          <w:numId w:val="9"/>
        </w:numPr>
        <w:jc w:val="both"/>
      </w:pPr>
      <w:r w:rsidRPr="006E5888">
        <w:t>PKC priekšlikumi/analīze par ministrijas integritāti attīstības plānošanas sistēmā;</w:t>
      </w:r>
    </w:p>
    <w:p w:rsidR="00661910" w:rsidRPr="006E5888" w:rsidRDefault="00661910" w:rsidP="00F72914">
      <w:pPr>
        <w:pStyle w:val="ListParagraph"/>
        <w:numPr>
          <w:ilvl w:val="0"/>
          <w:numId w:val="9"/>
        </w:numPr>
        <w:jc w:val="both"/>
      </w:pPr>
      <w:r w:rsidRPr="006E5888">
        <w:t>Nozares ministrijas prezentācija par:</w:t>
      </w:r>
    </w:p>
    <w:p w:rsidR="00661910" w:rsidRPr="006E5888" w:rsidRDefault="00661910" w:rsidP="00F72914">
      <w:pPr>
        <w:pStyle w:val="ListParagraph"/>
        <w:numPr>
          <w:ilvl w:val="2"/>
          <w:numId w:val="9"/>
        </w:numPr>
        <w:ind w:left="1276" w:hanging="283"/>
        <w:jc w:val="both"/>
      </w:pPr>
      <w:r w:rsidRPr="006E5888">
        <w:t>priekšlikumiem rezultatīvo rādītāju “</w:t>
      </w:r>
      <w:r w:rsidRPr="006E5888">
        <w:rPr>
          <w:i/>
        </w:rPr>
        <w:t>mērinstrumentu paneļa</w:t>
      </w:r>
      <w:r w:rsidRPr="006E5888">
        <w:t>” izveidei;</w:t>
      </w:r>
    </w:p>
    <w:p w:rsidR="00661910" w:rsidRPr="006E5888" w:rsidRDefault="00661910" w:rsidP="00F72914">
      <w:pPr>
        <w:pStyle w:val="ListParagraph"/>
        <w:numPr>
          <w:ilvl w:val="2"/>
          <w:numId w:val="9"/>
        </w:numPr>
        <w:ind w:left="1276" w:hanging="283"/>
        <w:jc w:val="both"/>
      </w:pPr>
      <w:r w:rsidRPr="006E5888">
        <w:t>vienas finansiāli ietilpīgākās pamatfunkciju budžeta programmas analīzi no sasniegto rezultātu viedokļa;</w:t>
      </w:r>
    </w:p>
    <w:p w:rsidR="00661910" w:rsidRPr="006E5888" w:rsidRDefault="00661910" w:rsidP="00F72914">
      <w:pPr>
        <w:pStyle w:val="ListParagraph"/>
        <w:numPr>
          <w:ilvl w:val="2"/>
          <w:numId w:val="9"/>
        </w:numPr>
        <w:ind w:left="1276" w:hanging="283"/>
        <w:jc w:val="both"/>
      </w:pPr>
      <w:r w:rsidRPr="006E5888">
        <w:t xml:space="preserve">nozaru ministriju priekšlikumi izdevumu </w:t>
      </w:r>
      <w:proofErr w:type="spellStart"/>
      <w:r w:rsidRPr="006E5888">
        <w:t>efektivizācijas</w:t>
      </w:r>
      <w:proofErr w:type="spellEnd"/>
      <w:r w:rsidRPr="006E5888">
        <w:t xml:space="preserve"> iespējām.</w:t>
      </w:r>
    </w:p>
    <w:p w:rsidR="00791C25" w:rsidRPr="006E5888" w:rsidRDefault="00661910" w:rsidP="005562A7">
      <w:pPr>
        <w:pStyle w:val="ListParagraph"/>
        <w:numPr>
          <w:ilvl w:val="0"/>
          <w:numId w:val="9"/>
        </w:numPr>
        <w:jc w:val="both"/>
      </w:pPr>
      <w:r w:rsidRPr="006E5888">
        <w:t xml:space="preserve">VK priekšlikumi par iespējām ieviest izdevumu un </w:t>
      </w:r>
      <w:proofErr w:type="spellStart"/>
      <w:r w:rsidRPr="006E5888">
        <w:t>atdeves</w:t>
      </w:r>
      <w:proofErr w:type="spellEnd"/>
      <w:r w:rsidRPr="006E5888">
        <w:t>/rezultātu analīzi.</w:t>
      </w:r>
    </w:p>
    <w:p w:rsidR="00CB4C3F" w:rsidRPr="006E5888" w:rsidRDefault="00CB4C3F" w:rsidP="00714F04">
      <w:pPr>
        <w:spacing w:before="120"/>
        <w:jc w:val="right"/>
        <w:rPr>
          <w:szCs w:val="24"/>
        </w:rPr>
      </w:pPr>
      <w:r w:rsidRPr="006E5888">
        <w:rPr>
          <w:szCs w:val="24"/>
        </w:rPr>
        <w:t>Tabula Nr.</w:t>
      </w:r>
      <w:r w:rsidR="004544DF" w:rsidRPr="006E5888">
        <w:rPr>
          <w:szCs w:val="24"/>
        </w:rPr>
        <w:t>3</w:t>
      </w:r>
    </w:p>
    <w:p w:rsidR="003D28CA" w:rsidRPr="006E5888" w:rsidRDefault="005421A9" w:rsidP="003D28CA">
      <w:pPr>
        <w:spacing w:after="120"/>
        <w:jc w:val="center"/>
        <w:rPr>
          <w:szCs w:val="24"/>
        </w:rPr>
      </w:pPr>
      <w:r w:rsidRPr="006E5888">
        <w:rPr>
          <w:szCs w:val="24"/>
        </w:rPr>
        <w:t>Kopsavilkums par</w:t>
      </w:r>
      <w:r w:rsidR="003D28CA" w:rsidRPr="006E5888">
        <w:rPr>
          <w:szCs w:val="24"/>
        </w:rPr>
        <w:t xml:space="preserve"> iesniegto informāciju</w:t>
      </w:r>
    </w:p>
    <w:tbl>
      <w:tblPr>
        <w:tblW w:w="936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2"/>
        <w:gridCol w:w="936"/>
        <w:gridCol w:w="936"/>
        <w:gridCol w:w="947"/>
        <w:gridCol w:w="1923"/>
        <w:gridCol w:w="1586"/>
        <w:gridCol w:w="1671"/>
      </w:tblGrid>
      <w:tr w:rsidR="003332B9" w:rsidRPr="006E5888" w:rsidTr="005562A7">
        <w:trPr>
          <w:trHeight w:val="20"/>
          <w:tblHeader/>
        </w:trPr>
        <w:tc>
          <w:tcPr>
            <w:tcW w:w="1486" w:type="dxa"/>
            <w:vMerge w:val="restart"/>
            <w:shd w:val="clear" w:color="000000" w:fill="D9D9D9"/>
            <w:vAlign w:val="center"/>
            <w:hideMark/>
          </w:tcPr>
          <w:p w:rsidR="008A0701" w:rsidRPr="006E5888" w:rsidRDefault="008A0701" w:rsidP="00B065DC">
            <w:pPr>
              <w:jc w:val="center"/>
              <w:rPr>
                <w:rFonts w:eastAsia="Times New Roman" w:cs="Times New Roman"/>
                <w:b/>
                <w:szCs w:val="24"/>
                <w:lang w:eastAsia="lv-LV"/>
              </w:rPr>
            </w:pPr>
            <w:r w:rsidRPr="006E5888">
              <w:rPr>
                <w:rFonts w:eastAsia="Times New Roman" w:cs="Times New Roman"/>
                <w:b/>
                <w:szCs w:val="24"/>
                <w:lang w:eastAsia="lv-LV"/>
              </w:rPr>
              <w:t>Ministrija</w:t>
            </w:r>
          </w:p>
        </w:tc>
        <w:tc>
          <w:tcPr>
            <w:tcW w:w="902" w:type="dxa"/>
            <w:vMerge w:val="restart"/>
            <w:shd w:val="clear" w:color="000000" w:fill="D9D9D9"/>
            <w:vAlign w:val="center"/>
            <w:hideMark/>
          </w:tcPr>
          <w:p w:rsidR="008A0701" w:rsidRPr="006E5888" w:rsidRDefault="008A0701" w:rsidP="00B065DC">
            <w:pPr>
              <w:jc w:val="center"/>
              <w:rPr>
                <w:rFonts w:eastAsia="Times New Roman" w:cs="Times New Roman"/>
                <w:b/>
                <w:szCs w:val="24"/>
                <w:lang w:eastAsia="lv-LV"/>
              </w:rPr>
            </w:pPr>
            <w:r w:rsidRPr="006E5888">
              <w:rPr>
                <w:rFonts w:eastAsia="Times New Roman" w:cs="Times New Roman"/>
                <w:b/>
                <w:szCs w:val="24"/>
                <w:lang w:eastAsia="lv-LV"/>
              </w:rPr>
              <w:t>LB makro analīze</w:t>
            </w:r>
          </w:p>
        </w:tc>
        <w:tc>
          <w:tcPr>
            <w:tcW w:w="902" w:type="dxa"/>
            <w:vMerge w:val="restart"/>
            <w:shd w:val="clear" w:color="000000" w:fill="D9D9D9"/>
            <w:vAlign w:val="center"/>
            <w:hideMark/>
          </w:tcPr>
          <w:p w:rsidR="008A0701" w:rsidRPr="006E5888" w:rsidRDefault="008A0701" w:rsidP="00B065DC">
            <w:pPr>
              <w:jc w:val="center"/>
              <w:rPr>
                <w:rFonts w:eastAsia="Times New Roman" w:cs="Times New Roman"/>
                <w:b/>
                <w:szCs w:val="24"/>
                <w:lang w:eastAsia="lv-LV"/>
              </w:rPr>
            </w:pPr>
            <w:r w:rsidRPr="006E5888">
              <w:rPr>
                <w:rFonts w:eastAsia="Times New Roman" w:cs="Times New Roman"/>
                <w:b/>
                <w:szCs w:val="24"/>
                <w:lang w:eastAsia="lv-LV"/>
              </w:rPr>
              <w:t>FM analīze</w:t>
            </w:r>
          </w:p>
        </w:tc>
        <w:tc>
          <w:tcPr>
            <w:tcW w:w="960" w:type="dxa"/>
            <w:vMerge w:val="restart"/>
            <w:shd w:val="clear" w:color="000000" w:fill="D9D9D9"/>
            <w:vAlign w:val="center"/>
            <w:hideMark/>
          </w:tcPr>
          <w:p w:rsidR="008A0701" w:rsidRPr="006E5888" w:rsidRDefault="008A0701" w:rsidP="00B065DC">
            <w:pPr>
              <w:jc w:val="center"/>
              <w:rPr>
                <w:rFonts w:eastAsia="Times New Roman" w:cs="Times New Roman"/>
                <w:b/>
                <w:szCs w:val="24"/>
                <w:lang w:eastAsia="lv-LV"/>
              </w:rPr>
            </w:pPr>
            <w:r w:rsidRPr="006E5888">
              <w:rPr>
                <w:rFonts w:eastAsia="Times New Roman" w:cs="Times New Roman"/>
                <w:b/>
                <w:szCs w:val="24"/>
                <w:lang w:eastAsia="lv-LV"/>
              </w:rPr>
              <w:t>PKC analīze</w:t>
            </w:r>
          </w:p>
        </w:tc>
        <w:tc>
          <w:tcPr>
            <w:tcW w:w="5111" w:type="dxa"/>
            <w:gridSpan w:val="3"/>
            <w:shd w:val="clear" w:color="000000" w:fill="D9D9D9"/>
            <w:vAlign w:val="center"/>
            <w:hideMark/>
          </w:tcPr>
          <w:p w:rsidR="008A0701" w:rsidRPr="006E5888" w:rsidRDefault="003332B9" w:rsidP="00B065DC">
            <w:pPr>
              <w:jc w:val="center"/>
              <w:rPr>
                <w:rFonts w:eastAsia="Times New Roman" w:cs="Times New Roman"/>
                <w:b/>
                <w:szCs w:val="24"/>
                <w:lang w:eastAsia="lv-LV"/>
              </w:rPr>
            </w:pPr>
            <w:r w:rsidRPr="006E5888">
              <w:rPr>
                <w:rFonts w:eastAsia="Times New Roman" w:cs="Times New Roman"/>
                <w:b/>
                <w:szCs w:val="24"/>
                <w:lang w:eastAsia="lv-LV"/>
              </w:rPr>
              <w:t>Ministriju iesniegtais</w:t>
            </w:r>
          </w:p>
        </w:tc>
      </w:tr>
      <w:tr w:rsidR="003332B9" w:rsidRPr="006E5888" w:rsidTr="005562A7">
        <w:trPr>
          <w:trHeight w:val="20"/>
          <w:tblHeader/>
        </w:trPr>
        <w:tc>
          <w:tcPr>
            <w:tcW w:w="1486" w:type="dxa"/>
            <w:vMerge/>
            <w:vAlign w:val="center"/>
            <w:hideMark/>
          </w:tcPr>
          <w:p w:rsidR="008A0701" w:rsidRPr="006E5888" w:rsidRDefault="008A0701" w:rsidP="00B065DC">
            <w:pPr>
              <w:rPr>
                <w:rFonts w:eastAsia="Times New Roman" w:cs="Times New Roman"/>
                <w:b/>
                <w:szCs w:val="24"/>
                <w:lang w:eastAsia="lv-LV"/>
              </w:rPr>
            </w:pPr>
          </w:p>
        </w:tc>
        <w:tc>
          <w:tcPr>
            <w:tcW w:w="902" w:type="dxa"/>
            <w:vMerge/>
            <w:vAlign w:val="center"/>
            <w:hideMark/>
          </w:tcPr>
          <w:p w:rsidR="008A0701" w:rsidRPr="006E5888" w:rsidRDefault="008A0701" w:rsidP="00B065DC">
            <w:pPr>
              <w:rPr>
                <w:rFonts w:eastAsia="Times New Roman" w:cs="Times New Roman"/>
                <w:b/>
                <w:szCs w:val="24"/>
                <w:lang w:eastAsia="lv-LV"/>
              </w:rPr>
            </w:pPr>
          </w:p>
        </w:tc>
        <w:tc>
          <w:tcPr>
            <w:tcW w:w="902" w:type="dxa"/>
            <w:vMerge/>
            <w:vAlign w:val="center"/>
            <w:hideMark/>
          </w:tcPr>
          <w:p w:rsidR="008A0701" w:rsidRPr="006E5888" w:rsidRDefault="008A0701" w:rsidP="00B065DC">
            <w:pPr>
              <w:rPr>
                <w:rFonts w:eastAsia="Times New Roman" w:cs="Times New Roman"/>
                <w:b/>
                <w:szCs w:val="24"/>
                <w:lang w:eastAsia="lv-LV"/>
              </w:rPr>
            </w:pPr>
          </w:p>
        </w:tc>
        <w:tc>
          <w:tcPr>
            <w:tcW w:w="960" w:type="dxa"/>
            <w:vMerge/>
            <w:vAlign w:val="center"/>
            <w:hideMark/>
          </w:tcPr>
          <w:p w:rsidR="008A0701" w:rsidRPr="006E5888" w:rsidRDefault="008A0701" w:rsidP="00B065DC">
            <w:pPr>
              <w:rPr>
                <w:rFonts w:eastAsia="Times New Roman" w:cs="Times New Roman"/>
                <w:b/>
                <w:szCs w:val="24"/>
                <w:lang w:eastAsia="lv-LV"/>
              </w:rPr>
            </w:pPr>
          </w:p>
        </w:tc>
        <w:tc>
          <w:tcPr>
            <w:tcW w:w="1763" w:type="dxa"/>
            <w:shd w:val="clear" w:color="000000" w:fill="D9D9D9"/>
            <w:vAlign w:val="center"/>
            <w:hideMark/>
          </w:tcPr>
          <w:p w:rsidR="008A0701" w:rsidRPr="006E5888" w:rsidRDefault="003332B9" w:rsidP="00B065DC">
            <w:pPr>
              <w:jc w:val="center"/>
              <w:rPr>
                <w:rFonts w:eastAsia="Times New Roman" w:cs="Times New Roman"/>
                <w:b/>
                <w:szCs w:val="24"/>
                <w:lang w:eastAsia="lv-LV"/>
              </w:rPr>
            </w:pPr>
            <w:r w:rsidRPr="006E5888">
              <w:rPr>
                <w:rFonts w:eastAsia="Times New Roman" w:cs="Times New Roman"/>
                <w:b/>
                <w:szCs w:val="24"/>
                <w:lang w:eastAsia="lv-LV"/>
              </w:rPr>
              <w:t>Mērinstrumentu panelis</w:t>
            </w:r>
          </w:p>
        </w:tc>
        <w:tc>
          <w:tcPr>
            <w:tcW w:w="1645" w:type="dxa"/>
            <w:shd w:val="clear" w:color="000000" w:fill="D9D9D9"/>
            <w:vAlign w:val="center"/>
            <w:hideMark/>
          </w:tcPr>
          <w:p w:rsidR="008A0701" w:rsidRPr="006E5888" w:rsidRDefault="003332B9" w:rsidP="00B065DC">
            <w:pPr>
              <w:jc w:val="center"/>
              <w:rPr>
                <w:rFonts w:eastAsia="Times New Roman" w:cs="Times New Roman"/>
                <w:b/>
                <w:szCs w:val="24"/>
                <w:lang w:eastAsia="lv-LV"/>
              </w:rPr>
            </w:pPr>
            <w:r w:rsidRPr="006E5888">
              <w:rPr>
                <w:rFonts w:eastAsia="Times New Roman" w:cs="Times New Roman"/>
                <w:b/>
                <w:szCs w:val="24"/>
                <w:lang w:eastAsia="lv-LV"/>
              </w:rPr>
              <w:t>Budžeta programmas analīze</w:t>
            </w:r>
          </w:p>
        </w:tc>
        <w:tc>
          <w:tcPr>
            <w:tcW w:w="1703" w:type="dxa"/>
            <w:shd w:val="clear" w:color="000000" w:fill="D9D9D9"/>
            <w:vAlign w:val="center"/>
            <w:hideMark/>
          </w:tcPr>
          <w:p w:rsidR="008A0701" w:rsidRPr="006E5888" w:rsidRDefault="003332B9" w:rsidP="00B065DC">
            <w:pPr>
              <w:jc w:val="center"/>
              <w:rPr>
                <w:rFonts w:eastAsia="Times New Roman" w:cs="Times New Roman"/>
                <w:b/>
                <w:szCs w:val="24"/>
                <w:lang w:eastAsia="lv-LV"/>
              </w:rPr>
            </w:pPr>
            <w:r w:rsidRPr="006E5888">
              <w:rPr>
                <w:rFonts w:eastAsia="Times New Roman" w:cs="Times New Roman"/>
                <w:b/>
                <w:szCs w:val="24"/>
                <w:lang w:eastAsia="lv-LV"/>
              </w:rPr>
              <w:t xml:space="preserve">Priekšlikumi izdevumu </w:t>
            </w:r>
            <w:proofErr w:type="spellStart"/>
            <w:r w:rsidRPr="006E5888">
              <w:rPr>
                <w:rFonts w:eastAsia="Times New Roman" w:cs="Times New Roman"/>
                <w:b/>
                <w:szCs w:val="24"/>
                <w:lang w:eastAsia="lv-LV"/>
              </w:rPr>
              <w:t>efektivizācijai</w:t>
            </w:r>
            <w:proofErr w:type="spellEnd"/>
          </w:p>
        </w:tc>
      </w:tr>
      <w:tr w:rsidR="003332B9" w:rsidRPr="006E5888" w:rsidTr="00B065DC">
        <w:trPr>
          <w:trHeight w:val="20"/>
        </w:trPr>
        <w:tc>
          <w:tcPr>
            <w:tcW w:w="1486" w:type="dxa"/>
            <w:shd w:val="clear" w:color="auto" w:fill="auto"/>
            <w:vAlign w:val="center"/>
            <w:hideMark/>
          </w:tcPr>
          <w:p w:rsidR="008A0701" w:rsidRPr="006E5888" w:rsidRDefault="008A0701" w:rsidP="00B065DC">
            <w:pPr>
              <w:jc w:val="center"/>
              <w:rPr>
                <w:rFonts w:eastAsia="Times New Roman" w:cs="Times New Roman"/>
                <w:szCs w:val="24"/>
                <w:lang w:eastAsia="lv-LV"/>
              </w:rPr>
            </w:pPr>
            <w:proofErr w:type="spellStart"/>
            <w:r w:rsidRPr="006E5888">
              <w:rPr>
                <w:rFonts w:eastAsia="Times New Roman" w:cs="Times New Roman"/>
                <w:szCs w:val="24"/>
                <w:lang w:eastAsia="lv-LV"/>
              </w:rPr>
              <w:t>AiM</w:t>
            </w:r>
            <w:proofErr w:type="spellEnd"/>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 </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60"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763"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645"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 </w:t>
            </w:r>
          </w:p>
        </w:tc>
        <w:tc>
          <w:tcPr>
            <w:tcW w:w="1703"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 </w:t>
            </w:r>
          </w:p>
        </w:tc>
      </w:tr>
      <w:tr w:rsidR="003332B9" w:rsidRPr="006E5888" w:rsidTr="00B065DC">
        <w:trPr>
          <w:trHeight w:val="20"/>
        </w:trPr>
        <w:tc>
          <w:tcPr>
            <w:tcW w:w="1486"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ĀM</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60"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763"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645"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 </w:t>
            </w:r>
          </w:p>
        </w:tc>
        <w:tc>
          <w:tcPr>
            <w:tcW w:w="1703"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 </w:t>
            </w:r>
            <w:r w:rsidR="003332B9" w:rsidRPr="006E5888">
              <w:rPr>
                <w:rFonts w:eastAsia="Times New Roman" w:cs="Times New Roman"/>
                <w:szCs w:val="24"/>
                <w:lang w:eastAsia="lv-LV"/>
              </w:rPr>
              <w:t>×</w:t>
            </w:r>
          </w:p>
        </w:tc>
      </w:tr>
      <w:tr w:rsidR="003332B9" w:rsidRPr="006E5888" w:rsidTr="00B065DC">
        <w:trPr>
          <w:trHeight w:val="20"/>
        </w:trPr>
        <w:tc>
          <w:tcPr>
            <w:tcW w:w="1486"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EM</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60"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763"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645"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 </w:t>
            </w:r>
            <w:r w:rsidR="00D52470" w:rsidRPr="006E5888">
              <w:rPr>
                <w:rFonts w:eastAsia="Times New Roman" w:cs="Times New Roman"/>
                <w:szCs w:val="24"/>
                <w:lang w:eastAsia="lv-LV"/>
              </w:rPr>
              <w:t>×</w:t>
            </w:r>
          </w:p>
        </w:tc>
        <w:tc>
          <w:tcPr>
            <w:tcW w:w="1703"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 </w:t>
            </w:r>
            <w:r w:rsidR="003332B9" w:rsidRPr="006E5888">
              <w:rPr>
                <w:rFonts w:eastAsia="Times New Roman" w:cs="Times New Roman"/>
                <w:szCs w:val="24"/>
                <w:lang w:eastAsia="lv-LV"/>
              </w:rPr>
              <w:t>×</w:t>
            </w:r>
          </w:p>
        </w:tc>
      </w:tr>
      <w:tr w:rsidR="003332B9" w:rsidRPr="006E5888" w:rsidTr="00B065DC">
        <w:trPr>
          <w:trHeight w:val="20"/>
        </w:trPr>
        <w:tc>
          <w:tcPr>
            <w:tcW w:w="1486"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FM</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60" w:type="dxa"/>
            <w:shd w:val="clear" w:color="auto" w:fill="auto"/>
            <w:vAlign w:val="center"/>
            <w:hideMark/>
          </w:tcPr>
          <w:p w:rsidR="008A0701" w:rsidRPr="006E5888" w:rsidRDefault="003332B9" w:rsidP="00B065DC">
            <w:pPr>
              <w:jc w:val="center"/>
              <w:rPr>
                <w:rFonts w:eastAsia="Times New Roman" w:cs="Times New Roman"/>
                <w:szCs w:val="24"/>
                <w:lang w:eastAsia="lv-LV"/>
              </w:rPr>
            </w:pPr>
            <w:r w:rsidRPr="006E5888">
              <w:rPr>
                <w:rFonts w:eastAsia="Times New Roman" w:cs="Times New Roman"/>
                <w:szCs w:val="24"/>
                <w:lang w:eastAsia="lv-LV"/>
              </w:rPr>
              <w:t>×</w:t>
            </w:r>
            <w:r w:rsidR="008A0701" w:rsidRPr="006E5888">
              <w:rPr>
                <w:rFonts w:eastAsia="Times New Roman" w:cs="Times New Roman"/>
                <w:szCs w:val="24"/>
                <w:lang w:eastAsia="lv-LV"/>
              </w:rPr>
              <w:t> </w:t>
            </w:r>
          </w:p>
        </w:tc>
        <w:tc>
          <w:tcPr>
            <w:tcW w:w="1763"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645"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 </w:t>
            </w:r>
            <w:r w:rsidR="003332B9" w:rsidRPr="006E5888">
              <w:rPr>
                <w:rFonts w:eastAsia="Times New Roman" w:cs="Times New Roman"/>
                <w:szCs w:val="24"/>
                <w:lang w:eastAsia="lv-LV"/>
              </w:rPr>
              <w:t>×</w:t>
            </w:r>
          </w:p>
        </w:tc>
        <w:tc>
          <w:tcPr>
            <w:tcW w:w="1703"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r>
      <w:tr w:rsidR="003332B9" w:rsidRPr="006E5888" w:rsidTr="00B065DC">
        <w:trPr>
          <w:trHeight w:val="20"/>
        </w:trPr>
        <w:tc>
          <w:tcPr>
            <w:tcW w:w="1486"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IeM</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 </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60"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763" w:type="dxa"/>
            <w:shd w:val="clear" w:color="auto" w:fill="auto"/>
            <w:vAlign w:val="center"/>
            <w:hideMark/>
          </w:tcPr>
          <w:p w:rsidR="008A0701" w:rsidRPr="006E5888" w:rsidRDefault="003332B9" w:rsidP="00B065DC">
            <w:pPr>
              <w:jc w:val="center"/>
              <w:rPr>
                <w:rFonts w:eastAsia="Times New Roman" w:cs="Times New Roman"/>
                <w:szCs w:val="24"/>
                <w:lang w:eastAsia="lv-LV"/>
              </w:rPr>
            </w:pPr>
            <w:r w:rsidRPr="006E5888">
              <w:rPr>
                <w:rFonts w:eastAsia="Times New Roman" w:cs="Times New Roman"/>
                <w:szCs w:val="24"/>
                <w:lang w:eastAsia="lv-LV"/>
              </w:rPr>
              <w:t>×</w:t>
            </w:r>
            <w:r w:rsidR="008A0701" w:rsidRPr="006E5888">
              <w:rPr>
                <w:rFonts w:eastAsia="Times New Roman" w:cs="Times New Roman"/>
                <w:szCs w:val="24"/>
                <w:lang w:eastAsia="lv-LV"/>
              </w:rPr>
              <w:t> </w:t>
            </w:r>
          </w:p>
        </w:tc>
        <w:tc>
          <w:tcPr>
            <w:tcW w:w="1645"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 </w:t>
            </w:r>
          </w:p>
        </w:tc>
        <w:tc>
          <w:tcPr>
            <w:tcW w:w="1703"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r>
      <w:tr w:rsidR="003332B9" w:rsidRPr="006E5888" w:rsidTr="00B065DC">
        <w:trPr>
          <w:trHeight w:val="20"/>
        </w:trPr>
        <w:tc>
          <w:tcPr>
            <w:tcW w:w="1486"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lastRenderedPageBreak/>
              <w:t>IZM</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60"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763" w:type="dxa"/>
            <w:shd w:val="clear" w:color="auto" w:fill="auto"/>
            <w:vAlign w:val="center"/>
            <w:hideMark/>
          </w:tcPr>
          <w:p w:rsidR="008A0701" w:rsidRPr="006E5888" w:rsidRDefault="003332B9"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645"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 </w:t>
            </w:r>
          </w:p>
        </w:tc>
        <w:tc>
          <w:tcPr>
            <w:tcW w:w="1703"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r>
      <w:tr w:rsidR="003332B9" w:rsidRPr="006E5888" w:rsidTr="00B065DC">
        <w:trPr>
          <w:trHeight w:val="20"/>
        </w:trPr>
        <w:tc>
          <w:tcPr>
            <w:tcW w:w="1486"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ZM</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60"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763"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 </w:t>
            </w:r>
          </w:p>
        </w:tc>
        <w:tc>
          <w:tcPr>
            <w:tcW w:w="1645"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 </w:t>
            </w:r>
          </w:p>
        </w:tc>
        <w:tc>
          <w:tcPr>
            <w:tcW w:w="1703"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r>
      <w:tr w:rsidR="003332B9" w:rsidRPr="006E5888" w:rsidTr="00B065DC">
        <w:trPr>
          <w:trHeight w:val="20"/>
        </w:trPr>
        <w:tc>
          <w:tcPr>
            <w:tcW w:w="1486"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SM</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60"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763"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645"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703"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r>
      <w:tr w:rsidR="003332B9" w:rsidRPr="006E5888" w:rsidTr="00B065DC">
        <w:trPr>
          <w:trHeight w:val="20"/>
        </w:trPr>
        <w:tc>
          <w:tcPr>
            <w:tcW w:w="1486"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LM</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60"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763"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 </w:t>
            </w:r>
          </w:p>
        </w:tc>
        <w:tc>
          <w:tcPr>
            <w:tcW w:w="1645"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703"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 </w:t>
            </w:r>
          </w:p>
        </w:tc>
      </w:tr>
      <w:tr w:rsidR="003332B9" w:rsidRPr="006E5888" w:rsidTr="00B065DC">
        <w:trPr>
          <w:trHeight w:val="20"/>
        </w:trPr>
        <w:tc>
          <w:tcPr>
            <w:tcW w:w="1486"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TM</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60"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763"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645"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703"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r>
      <w:tr w:rsidR="003332B9" w:rsidRPr="006E5888" w:rsidTr="00B065DC">
        <w:trPr>
          <w:trHeight w:val="20"/>
        </w:trPr>
        <w:tc>
          <w:tcPr>
            <w:tcW w:w="1486"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VARAM</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60"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763"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645"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703"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r>
      <w:tr w:rsidR="003332B9" w:rsidRPr="006E5888" w:rsidTr="00B065DC">
        <w:trPr>
          <w:trHeight w:val="20"/>
        </w:trPr>
        <w:tc>
          <w:tcPr>
            <w:tcW w:w="1486"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KM</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02"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60"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763"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645"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 </w:t>
            </w:r>
          </w:p>
        </w:tc>
        <w:tc>
          <w:tcPr>
            <w:tcW w:w="1703" w:type="dxa"/>
            <w:shd w:val="clear" w:color="auto" w:fill="auto"/>
            <w:vAlign w:val="center"/>
            <w:hideMark/>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w:t>
            </w:r>
          </w:p>
        </w:tc>
      </w:tr>
      <w:tr w:rsidR="003332B9" w:rsidRPr="006E5888" w:rsidTr="00B065DC">
        <w:trPr>
          <w:trHeight w:val="20"/>
        </w:trPr>
        <w:tc>
          <w:tcPr>
            <w:tcW w:w="1486" w:type="dxa"/>
            <w:shd w:val="clear" w:color="auto" w:fill="auto"/>
            <w:vAlign w:val="center"/>
          </w:tcPr>
          <w:p w:rsidR="008A0701" w:rsidRPr="006E5888" w:rsidRDefault="008A0701" w:rsidP="00B065DC">
            <w:pPr>
              <w:jc w:val="center"/>
              <w:rPr>
                <w:rFonts w:eastAsia="Times New Roman" w:cs="Times New Roman"/>
                <w:szCs w:val="24"/>
                <w:lang w:eastAsia="lv-LV"/>
              </w:rPr>
            </w:pPr>
            <w:r w:rsidRPr="006E5888">
              <w:rPr>
                <w:rFonts w:eastAsia="Times New Roman" w:cs="Times New Roman"/>
                <w:szCs w:val="24"/>
                <w:lang w:eastAsia="lv-LV"/>
              </w:rPr>
              <w:t xml:space="preserve">VM </w:t>
            </w:r>
          </w:p>
        </w:tc>
        <w:tc>
          <w:tcPr>
            <w:tcW w:w="902" w:type="dxa"/>
            <w:shd w:val="clear" w:color="auto" w:fill="auto"/>
            <w:vAlign w:val="center"/>
          </w:tcPr>
          <w:p w:rsidR="008A0701" w:rsidRPr="006E5888" w:rsidRDefault="003332B9"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02" w:type="dxa"/>
            <w:shd w:val="clear" w:color="auto" w:fill="auto"/>
            <w:vAlign w:val="center"/>
          </w:tcPr>
          <w:p w:rsidR="008A0701" w:rsidRPr="006E5888" w:rsidRDefault="003332B9"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960" w:type="dxa"/>
            <w:shd w:val="clear" w:color="auto" w:fill="auto"/>
            <w:vAlign w:val="center"/>
          </w:tcPr>
          <w:p w:rsidR="008A0701" w:rsidRPr="006E5888" w:rsidRDefault="00653F38"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763" w:type="dxa"/>
            <w:shd w:val="clear" w:color="auto" w:fill="auto"/>
            <w:vAlign w:val="center"/>
          </w:tcPr>
          <w:p w:rsidR="008A0701" w:rsidRPr="006E5888" w:rsidRDefault="003332B9"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1645" w:type="dxa"/>
            <w:shd w:val="clear" w:color="auto" w:fill="auto"/>
            <w:vAlign w:val="center"/>
          </w:tcPr>
          <w:p w:rsidR="008A0701" w:rsidRPr="006E5888" w:rsidRDefault="008A0701" w:rsidP="00B065DC">
            <w:pPr>
              <w:jc w:val="center"/>
              <w:rPr>
                <w:rFonts w:eastAsia="Times New Roman" w:cs="Times New Roman"/>
                <w:szCs w:val="24"/>
                <w:lang w:eastAsia="lv-LV"/>
              </w:rPr>
            </w:pPr>
          </w:p>
        </w:tc>
        <w:tc>
          <w:tcPr>
            <w:tcW w:w="1703" w:type="dxa"/>
            <w:shd w:val="clear" w:color="auto" w:fill="auto"/>
            <w:vAlign w:val="center"/>
          </w:tcPr>
          <w:p w:rsidR="008A0701" w:rsidRPr="006E5888" w:rsidRDefault="008A0701" w:rsidP="00B065DC">
            <w:pPr>
              <w:jc w:val="center"/>
              <w:rPr>
                <w:rFonts w:eastAsia="Times New Roman" w:cs="Times New Roman"/>
                <w:szCs w:val="24"/>
                <w:lang w:eastAsia="lv-LV"/>
              </w:rPr>
            </w:pPr>
          </w:p>
        </w:tc>
      </w:tr>
    </w:tbl>
    <w:p w:rsidR="00375601" w:rsidRPr="006E5888" w:rsidRDefault="00375601" w:rsidP="007E4F14">
      <w:pPr>
        <w:jc w:val="both"/>
        <w:rPr>
          <w:szCs w:val="24"/>
        </w:rPr>
      </w:pPr>
    </w:p>
    <w:p w:rsidR="003D28CA" w:rsidRPr="006E5888" w:rsidRDefault="004F512A" w:rsidP="00D85BF9">
      <w:pPr>
        <w:ind w:firstLine="720"/>
        <w:jc w:val="both"/>
        <w:rPr>
          <w:szCs w:val="24"/>
        </w:rPr>
      </w:pPr>
      <w:r w:rsidRPr="006E5888">
        <w:rPr>
          <w:szCs w:val="24"/>
        </w:rPr>
        <w:t xml:space="preserve">LB nodrošināja lielākajai daļai no nozaru ministrijām makro analīzi, </w:t>
      </w:r>
      <w:r w:rsidR="00E332C9" w:rsidRPr="006E5888">
        <w:rPr>
          <w:szCs w:val="24"/>
        </w:rPr>
        <w:t xml:space="preserve">sniedzot ieguldījumu izdevumu pārskatīšanas un valdības apstiprināto </w:t>
      </w:r>
      <w:r w:rsidR="00641384" w:rsidRPr="006E5888">
        <w:rPr>
          <w:szCs w:val="24"/>
        </w:rPr>
        <w:t xml:space="preserve">uzdevumu izpildes veicināšanai. Nozares makro analīze </w:t>
      </w:r>
      <w:r w:rsidR="00E332C9" w:rsidRPr="006E5888">
        <w:rPr>
          <w:szCs w:val="24"/>
        </w:rPr>
        <w:t>nodrošin</w:t>
      </w:r>
      <w:r w:rsidR="00641384" w:rsidRPr="006E5888">
        <w:rPr>
          <w:szCs w:val="24"/>
        </w:rPr>
        <w:t>āja</w:t>
      </w:r>
      <w:r w:rsidR="00E332C9" w:rsidRPr="006E5888">
        <w:rPr>
          <w:szCs w:val="24"/>
        </w:rPr>
        <w:t xml:space="preserve"> </w:t>
      </w:r>
      <w:r w:rsidR="00641384" w:rsidRPr="006E5888">
        <w:rPr>
          <w:szCs w:val="24"/>
        </w:rPr>
        <w:t xml:space="preserve">iespēju </w:t>
      </w:r>
      <w:r w:rsidR="00E332C9" w:rsidRPr="006E5888">
        <w:rPr>
          <w:szCs w:val="24"/>
        </w:rPr>
        <w:t xml:space="preserve">visām izdevumu pārskatīšanā iesaistītajām pusēm </w:t>
      </w:r>
      <w:r w:rsidR="001B489A" w:rsidRPr="006E5888">
        <w:rPr>
          <w:szCs w:val="24"/>
        </w:rPr>
        <w:t>sa</w:t>
      </w:r>
      <w:r w:rsidR="00D85BF9" w:rsidRPr="006E5888">
        <w:rPr>
          <w:szCs w:val="24"/>
        </w:rPr>
        <w:t xml:space="preserve">ņemt plašāku </w:t>
      </w:r>
      <w:r w:rsidR="009E30C1" w:rsidRPr="006E5888">
        <w:rPr>
          <w:szCs w:val="24"/>
        </w:rPr>
        <w:t>skatījumu uz nozar</w:t>
      </w:r>
      <w:r w:rsidR="00641384" w:rsidRPr="006E5888">
        <w:rPr>
          <w:szCs w:val="24"/>
        </w:rPr>
        <w:t>i</w:t>
      </w:r>
      <w:r w:rsidR="009E30C1" w:rsidRPr="006E5888">
        <w:rPr>
          <w:szCs w:val="24"/>
        </w:rPr>
        <w:t xml:space="preserve"> kopumā.</w:t>
      </w:r>
      <w:r w:rsidR="000D3283" w:rsidRPr="006E5888">
        <w:rPr>
          <w:szCs w:val="24"/>
        </w:rPr>
        <w:t xml:space="preserve"> Informatīvā ziņojuma </w:t>
      </w:r>
      <w:r w:rsidR="00D8467D" w:rsidRPr="006E5888">
        <w:rPr>
          <w:szCs w:val="24"/>
        </w:rPr>
        <w:t>pielikumā Nr.1</w:t>
      </w:r>
      <w:r w:rsidR="000D3283" w:rsidRPr="006E5888">
        <w:rPr>
          <w:szCs w:val="24"/>
        </w:rPr>
        <w:t xml:space="preserve"> pievienotas visas LB gatavotās prezentācijas.</w:t>
      </w:r>
    </w:p>
    <w:p w:rsidR="00A4285C" w:rsidRPr="006E5888" w:rsidRDefault="00F72914" w:rsidP="00F72914">
      <w:pPr>
        <w:pStyle w:val="Heading1"/>
        <w:rPr>
          <w:rFonts w:ascii="Times New Roman" w:hAnsi="Times New Roman" w:cs="Times New Roman"/>
          <w:b/>
          <w:color w:val="auto"/>
          <w:sz w:val="24"/>
          <w:szCs w:val="24"/>
        </w:rPr>
      </w:pPr>
      <w:bookmarkStart w:id="2" w:name="_Toc451340340"/>
      <w:r w:rsidRPr="006E5888">
        <w:rPr>
          <w:rFonts w:ascii="Times New Roman" w:hAnsi="Times New Roman" w:cs="Times New Roman"/>
          <w:b/>
          <w:color w:val="auto"/>
          <w:sz w:val="24"/>
          <w:szCs w:val="24"/>
        </w:rPr>
        <w:t xml:space="preserve">3. </w:t>
      </w:r>
      <w:r w:rsidR="00EA1ED9" w:rsidRPr="006E5888">
        <w:rPr>
          <w:rFonts w:ascii="Times New Roman" w:hAnsi="Times New Roman" w:cs="Times New Roman"/>
          <w:b/>
          <w:color w:val="auto"/>
          <w:sz w:val="24"/>
          <w:szCs w:val="24"/>
        </w:rPr>
        <w:t>IZDEVUMU SASAISTE AR MĒRĶIEM UN REZULTĀTIEM</w:t>
      </w:r>
      <w:bookmarkEnd w:id="2"/>
    </w:p>
    <w:p w:rsidR="00B263C2" w:rsidRPr="006E5888" w:rsidRDefault="008238E9" w:rsidP="008238E9">
      <w:pPr>
        <w:spacing w:before="120" w:after="120"/>
        <w:jc w:val="both"/>
        <w:rPr>
          <w:b/>
          <w:u w:val="single"/>
        </w:rPr>
      </w:pPr>
      <w:r w:rsidRPr="006E5888">
        <w:rPr>
          <w:b/>
          <w:u w:val="single"/>
        </w:rPr>
        <w:t>Mērinstrumentu paneļi</w:t>
      </w:r>
    </w:p>
    <w:p w:rsidR="00E605A6" w:rsidRPr="006E5888" w:rsidRDefault="00714F04" w:rsidP="008238E9">
      <w:pPr>
        <w:ind w:firstLine="709"/>
        <w:jc w:val="both"/>
      </w:pPr>
      <w:r w:rsidRPr="006E5888">
        <w:t>Nozaru m</w:t>
      </w:r>
      <w:r w:rsidR="00E605A6" w:rsidRPr="006E5888">
        <w:t xml:space="preserve">inistrijām sarunai ar </w:t>
      </w:r>
      <w:r w:rsidR="00E2583A" w:rsidRPr="006E5888">
        <w:t>darba grupas locekļiem</w:t>
      </w:r>
      <w:r w:rsidR="00E605A6" w:rsidRPr="006E5888">
        <w:t xml:space="preserve"> tika uzdots izstrādāt nozares rezultatīvo rādītāju mērinstrumentu paneli, kas ministrijas ieskatā vislabāk sabiedrībai raksturotu nozaru politiku efektus un tiešos darbības rezultātus.</w:t>
      </w:r>
      <w:r w:rsidR="00E2583A" w:rsidRPr="006E5888">
        <w:t xml:space="preserve"> Vienlaikus FM </w:t>
      </w:r>
      <w:r w:rsidRPr="006E5888">
        <w:t xml:space="preserve">vidējā termiņa </w:t>
      </w:r>
      <w:r w:rsidR="00E2583A" w:rsidRPr="006E5888">
        <w:t>mērķis ir būtiski pārskatīt budžeta analīzi un lēmumu pieņem</w:t>
      </w:r>
      <w:r w:rsidR="006C4D96" w:rsidRPr="006E5888">
        <w:t>šanu,</w:t>
      </w:r>
      <w:r w:rsidR="00E2583A" w:rsidRPr="006E5888">
        <w:t xml:space="preserve"> budžeta paskaidrojumu struktūru, orientējot šos procesus uz politiku jomu sadalījumu, kur katrā </w:t>
      </w:r>
      <w:r w:rsidR="006C4D96" w:rsidRPr="006E5888">
        <w:t>jomā tiktu definēti</w:t>
      </w:r>
      <w:r w:rsidR="00E2583A" w:rsidRPr="006E5888">
        <w:t xml:space="preserve"> sasniedzam</w:t>
      </w:r>
      <w:r w:rsidR="006C4D96" w:rsidRPr="006E5888">
        <w:t>i</w:t>
      </w:r>
      <w:r w:rsidR="00E2583A" w:rsidRPr="006E5888">
        <w:t xml:space="preserve"> un mērām</w:t>
      </w:r>
      <w:r w:rsidR="006C4D96" w:rsidRPr="006E5888">
        <w:t>i rezultāti</w:t>
      </w:r>
      <w:r w:rsidR="00E2583A" w:rsidRPr="006E5888">
        <w:t>, tātad pamatā</w:t>
      </w:r>
      <w:r w:rsidR="006C4D96" w:rsidRPr="006E5888">
        <w:t xml:space="preserve"> šī analīze balstītos uz</w:t>
      </w:r>
      <w:r w:rsidR="00E2583A" w:rsidRPr="006E5888">
        <w:t xml:space="preserve"> </w:t>
      </w:r>
      <w:r w:rsidR="006C4D96" w:rsidRPr="006E5888">
        <w:t xml:space="preserve">ministriju sagatavotajiem </w:t>
      </w:r>
      <w:r w:rsidR="00E2583A" w:rsidRPr="006E5888">
        <w:t>mērinstrumentu paneļi</w:t>
      </w:r>
      <w:r w:rsidR="006C4D96" w:rsidRPr="006E5888">
        <w:t>em</w:t>
      </w:r>
      <w:r w:rsidR="00E2583A" w:rsidRPr="006E5888">
        <w:t xml:space="preserve">. Attiecīgi arī izdevumu efektivitātes un ekonomiskuma analīze balstītos </w:t>
      </w:r>
      <w:r w:rsidR="006C4D96" w:rsidRPr="006E5888">
        <w:t>uz iepriekš minētajiem</w:t>
      </w:r>
      <w:r w:rsidR="00FA5789" w:rsidRPr="006E5888">
        <w:t xml:space="preserve"> mērinstrumentu</w:t>
      </w:r>
      <w:r w:rsidR="006C4D96" w:rsidRPr="006E5888">
        <w:t xml:space="preserve"> paneļiem.</w:t>
      </w:r>
    </w:p>
    <w:p w:rsidR="00791C25" w:rsidRPr="006E5888" w:rsidRDefault="00850109" w:rsidP="005562A7">
      <w:pPr>
        <w:ind w:firstLine="709"/>
        <w:jc w:val="both"/>
      </w:pPr>
      <w:r w:rsidRPr="006E5888">
        <w:t>FM ieskatā šāda veida būtiskākās snieguma informācijas savietošana ar nozares finansējumu (budžeta paskaidrojumos) būtu racionāls un ilgtspējīgs risinājums budžeta diskusijas or</w:t>
      </w:r>
      <w:r w:rsidR="00714F04" w:rsidRPr="006E5888">
        <w:t xml:space="preserve">ientēt uz rezultātu sasniegšanu, </w:t>
      </w:r>
      <w:r w:rsidRPr="006E5888">
        <w:t>un prezentēt budžeta informāciju no nozaru po</w:t>
      </w:r>
      <w:r w:rsidR="002F6B66" w:rsidRPr="006E5888">
        <w:t>litiku veidošanas skatu punkta.</w:t>
      </w:r>
    </w:p>
    <w:p w:rsidR="00E605A6" w:rsidRPr="006E5888" w:rsidRDefault="00E605A6" w:rsidP="00546500">
      <w:pPr>
        <w:tabs>
          <w:tab w:val="left" w:pos="8029"/>
          <w:tab w:val="right" w:pos="9354"/>
        </w:tabs>
        <w:jc w:val="right"/>
      </w:pPr>
      <w:r w:rsidRPr="006E5888">
        <w:t>Tabula Nr.</w:t>
      </w:r>
      <w:r w:rsidR="004912DA" w:rsidRPr="006E5888">
        <w:t>4</w:t>
      </w:r>
    </w:p>
    <w:p w:rsidR="006B4F42" w:rsidRPr="006E5888" w:rsidRDefault="000427BC" w:rsidP="00F63313">
      <w:pPr>
        <w:spacing w:after="120"/>
        <w:jc w:val="center"/>
      </w:pPr>
      <w:r w:rsidRPr="006E5888">
        <w:t>Kopsavilkums par ministriju sagatavotajiem mērinstrumentu paneļiem</w:t>
      </w:r>
    </w:p>
    <w:tbl>
      <w:tblPr>
        <w:tblW w:w="93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2904"/>
        <w:gridCol w:w="2699"/>
        <w:gridCol w:w="2275"/>
      </w:tblGrid>
      <w:tr w:rsidR="002451AB" w:rsidRPr="006E5888" w:rsidTr="004A3953">
        <w:trPr>
          <w:trHeight w:val="20"/>
          <w:tblHeader/>
        </w:trPr>
        <w:tc>
          <w:tcPr>
            <w:tcW w:w="142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451AB" w:rsidRPr="006E5888" w:rsidRDefault="002451AB" w:rsidP="00B065DC">
            <w:pPr>
              <w:jc w:val="center"/>
              <w:rPr>
                <w:rFonts w:eastAsia="Times New Roman" w:cs="Times New Roman"/>
                <w:b/>
                <w:szCs w:val="24"/>
                <w:lang w:eastAsia="lv-LV"/>
              </w:rPr>
            </w:pPr>
            <w:r w:rsidRPr="006E5888">
              <w:rPr>
                <w:rFonts w:eastAsia="Times New Roman" w:cs="Times New Roman"/>
                <w:b/>
                <w:szCs w:val="24"/>
                <w:lang w:eastAsia="lv-LV"/>
              </w:rPr>
              <w:t>Ministrija</w:t>
            </w:r>
          </w:p>
        </w:tc>
        <w:tc>
          <w:tcPr>
            <w:tcW w:w="7878"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2451AB" w:rsidRPr="006E5888" w:rsidRDefault="002451AB" w:rsidP="00B065DC">
            <w:pPr>
              <w:jc w:val="center"/>
              <w:rPr>
                <w:rFonts w:eastAsia="Times New Roman" w:cs="Times New Roman"/>
                <w:b/>
                <w:szCs w:val="24"/>
                <w:lang w:eastAsia="lv-LV"/>
              </w:rPr>
            </w:pPr>
            <w:r w:rsidRPr="006E5888">
              <w:rPr>
                <w:rFonts w:eastAsia="Times New Roman" w:cs="Times New Roman"/>
                <w:b/>
                <w:szCs w:val="24"/>
                <w:lang w:eastAsia="lv-LV"/>
              </w:rPr>
              <w:t>Mērinstrumentu panelis</w:t>
            </w:r>
          </w:p>
        </w:tc>
      </w:tr>
      <w:tr w:rsidR="005359D7" w:rsidRPr="006E5888" w:rsidTr="004A3953">
        <w:trPr>
          <w:trHeight w:val="20"/>
          <w:tblHeader/>
        </w:trPr>
        <w:tc>
          <w:tcPr>
            <w:tcW w:w="1428" w:type="dxa"/>
            <w:vMerge/>
            <w:tcBorders>
              <w:top w:val="single" w:sz="4" w:space="0" w:color="auto"/>
              <w:left w:val="single" w:sz="4" w:space="0" w:color="auto"/>
              <w:bottom w:val="single" w:sz="4" w:space="0" w:color="auto"/>
              <w:right w:val="single" w:sz="4" w:space="0" w:color="auto"/>
            </w:tcBorders>
            <w:vAlign w:val="center"/>
            <w:hideMark/>
          </w:tcPr>
          <w:p w:rsidR="005359D7" w:rsidRPr="006E5888" w:rsidRDefault="005359D7" w:rsidP="00B065DC">
            <w:pPr>
              <w:rPr>
                <w:rFonts w:eastAsia="Times New Roman" w:cs="Times New Roman"/>
                <w:b/>
                <w:szCs w:val="24"/>
                <w:lang w:eastAsia="lv-LV"/>
              </w:rPr>
            </w:pPr>
          </w:p>
        </w:tc>
        <w:tc>
          <w:tcPr>
            <w:tcW w:w="560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5359D7" w:rsidRPr="006E5888" w:rsidRDefault="005359D7" w:rsidP="00B065DC">
            <w:pPr>
              <w:jc w:val="center"/>
              <w:rPr>
                <w:rFonts w:eastAsia="Times New Roman" w:cs="Times New Roman"/>
                <w:b/>
                <w:szCs w:val="24"/>
                <w:lang w:eastAsia="lv-LV"/>
              </w:rPr>
            </w:pPr>
            <w:r w:rsidRPr="006E5888">
              <w:rPr>
                <w:rFonts w:eastAsia="Times New Roman" w:cs="Times New Roman"/>
                <w:b/>
                <w:szCs w:val="24"/>
                <w:lang w:eastAsia="lv-LV"/>
              </w:rPr>
              <w:t>Sagatavots</w:t>
            </w:r>
          </w:p>
        </w:tc>
        <w:tc>
          <w:tcPr>
            <w:tcW w:w="227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359D7" w:rsidRPr="006E5888" w:rsidRDefault="005359D7" w:rsidP="00B065DC">
            <w:pPr>
              <w:jc w:val="center"/>
              <w:rPr>
                <w:rFonts w:eastAsia="Times New Roman" w:cs="Times New Roman"/>
                <w:b/>
                <w:szCs w:val="24"/>
                <w:lang w:eastAsia="lv-LV"/>
              </w:rPr>
            </w:pPr>
            <w:r w:rsidRPr="006E5888">
              <w:rPr>
                <w:rFonts w:eastAsia="Times New Roman" w:cs="Times New Roman"/>
                <w:b/>
                <w:szCs w:val="24"/>
                <w:lang w:eastAsia="lv-LV"/>
              </w:rPr>
              <w:t>Norādītas mērvienības</w:t>
            </w:r>
          </w:p>
        </w:tc>
      </w:tr>
      <w:tr w:rsidR="005359D7" w:rsidRPr="006E5888" w:rsidTr="004A3953">
        <w:trPr>
          <w:trHeight w:val="20"/>
          <w:tblHeader/>
        </w:trPr>
        <w:tc>
          <w:tcPr>
            <w:tcW w:w="1428" w:type="dxa"/>
            <w:vMerge/>
            <w:tcBorders>
              <w:top w:val="single" w:sz="4" w:space="0" w:color="auto"/>
            </w:tcBorders>
            <w:shd w:val="clear" w:color="auto" w:fill="auto"/>
            <w:vAlign w:val="center"/>
          </w:tcPr>
          <w:p w:rsidR="005359D7" w:rsidRPr="006E5888" w:rsidRDefault="005359D7" w:rsidP="00B065DC">
            <w:pPr>
              <w:jc w:val="center"/>
              <w:rPr>
                <w:rFonts w:eastAsia="Times New Roman" w:cs="Times New Roman"/>
                <w:szCs w:val="24"/>
                <w:lang w:eastAsia="lv-LV"/>
              </w:rPr>
            </w:pPr>
          </w:p>
        </w:tc>
        <w:tc>
          <w:tcPr>
            <w:tcW w:w="2904" w:type="dxa"/>
            <w:tcBorders>
              <w:top w:val="single" w:sz="4" w:space="0" w:color="auto"/>
            </w:tcBorders>
            <w:shd w:val="clear" w:color="auto" w:fill="D9D9D9" w:themeFill="background1" w:themeFillShade="D9"/>
            <w:vAlign w:val="center"/>
          </w:tcPr>
          <w:p w:rsidR="005359D7" w:rsidRPr="006E5888" w:rsidRDefault="005359D7" w:rsidP="00B065DC">
            <w:pPr>
              <w:jc w:val="center"/>
              <w:rPr>
                <w:rFonts w:eastAsia="Times New Roman" w:cs="Times New Roman"/>
                <w:b/>
                <w:szCs w:val="24"/>
                <w:lang w:eastAsia="lv-LV"/>
              </w:rPr>
            </w:pPr>
            <w:r w:rsidRPr="006E5888">
              <w:rPr>
                <w:rFonts w:eastAsia="Times New Roman" w:cs="Times New Roman"/>
                <w:b/>
                <w:szCs w:val="24"/>
                <w:lang w:eastAsia="lv-LV"/>
              </w:rPr>
              <w:t>Daļai nozaru*</w:t>
            </w:r>
          </w:p>
        </w:tc>
        <w:tc>
          <w:tcPr>
            <w:tcW w:w="2699" w:type="dxa"/>
            <w:tcBorders>
              <w:top w:val="single" w:sz="4" w:space="0" w:color="auto"/>
              <w:right w:val="single" w:sz="4" w:space="0" w:color="auto"/>
            </w:tcBorders>
            <w:shd w:val="clear" w:color="auto" w:fill="D9D9D9" w:themeFill="background1" w:themeFillShade="D9"/>
            <w:vAlign w:val="center"/>
          </w:tcPr>
          <w:p w:rsidR="005359D7" w:rsidRPr="006E5888" w:rsidRDefault="005359D7" w:rsidP="00B065DC">
            <w:pPr>
              <w:jc w:val="center"/>
              <w:rPr>
                <w:rFonts w:eastAsia="Times New Roman" w:cs="Times New Roman"/>
                <w:b/>
                <w:szCs w:val="24"/>
                <w:lang w:eastAsia="lv-LV"/>
              </w:rPr>
            </w:pPr>
            <w:r w:rsidRPr="006E5888">
              <w:rPr>
                <w:rFonts w:eastAsia="Times New Roman" w:cs="Times New Roman"/>
                <w:b/>
                <w:szCs w:val="24"/>
                <w:lang w:eastAsia="lv-LV"/>
              </w:rPr>
              <w:t>Visām nozarēm</w:t>
            </w:r>
          </w:p>
        </w:tc>
        <w:tc>
          <w:tcPr>
            <w:tcW w:w="22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5359D7" w:rsidRPr="006E5888" w:rsidRDefault="005359D7" w:rsidP="00B065DC">
            <w:pPr>
              <w:jc w:val="center"/>
              <w:rPr>
                <w:rFonts w:eastAsia="Times New Roman" w:cs="Times New Roman"/>
                <w:szCs w:val="24"/>
                <w:lang w:eastAsia="lv-LV"/>
              </w:rPr>
            </w:pPr>
          </w:p>
        </w:tc>
      </w:tr>
      <w:tr w:rsidR="004A3953" w:rsidRPr="006E5888" w:rsidTr="00C50A47">
        <w:trPr>
          <w:trHeight w:val="20"/>
        </w:trPr>
        <w:tc>
          <w:tcPr>
            <w:tcW w:w="1428"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EM</w:t>
            </w:r>
          </w:p>
        </w:tc>
        <w:tc>
          <w:tcPr>
            <w:tcW w:w="2904" w:type="dxa"/>
            <w:shd w:val="clear" w:color="auto" w:fill="auto"/>
            <w:vAlign w:val="center"/>
          </w:tcPr>
          <w:p w:rsidR="004A3953" w:rsidRPr="006E5888" w:rsidRDefault="004A3953" w:rsidP="00B065DC">
            <w:pPr>
              <w:jc w:val="center"/>
              <w:rPr>
                <w:rFonts w:eastAsia="Times New Roman" w:cs="Times New Roman"/>
                <w:szCs w:val="24"/>
                <w:lang w:eastAsia="lv-LV"/>
              </w:rPr>
            </w:pPr>
          </w:p>
        </w:tc>
        <w:tc>
          <w:tcPr>
            <w:tcW w:w="2699"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2275" w:type="dxa"/>
            <w:vMerge w:val="restart"/>
            <w:tcBorders>
              <w:top w:val="single" w:sz="4" w:space="0" w:color="auto"/>
            </w:tcBorders>
            <w:shd w:val="clear" w:color="auto" w:fill="auto"/>
            <w:vAlign w:val="center"/>
          </w:tcPr>
          <w:p w:rsidR="004A3953" w:rsidRPr="006E5888" w:rsidRDefault="004A3953" w:rsidP="00C50A47">
            <w:pPr>
              <w:jc w:val="center"/>
              <w:rPr>
                <w:rFonts w:eastAsia="Times New Roman" w:cs="Times New Roman"/>
                <w:szCs w:val="24"/>
                <w:lang w:eastAsia="lv-LV"/>
              </w:rPr>
            </w:pPr>
            <w:r w:rsidRPr="006E5888">
              <w:rPr>
                <w:rFonts w:eastAsia="Times New Roman" w:cs="Times New Roman"/>
                <w:szCs w:val="24"/>
                <w:lang w:eastAsia="lv-LV"/>
              </w:rPr>
              <w:t>Pamatā mērvienības nav norādītas politikas līmeņa rezultātiem</w:t>
            </w:r>
          </w:p>
        </w:tc>
      </w:tr>
      <w:tr w:rsidR="004A3953" w:rsidRPr="006E5888" w:rsidTr="004A3953">
        <w:trPr>
          <w:trHeight w:val="20"/>
        </w:trPr>
        <w:tc>
          <w:tcPr>
            <w:tcW w:w="1428"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FM</w:t>
            </w:r>
          </w:p>
        </w:tc>
        <w:tc>
          <w:tcPr>
            <w:tcW w:w="2904" w:type="dxa"/>
            <w:shd w:val="clear" w:color="auto" w:fill="auto"/>
            <w:vAlign w:val="center"/>
          </w:tcPr>
          <w:p w:rsidR="004A3953" w:rsidRPr="006E5888" w:rsidRDefault="004A3953" w:rsidP="00B065DC">
            <w:pPr>
              <w:jc w:val="center"/>
              <w:rPr>
                <w:rFonts w:eastAsia="Times New Roman" w:cs="Times New Roman"/>
                <w:szCs w:val="24"/>
                <w:lang w:eastAsia="lv-LV"/>
              </w:rPr>
            </w:pPr>
          </w:p>
        </w:tc>
        <w:tc>
          <w:tcPr>
            <w:tcW w:w="2699"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2275" w:type="dxa"/>
            <w:vMerge/>
            <w:shd w:val="clear" w:color="auto" w:fill="auto"/>
            <w:vAlign w:val="center"/>
          </w:tcPr>
          <w:p w:rsidR="004A3953" w:rsidRPr="006E5888" w:rsidRDefault="004A3953" w:rsidP="00B065DC">
            <w:pPr>
              <w:jc w:val="center"/>
              <w:rPr>
                <w:rFonts w:eastAsia="Times New Roman" w:cs="Times New Roman"/>
                <w:szCs w:val="24"/>
                <w:lang w:eastAsia="lv-LV"/>
              </w:rPr>
            </w:pPr>
          </w:p>
        </w:tc>
      </w:tr>
      <w:tr w:rsidR="004A3953" w:rsidRPr="006E5888" w:rsidTr="004A3953">
        <w:trPr>
          <w:trHeight w:val="20"/>
        </w:trPr>
        <w:tc>
          <w:tcPr>
            <w:tcW w:w="1428"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TM</w:t>
            </w:r>
          </w:p>
        </w:tc>
        <w:tc>
          <w:tcPr>
            <w:tcW w:w="2904" w:type="dxa"/>
            <w:shd w:val="clear" w:color="auto" w:fill="auto"/>
            <w:vAlign w:val="center"/>
          </w:tcPr>
          <w:p w:rsidR="004A3953" w:rsidRPr="006E5888" w:rsidRDefault="004A3953" w:rsidP="00B065DC">
            <w:pPr>
              <w:jc w:val="center"/>
              <w:rPr>
                <w:rFonts w:eastAsia="Times New Roman" w:cs="Times New Roman"/>
                <w:szCs w:val="24"/>
                <w:lang w:eastAsia="lv-LV"/>
              </w:rPr>
            </w:pPr>
          </w:p>
        </w:tc>
        <w:tc>
          <w:tcPr>
            <w:tcW w:w="2699"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2275" w:type="dxa"/>
            <w:vMerge/>
            <w:shd w:val="clear" w:color="auto" w:fill="auto"/>
            <w:vAlign w:val="center"/>
          </w:tcPr>
          <w:p w:rsidR="004A3953" w:rsidRPr="006E5888" w:rsidRDefault="004A3953" w:rsidP="00B065DC">
            <w:pPr>
              <w:jc w:val="center"/>
              <w:rPr>
                <w:rFonts w:eastAsia="Times New Roman" w:cs="Times New Roman"/>
                <w:szCs w:val="24"/>
                <w:lang w:eastAsia="lv-LV"/>
              </w:rPr>
            </w:pPr>
          </w:p>
        </w:tc>
      </w:tr>
      <w:tr w:rsidR="004A3953" w:rsidRPr="006E5888" w:rsidTr="004A3953">
        <w:trPr>
          <w:trHeight w:val="20"/>
        </w:trPr>
        <w:tc>
          <w:tcPr>
            <w:tcW w:w="1428"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VM</w:t>
            </w:r>
          </w:p>
        </w:tc>
        <w:tc>
          <w:tcPr>
            <w:tcW w:w="2904" w:type="dxa"/>
            <w:shd w:val="clear" w:color="auto" w:fill="auto"/>
            <w:vAlign w:val="center"/>
          </w:tcPr>
          <w:p w:rsidR="004A3953" w:rsidRPr="006E5888" w:rsidRDefault="004A3953" w:rsidP="00B065DC">
            <w:pPr>
              <w:jc w:val="center"/>
              <w:rPr>
                <w:rFonts w:eastAsia="Times New Roman" w:cs="Times New Roman"/>
                <w:szCs w:val="24"/>
                <w:lang w:eastAsia="lv-LV"/>
              </w:rPr>
            </w:pPr>
          </w:p>
        </w:tc>
        <w:tc>
          <w:tcPr>
            <w:tcW w:w="2699"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2275" w:type="dxa"/>
            <w:vMerge/>
            <w:shd w:val="clear" w:color="auto" w:fill="auto"/>
            <w:vAlign w:val="center"/>
          </w:tcPr>
          <w:p w:rsidR="004A3953" w:rsidRPr="006E5888" w:rsidRDefault="004A3953" w:rsidP="00B065DC">
            <w:pPr>
              <w:jc w:val="center"/>
              <w:rPr>
                <w:rFonts w:eastAsia="Times New Roman" w:cs="Times New Roman"/>
                <w:szCs w:val="24"/>
                <w:lang w:eastAsia="lv-LV"/>
              </w:rPr>
            </w:pPr>
          </w:p>
        </w:tc>
      </w:tr>
      <w:tr w:rsidR="004A3953" w:rsidRPr="006E5888" w:rsidTr="004A3953">
        <w:trPr>
          <w:trHeight w:val="20"/>
        </w:trPr>
        <w:tc>
          <w:tcPr>
            <w:tcW w:w="1428" w:type="dxa"/>
            <w:shd w:val="clear" w:color="auto" w:fill="auto"/>
            <w:vAlign w:val="center"/>
          </w:tcPr>
          <w:p w:rsidR="004A3953" w:rsidRPr="006E5888" w:rsidRDefault="004A3953" w:rsidP="00B065DC">
            <w:pPr>
              <w:jc w:val="center"/>
              <w:rPr>
                <w:rFonts w:eastAsia="Times New Roman" w:cs="Times New Roman"/>
                <w:szCs w:val="24"/>
                <w:lang w:eastAsia="lv-LV"/>
              </w:rPr>
            </w:pPr>
            <w:proofErr w:type="spellStart"/>
            <w:r w:rsidRPr="006E5888">
              <w:rPr>
                <w:rFonts w:eastAsia="Times New Roman" w:cs="Times New Roman"/>
                <w:szCs w:val="24"/>
                <w:lang w:eastAsia="lv-LV"/>
              </w:rPr>
              <w:t>AiM</w:t>
            </w:r>
            <w:proofErr w:type="spellEnd"/>
          </w:p>
        </w:tc>
        <w:tc>
          <w:tcPr>
            <w:tcW w:w="2904" w:type="dxa"/>
            <w:shd w:val="clear" w:color="auto" w:fill="auto"/>
            <w:vAlign w:val="center"/>
          </w:tcPr>
          <w:p w:rsidR="004A3953" w:rsidRPr="006E5888" w:rsidRDefault="004A3953" w:rsidP="00B065DC">
            <w:pPr>
              <w:jc w:val="center"/>
              <w:rPr>
                <w:rFonts w:eastAsia="Times New Roman" w:cs="Times New Roman"/>
                <w:szCs w:val="24"/>
                <w:lang w:eastAsia="lv-LV"/>
              </w:rPr>
            </w:pPr>
          </w:p>
        </w:tc>
        <w:tc>
          <w:tcPr>
            <w:tcW w:w="2699"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2275" w:type="dxa"/>
            <w:vMerge/>
            <w:shd w:val="clear" w:color="auto" w:fill="auto"/>
            <w:vAlign w:val="center"/>
          </w:tcPr>
          <w:p w:rsidR="004A3953" w:rsidRPr="006E5888" w:rsidRDefault="004A3953" w:rsidP="00B065DC">
            <w:pPr>
              <w:jc w:val="center"/>
              <w:rPr>
                <w:rFonts w:eastAsia="Times New Roman" w:cs="Times New Roman"/>
                <w:szCs w:val="24"/>
                <w:lang w:eastAsia="lv-LV"/>
              </w:rPr>
            </w:pPr>
          </w:p>
        </w:tc>
      </w:tr>
      <w:tr w:rsidR="004A3953" w:rsidRPr="006E5888" w:rsidTr="004A3953">
        <w:trPr>
          <w:trHeight w:val="20"/>
        </w:trPr>
        <w:tc>
          <w:tcPr>
            <w:tcW w:w="1428"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ĀM</w:t>
            </w:r>
          </w:p>
        </w:tc>
        <w:tc>
          <w:tcPr>
            <w:tcW w:w="2904" w:type="dxa"/>
            <w:shd w:val="clear" w:color="auto" w:fill="auto"/>
            <w:vAlign w:val="center"/>
          </w:tcPr>
          <w:p w:rsidR="004A3953" w:rsidRPr="006E5888" w:rsidRDefault="004A3953" w:rsidP="00B065DC">
            <w:pPr>
              <w:jc w:val="center"/>
              <w:rPr>
                <w:rFonts w:eastAsia="Times New Roman" w:cs="Times New Roman"/>
                <w:szCs w:val="24"/>
                <w:lang w:eastAsia="lv-LV"/>
              </w:rPr>
            </w:pPr>
          </w:p>
        </w:tc>
        <w:tc>
          <w:tcPr>
            <w:tcW w:w="2699"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2275" w:type="dxa"/>
            <w:vMerge/>
            <w:shd w:val="clear" w:color="auto" w:fill="auto"/>
            <w:vAlign w:val="center"/>
          </w:tcPr>
          <w:p w:rsidR="004A3953" w:rsidRPr="006E5888" w:rsidRDefault="004A3953" w:rsidP="00B065DC">
            <w:pPr>
              <w:jc w:val="center"/>
              <w:rPr>
                <w:rFonts w:eastAsia="Times New Roman" w:cs="Times New Roman"/>
                <w:szCs w:val="24"/>
                <w:lang w:eastAsia="lv-LV"/>
              </w:rPr>
            </w:pPr>
          </w:p>
        </w:tc>
      </w:tr>
      <w:tr w:rsidR="004A3953" w:rsidRPr="006E5888" w:rsidTr="004A3953">
        <w:trPr>
          <w:trHeight w:val="20"/>
        </w:trPr>
        <w:tc>
          <w:tcPr>
            <w:tcW w:w="1428"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KM</w:t>
            </w:r>
          </w:p>
        </w:tc>
        <w:tc>
          <w:tcPr>
            <w:tcW w:w="2904" w:type="dxa"/>
            <w:shd w:val="clear" w:color="auto" w:fill="auto"/>
            <w:vAlign w:val="center"/>
          </w:tcPr>
          <w:p w:rsidR="004A3953" w:rsidRPr="006E5888" w:rsidRDefault="004A3953" w:rsidP="00B065DC">
            <w:pPr>
              <w:jc w:val="center"/>
              <w:rPr>
                <w:rFonts w:eastAsia="Times New Roman" w:cs="Times New Roman"/>
                <w:szCs w:val="24"/>
                <w:lang w:eastAsia="lv-LV"/>
              </w:rPr>
            </w:pPr>
          </w:p>
        </w:tc>
        <w:tc>
          <w:tcPr>
            <w:tcW w:w="2699"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2275" w:type="dxa"/>
            <w:vMerge/>
            <w:shd w:val="clear" w:color="auto" w:fill="auto"/>
            <w:vAlign w:val="center"/>
          </w:tcPr>
          <w:p w:rsidR="004A3953" w:rsidRPr="006E5888" w:rsidRDefault="004A3953" w:rsidP="00B065DC">
            <w:pPr>
              <w:jc w:val="center"/>
              <w:rPr>
                <w:rFonts w:eastAsia="Times New Roman" w:cs="Times New Roman"/>
                <w:szCs w:val="24"/>
                <w:lang w:eastAsia="lv-LV"/>
              </w:rPr>
            </w:pPr>
          </w:p>
        </w:tc>
      </w:tr>
      <w:tr w:rsidR="004A3953" w:rsidRPr="006E5888" w:rsidTr="004A3953">
        <w:trPr>
          <w:trHeight w:val="20"/>
        </w:trPr>
        <w:tc>
          <w:tcPr>
            <w:tcW w:w="1428"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ZM</w:t>
            </w:r>
          </w:p>
        </w:tc>
        <w:tc>
          <w:tcPr>
            <w:tcW w:w="2904" w:type="dxa"/>
            <w:shd w:val="clear" w:color="auto" w:fill="auto"/>
            <w:vAlign w:val="center"/>
          </w:tcPr>
          <w:p w:rsidR="004A3953" w:rsidRPr="006E5888" w:rsidRDefault="004A3953" w:rsidP="00B065DC">
            <w:pPr>
              <w:jc w:val="center"/>
              <w:rPr>
                <w:rFonts w:eastAsia="Times New Roman" w:cs="Times New Roman"/>
                <w:szCs w:val="24"/>
                <w:lang w:eastAsia="lv-LV"/>
              </w:rPr>
            </w:pPr>
          </w:p>
        </w:tc>
        <w:tc>
          <w:tcPr>
            <w:tcW w:w="2699"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2275" w:type="dxa"/>
            <w:vMerge/>
            <w:shd w:val="clear" w:color="auto" w:fill="auto"/>
            <w:vAlign w:val="center"/>
          </w:tcPr>
          <w:p w:rsidR="004A3953" w:rsidRPr="006E5888" w:rsidRDefault="004A3953" w:rsidP="00B065DC">
            <w:pPr>
              <w:jc w:val="center"/>
              <w:rPr>
                <w:rFonts w:eastAsia="Times New Roman" w:cs="Times New Roman"/>
                <w:szCs w:val="24"/>
                <w:lang w:eastAsia="lv-LV"/>
              </w:rPr>
            </w:pPr>
          </w:p>
        </w:tc>
      </w:tr>
      <w:tr w:rsidR="004A3953" w:rsidRPr="006E5888" w:rsidTr="004A3953">
        <w:trPr>
          <w:trHeight w:val="20"/>
        </w:trPr>
        <w:tc>
          <w:tcPr>
            <w:tcW w:w="1428"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IZM</w:t>
            </w:r>
          </w:p>
        </w:tc>
        <w:tc>
          <w:tcPr>
            <w:tcW w:w="2904" w:type="dxa"/>
            <w:shd w:val="clear" w:color="auto" w:fill="auto"/>
            <w:vAlign w:val="center"/>
          </w:tcPr>
          <w:p w:rsidR="004A3953" w:rsidRPr="006E5888" w:rsidRDefault="004A3953" w:rsidP="00B065DC">
            <w:pPr>
              <w:jc w:val="center"/>
              <w:rPr>
                <w:rFonts w:eastAsia="Times New Roman" w:cs="Times New Roman"/>
                <w:szCs w:val="24"/>
                <w:lang w:eastAsia="lv-LV"/>
              </w:rPr>
            </w:pPr>
          </w:p>
        </w:tc>
        <w:tc>
          <w:tcPr>
            <w:tcW w:w="2699"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2275" w:type="dxa"/>
            <w:vMerge/>
            <w:shd w:val="clear" w:color="auto" w:fill="auto"/>
            <w:vAlign w:val="center"/>
          </w:tcPr>
          <w:p w:rsidR="004A3953" w:rsidRPr="006E5888" w:rsidRDefault="004A3953" w:rsidP="00B065DC">
            <w:pPr>
              <w:jc w:val="center"/>
              <w:rPr>
                <w:rFonts w:eastAsia="Times New Roman" w:cs="Times New Roman"/>
                <w:szCs w:val="24"/>
                <w:lang w:eastAsia="lv-LV"/>
              </w:rPr>
            </w:pPr>
          </w:p>
        </w:tc>
      </w:tr>
      <w:tr w:rsidR="004A3953" w:rsidRPr="006E5888" w:rsidTr="004A3953">
        <w:trPr>
          <w:trHeight w:val="20"/>
        </w:trPr>
        <w:tc>
          <w:tcPr>
            <w:tcW w:w="1428"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IeM</w:t>
            </w:r>
          </w:p>
        </w:tc>
        <w:tc>
          <w:tcPr>
            <w:tcW w:w="2904"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2699" w:type="dxa"/>
            <w:shd w:val="clear" w:color="auto" w:fill="auto"/>
            <w:vAlign w:val="center"/>
          </w:tcPr>
          <w:p w:rsidR="004A3953" w:rsidRPr="006E5888" w:rsidRDefault="004A3953" w:rsidP="00B065DC">
            <w:pPr>
              <w:jc w:val="center"/>
              <w:rPr>
                <w:rFonts w:eastAsia="Times New Roman" w:cs="Times New Roman"/>
                <w:szCs w:val="24"/>
                <w:lang w:eastAsia="lv-LV"/>
              </w:rPr>
            </w:pPr>
          </w:p>
        </w:tc>
        <w:tc>
          <w:tcPr>
            <w:tcW w:w="2275" w:type="dxa"/>
            <w:vMerge/>
            <w:shd w:val="clear" w:color="auto" w:fill="auto"/>
            <w:vAlign w:val="center"/>
          </w:tcPr>
          <w:p w:rsidR="004A3953" w:rsidRPr="006E5888" w:rsidRDefault="004A3953" w:rsidP="00B065DC">
            <w:pPr>
              <w:jc w:val="center"/>
              <w:rPr>
                <w:rFonts w:eastAsia="Times New Roman" w:cs="Times New Roman"/>
                <w:szCs w:val="24"/>
                <w:lang w:eastAsia="lv-LV"/>
              </w:rPr>
            </w:pPr>
          </w:p>
        </w:tc>
      </w:tr>
      <w:tr w:rsidR="004A3953" w:rsidRPr="006E5888" w:rsidTr="004A3953">
        <w:trPr>
          <w:trHeight w:val="20"/>
        </w:trPr>
        <w:tc>
          <w:tcPr>
            <w:tcW w:w="1428"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SM</w:t>
            </w:r>
          </w:p>
        </w:tc>
        <w:tc>
          <w:tcPr>
            <w:tcW w:w="2904"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2699" w:type="dxa"/>
            <w:shd w:val="clear" w:color="auto" w:fill="auto"/>
            <w:vAlign w:val="center"/>
          </w:tcPr>
          <w:p w:rsidR="004A3953" w:rsidRPr="006E5888" w:rsidRDefault="004A3953" w:rsidP="00B065DC">
            <w:pPr>
              <w:jc w:val="center"/>
              <w:rPr>
                <w:rFonts w:eastAsia="Times New Roman" w:cs="Times New Roman"/>
                <w:szCs w:val="24"/>
                <w:lang w:eastAsia="lv-LV"/>
              </w:rPr>
            </w:pPr>
          </w:p>
        </w:tc>
        <w:tc>
          <w:tcPr>
            <w:tcW w:w="2275" w:type="dxa"/>
            <w:vMerge/>
            <w:shd w:val="clear" w:color="auto" w:fill="auto"/>
            <w:vAlign w:val="center"/>
          </w:tcPr>
          <w:p w:rsidR="004A3953" w:rsidRPr="006E5888" w:rsidRDefault="004A3953" w:rsidP="00B065DC">
            <w:pPr>
              <w:jc w:val="center"/>
              <w:rPr>
                <w:rFonts w:eastAsia="Times New Roman" w:cs="Times New Roman"/>
                <w:szCs w:val="24"/>
                <w:lang w:eastAsia="lv-LV"/>
              </w:rPr>
            </w:pPr>
          </w:p>
        </w:tc>
      </w:tr>
      <w:tr w:rsidR="004A3953" w:rsidRPr="006E5888" w:rsidTr="004A3953">
        <w:trPr>
          <w:trHeight w:val="20"/>
        </w:trPr>
        <w:tc>
          <w:tcPr>
            <w:tcW w:w="1428"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lastRenderedPageBreak/>
              <w:t>VARAM</w:t>
            </w:r>
          </w:p>
        </w:tc>
        <w:tc>
          <w:tcPr>
            <w:tcW w:w="2904"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w:t>
            </w:r>
          </w:p>
        </w:tc>
        <w:tc>
          <w:tcPr>
            <w:tcW w:w="2699" w:type="dxa"/>
            <w:shd w:val="clear" w:color="auto" w:fill="auto"/>
            <w:vAlign w:val="center"/>
          </w:tcPr>
          <w:p w:rsidR="004A3953" w:rsidRPr="006E5888" w:rsidRDefault="004A3953" w:rsidP="00B065DC">
            <w:pPr>
              <w:jc w:val="center"/>
              <w:rPr>
                <w:rFonts w:eastAsia="Times New Roman" w:cs="Times New Roman"/>
                <w:szCs w:val="24"/>
                <w:lang w:eastAsia="lv-LV"/>
              </w:rPr>
            </w:pPr>
          </w:p>
        </w:tc>
        <w:tc>
          <w:tcPr>
            <w:tcW w:w="2275" w:type="dxa"/>
            <w:vMerge/>
            <w:shd w:val="clear" w:color="auto" w:fill="auto"/>
            <w:vAlign w:val="center"/>
          </w:tcPr>
          <w:p w:rsidR="004A3953" w:rsidRPr="006E5888" w:rsidRDefault="004A3953" w:rsidP="00B065DC">
            <w:pPr>
              <w:jc w:val="center"/>
              <w:rPr>
                <w:rFonts w:eastAsia="Times New Roman" w:cs="Times New Roman"/>
                <w:szCs w:val="24"/>
                <w:lang w:eastAsia="lv-LV"/>
              </w:rPr>
            </w:pPr>
          </w:p>
        </w:tc>
      </w:tr>
      <w:tr w:rsidR="004A3953" w:rsidRPr="006E5888" w:rsidTr="004A3953">
        <w:trPr>
          <w:trHeight w:val="20"/>
        </w:trPr>
        <w:tc>
          <w:tcPr>
            <w:tcW w:w="1428" w:type="dxa"/>
            <w:shd w:val="clear" w:color="auto" w:fill="auto"/>
            <w:vAlign w:val="center"/>
          </w:tcPr>
          <w:p w:rsidR="004A3953" w:rsidRPr="006E5888" w:rsidRDefault="004A3953" w:rsidP="00B065DC">
            <w:pPr>
              <w:jc w:val="center"/>
              <w:rPr>
                <w:rFonts w:eastAsia="Times New Roman" w:cs="Times New Roman"/>
                <w:szCs w:val="24"/>
                <w:lang w:eastAsia="lv-LV"/>
              </w:rPr>
            </w:pPr>
            <w:r w:rsidRPr="006E5888">
              <w:rPr>
                <w:rFonts w:eastAsia="Times New Roman" w:cs="Times New Roman"/>
                <w:szCs w:val="24"/>
                <w:lang w:eastAsia="lv-LV"/>
              </w:rPr>
              <w:t>LM</w:t>
            </w:r>
          </w:p>
        </w:tc>
        <w:tc>
          <w:tcPr>
            <w:tcW w:w="2904" w:type="dxa"/>
            <w:shd w:val="clear" w:color="auto" w:fill="auto"/>
            <w:vAlign w:val="center"/>
          </w:tcPr>
          <w:p w:rsidR="004A3953" w:rsidRPr="006E5888" w:rsidRDefault="004A3953" w:rsidP="00B065DC">
            <w:pPr>
              <w:jc w:val="center"/>
              <w:rPr>
                <w:rFonts w:eastAsia="Times New Roman" w:cs="Times New Roman"/>
                <w:szCs w:val="24"/>
                <w:lang w:eastAsia="lv-LV"/>
              </w:rPr>
            </w:pPr>
          </w:p>
        </w:tc>
        <w:tc>
          <w:tcPr>
            <w:tcW w:w="2699" w:type="dxa"/>
            <w:shd w:val="clear" w:color="auto" w:fill="auto"/>
            <w:vAlign w:val="center"/>
          </w:tcPr>
          <w:p w:rsidR="004A3953" w:rsidRPr="006E5888" w:rsidRDefault="004A3953" w:rsidP="00B065DC">
            <w:pPr>
              <w:jc w:val="center"/>
              <w:rPr>
                <w:rFonts w:eastAsia="Times New Roman" w:cs="Times New Roman"/>
                <w:szCs w:val="24"/>
                <w:lang w:eastAsia="lv-LV"/>
              </w:rPr>
            </w:pPr>
          </w:p>
        </w:tc>
        <w:tc>
          <w:tcPr>
            <w:tcW w:w="2275" w:type="dxa"/>
            <w:vMerge/>
            <w:shd w:val="clear" w:color="auto" w:fill="auto"/>
            <w:vAlign w:val="center"/>
          </w:tcPr>
          <w:p w:rsidR="004A3953" w:rsidRPr="006E5888" w:rsidRDefault="004A3953" w:rsidP="00B065DC">
            <w:pPr>
              <w:jc w:val="center"/>
              <w:rPr>
                <w:rFonts w:eastAsia="Times New Roman" w:cs="Times New Roman"/>
                <w:szCs w:val="24"/>
                <w:lang w:eastAsia="lv-LV"/>
              </w:rPr>
            </w:pPr>
          </w:p>
        </w:tc>
      </w:tr>
    </w:tbl>
    <w:p w:rsidR="006F35D7" w:rsidRPr="006E5888" w:rsidRDefault="006F35D7" w:rsidP="000427BC">
      <w:pPr>
        <w:spacing w:after="120"/>
        <w:rPr>
          <w:sz w:val="20"/>
          <w:szCs w:val="20"/>
        </w:rPr>
      </w:pPr>
      <w:r w:rsidRPr="006E5888">
        <w:rPr>
          <w:sz w:val="20"/>
          <w:szCs w:val="20"/>
        </w:rPr>
        <w:t xml:space="preserve">*ministrijas savās prezentācijās lieto </w:t>
      </w:r>
      <w:r w:rsidR="00701FEB" w:rsidRPr="006E5888">
        <w:rPr>
          <w:sz w:val="20"/>
          <w:szCs w:val="20"/>
        </w:rPr>
        <w:t>arī</w:t>
      </w:r>
      <w:r w:rsidRPr="006E5888">
        <w:rPr>
          <w:sz w:val="20"/>
          <w:szCs w:val="20"/>
        </w:rPr>
        <w:t xml:space="preserve"> apzīmējumu </w:t>
      </w:r>
      <w:r w:rsidR="00701FEB" w:rsidRPr="006E5888">
        <w:rPr>
          <w:sz w:val="20"/>
          <w:szCs w:val="20"/>
        </w:rPr>
        <w:t xml:space="preserve">– </w:t>
      </w:r>
      <w:r w:rsidRPr="006E5888">
        <w:rPr>
          <w:sz w:val="20"/>
          <w:szCs w:val="20"/>
        </w:rPr>
        <w:t>darbības virziens, joma</w:t>
      </w:r>
    </w:p>
    <w:p w:rsidR="003C7B43" w:rsidRPr="006E5888" w:rsidRDefault="00C60214" w:rsidP="003C7B43">
      <w:pPr>
        <w:spacing w:after="120"/>
        <w:ind w:firstLine="709"/>
        <w:jc w:val="both"/>
      </w:pPr>
      <w:r w:rsidRPr="006E5888">
        <w:t xml:space="preserve">Ministriju iesniegtie mērinstrumentu paneļi būs kā </w:t>
      </w:r>
      <w:r w:rsidR="00241278" w:rsidRPr="006E5888">
        <w:t>priekšnosacījums izdevumu pārskatīšanas sistēmas ievieš</w:t>
      </w:r>
      <w:r w:rsidRPr="006E5888">
        <w:t xml:space="preserve">anai un efektivitātes mērīšanai, tādējādi </w:t>
      </w:r>
      <w:r w:rsidR="00241278" w:rsidRPr="006E5888">
        <w:t>izveido</w:t>
      </w:r>
      <w:r w:rsidRPr="006E5888">
        <w:t>jot</w:t>
      </w:r>
      <w:r w:rsidR="00241278" w:rsidRPr="006E5888">
        <w:t xml:space="preserve"> nozarēm ieguldījumu un snieguma mērīšanas sistēmu.</w:t>
      </w:r>
      <w:r w:rsidR="003C7B43" w:rsidRPr="006E5888">
        <w:t xml:space="preserve"> Informatīvā ziņojuma </w:t>
      </w:r>
      <w:r w:rsidR="00FA5789" w:rsidRPr="006E5888">
        <w:t>pielikumā Nr.2</w:t>
      </w:r>
      <w:r w:rsidR="003C7B43" w:rsidRPr="006E5888">
        <w:t xml:space="preserve"> pievienoti visi ministriju iesniegtie mērinstrumentu paneļi.</w:t>
      </w:r>
    </w:p>
    <w:p w:rsidR="004E5D14" w:rsidRPr="006E5888" w:rsidRDefault="004E5D14" w:rsidP="008238E9">
      <w:pPr>
        <w:spacing w:after="120"/>
        <w:jc w:val="both"/>
        <w:rPr>
          <w:b/>
          <w:u w:val="single"/>
        </w:rPr>
      </w:pPr>
      <w:r w:rsidRPr="006E5888">
        <w:rPr>
          <w:b/>
          <w:u w:val="single"/>
        </w:rPr>
        <w:t>Budžeta izdevumu sasaist</w:t>
      </w:r>
      <w:r w:rsidR="00FA5789" w:rsidRPr="006E5888">
        <w:rPr>
          <w:b/>
          <w:u w:val="single"/>
        </w:rPr>
        <w:t>e</w:t>
      </w:r>
      <w:r w:rsidRPr="006E5888">
        <w:rPr>
          <w:b/>
          <w:u w:val="single"/>
        </w:rPr>
        <w:t xml:space="preserve"> ar politikas mērķiem un rezultātiem</w:t>
      </w:r>
    </w:p>
    <w:p w:rsidR="00F63313" w:rsidRPr="006E5888" w:rsidRDefault="00930F29" w:rsidP="008238E9">
      <w:pPr>
        <w:ind w:firstLine="709"/>
        <w:jc w:val="both"/>
      </w:pPr>
      <w:r w:rsidRPr="006E5888">
        <w:t>Kā tika secināts</w:t>
      </w:r>
      <w:r w:rsidR="00794A49" w:rsidRPr="006E5888">
        <w:t>,</w:t>
      </w:r>
      <w:r w:rsidRPr="006E5888">
        <w:t xml:space="preserve"> sagatavojot informatīvo ziņojumu “Paveiktie un plānotie pasākumi, ieviešot budžeta sistēmu, kas balstīta uz attīstības plānošanas dokumentu mērķu sasniegšanu”, jau vēsturiski </w:t>
      </w:r>
      <w:r w:rsidR="00DD7A5C" w:rsidRPr="006E5888">
        <w:t>ar budžeta bāzes izdevumu sasaisti ar politikas m</w:t>
      </w:r>
      <w:r w:rsidR="00794A49" w:rsidRPr="006E5888">
        <w:t>ērķiem un to rezultātiem</w:t>
      </w:r>
      <w:r w:rsidR="00EE220E" w:rsidRPr="006E5888">
        <w:t xml:space="preserve"> </w:t>
      </w:r>
      <w:r w:rsidR="00DD7A5C" w:rsidRPr="006E5888">
        <w:t>saprot nepieciešamību nodrošināt sasaisti ar budžeta programmu un apakšprogrammu līmeni, tomēr budžeta programmu un apakšprogrammu līmeņu saturs resoru griezumā ir visnotaļ atšķirīgs un ne v</w:t>
      </w:r>
      <w:r w:rsidR="006971CE" w:rsidRPr="006E5888">
        <w:t>ienmēr ir pietiekoši detalizēts. L</w:t>
      </w:r>
      <w:r w:rsidR="00DD7A5C" w:rsidRPr="006E5888">
        <w:t xml:space="preserve">īdz ar to izdevumu pārskatīšanas kontekstā, lai budžeta bāzes daļas izdevumus sasaistītu ar politikas mērķiem un to rezultātiem, tika secināts, ka </w:t>
      </w:r>
      <w:r w:rsidR="00891E48" w:rsidRPr="006E5888">
        <w:t>sasaistei nepieciešams iedibināt izmaksu attiecināšanas principus, kā to paredz MK 2016.gada 1.martā izskatītā un apstiprinātā FM informatīv</w:t>
      </w:r>
      <w:r w:rsidR="00047548" w:rsidRPr="006E5888">
        <w:t>ā</w:t>
      </w:r>
      <w:r w:rsidR="00891E48" w:rsidRPr="006E5888">
        <w:t xml:space="preserve"> ziņojum</w:t>
      </w:r>
      <w:r w:rsidR="00047548" w:rsidRPr="006E5888">
        <w:t>a</w:t>
      </w:r>
      <w:r w:rsidR="00891E48" w:rsidRPr="006E5888">
        <w:t xml:space="preserve"> “Paveiktie un plānotie pasākumi, ieviešot budžeta sistēmu, kas balstīta uz attīstības plānošanas dokumentu mērķu sasniegšanu” </w:t>
      </w:r>
      <w:proofErr w:type="spellStart"/>
      <w:r w:rsidR="00047548" w:rsidRPr="006E5888">
        <w:t>protokollēmuma</w:t>
      </w:r>
      <w:proofErr w:type="spellEnd"/>
      <w:r w:rsidR="00047548" w:rsidRPr="006E5888">
        <w:t xml:space="preserve"> </w:t>
      </w:r>
      <w:r w:rsidR="00891E48" w:rsidRPr="006E5888">
        <w:t xml:space="preserve"> </w:t>
      </w:r>
      <w:r w:rsidR="00047548" w:rsidRPr="006E5888">
        <w:t>prot. Nr.10, 49.</w:t>
      </w:r>
      <w:r w:rsidR="00047548" w:rsidRPr="006E5888">
        <w:rPr>
          <w:rFonts w:cs="Times New Roman"/>
        </w:rPr>
        <w:t>§</w:t>
      </w:r>
      <w:r w:rsidR="00047548" w:rsidRPr="006E5888">
        <w:t xml:space="preserve"> 4.punkts. Izmaksu attiecināšanas sistēma nozīmētu, ka izdevumus pēc noteiktiem principiem attiecina uz </w:t>
      </w:r>
      <w:r w:rsidR="007423DE" w:rsidRPr="006E5888">
        <w:t xml:space="preserve">noteiktajām </w:t>
      </w:r>
      <w:r w:rsidR="00047548" w:rsidRPr="006E5888">
        <w:t xml:space="preserve">politiku jomām, kā tas izriet no mērinstrumentu paneļiem un </w:t>
      </w:r>
      <w:r w:rsidR="007423DE" w:rsidRPr="006E5888">
        <w:t xml:space="preserve">konkrētās politikas </w:t>
      </w:r>
      <w:r w:rsidR="00047548" w:rsidRPr="006E5888">
        <w:t xml:space="preserve">sasniedzamajiem rezultātiem.  </w:t>
      </w:r>
    </w:p>
    <w:p w:rsidR="00BE0B65" w:rsidRPr="006E5888" w:rsidRDefault="00D36442" w:rsidP="00F41EA0">
      <w:pPr>
        <w:spacing w:before="120"/>
        <w:jc w:val="center"/>
      </w:pPr>
      <w:r w:rsidRPr="006E5888">
        <w:rPr>
          <w:noProof/>
          <w:lang w:eastAsia="lv-LV"/>
        </w:rPr>
        <w:drawing>
          <wp:inline distT="0" distB="0" distL="0" distR="0" wp14:anchorId="1CC15E80" wp14:editId="4153280C">
            <wp:extent cx="5025542" cy="2096732"/>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89728" cy="2206954"/>
                    </a:xfrm>
                    <a:prstGeom prst="rect">
                      <a:avLst/>
                    </a:prstGeom>
                    <a:noFill/>
                  </pic:spPr>
                </pic:pic>
              </a:graphicData>
            </a:graphic>
          </wp:inline>
        </w:drawing>
      </w:r>
    </w:p>
    <w:p w:rsidR="00F41EA0" w:rsidRPr="006E5888" w:rsidRDefault="00F41EA0" w:rsidP="00F41EA0">
      <w:pPr>
        <w:spacing w:before="120" w:after="120"/>
        <w:jc w:val="center"/>
        <w:rPr>
          <w:sz w:val="8"/>
          <w:szCs w:val="8"/>
        </w:rPr>
      </w:pPr>
    </w:p>
    <w:p w:rsidR="00812599" w:rsidRPr="006E5888" w:rsidRDefault="00812599" w:rsidP="00F41EA0">
      <w:pPr>
        <w:spacing w:before="120" w:after="120"/>
        <w:jc w:val="center"/>
        <w:rPr>
          <w:b/>
          <w:sz w:val="22"/>
        </w:rPr>
      </w:pPr>
      <w:r w:rsidRPr="006E5888">
        <w:rPr>
          <w:sz w:val="22"/>
        </w:rPr>
        <w:t>1.</w:t>
      </w:r>
      <w:r w:rsidRPr="006E5888">
        <w:rPr>
          <w:i/>
          <w:sz w:val="22"/>
        </w:rPr>
        <w:t>att.</w:t>
      </w:r>
      <w:r w:rsidRPr="006E5888">
        <w:rPr>
          <w:sz w:val="22"/>
        </w:rPr>
        <w:t xml:space="preserve"> </w:t>
      </w:r>
      <w:r w:rsidRPr="006E5888">
        <w:rPr>
          <w:b/>
          <w:sz w:val="22"/>
        </w:rPr>
        <w:t xml:space="preserve">Zemākās funkcionāli neatkarīgās izmaksu </w:t>
      </w:r>
      <w:r w:rsidR="00E6154B" w:rsidRPr="006E5888">
        <w:rPr>
          <w:b/>
          <w:sz w:val="22"/>
        </w:rPr>
        <w:t>attiecināšanas sistēmas</w:t>
      </w:r>
      <w:r w:rsidRPr="006E5888">
        <w:rPr>
          <w:b/>
          <w:sz w:val="22"/>
        </w:rPr>
        <w:t xml:space="preserve"> grafiskais attēlojums</w:t>
      </w:r>
    </w:p>
    <w:p w:rsidR="004B3F3B" w:rsidRPr="006E5888" w:rsidRDefault="004B3F3B" w:rsidP="004B3F3B">
      <w:pPr>
        <w:ind w:firstLine="709"/>
        <w:jc w:val="both"/>
      </w:pPr>
      <w:r w:rsidRPr="006E5888">
        <w:t>Zemākā funkcionāli neatkarīgā izmaksu attiecināšanas sistēma ļautu saprast, cik tiek tērēts, kam tieši tiek tērēts un cik pamatoti ir šie izdevumi, kā arī atbildēt uz šādiem būtiskākajiem jautājumiem:</w:t>
      </w:r>
    </w:p>
    <w:p w:rsidR="004B3F3B" w:rsidRPr="006E5888" w:rsidRDefault="004B3F3B" w:rsidP="004B3F3B">
      <w:pPr>
        <w:pStyle w:val="ListParagraph"/>
        <w:numPr>
          <w:ilvl w:val="0"/>
          <w:numId w:val="10"/>
        </w:numPr>
        <w:jc w:val="both"/>
      </w:pPr>
      <w:r w:rsidRPr="006E5888">
        <w:t>Cik tērējam konkrētu publisko pakalpojumu sniegšanai?</w:t>
      </w:r>
    </w:p>
    <w:p w:rsidR="004B3F3B" w:rsidRPr="006E5888" w:rsidRDefault="004B3F3B" w:rsidP="004B3F3B">
      <w:pPr>
        <w:pStyle w:val="ListParagraph"/>
        <w:numPr>
          <w:ilvl w:val="0"/>
          <w:numId w:val="10"/>
        </w:numPr>
        <w:jc w:val="both"/>
      </w:pPr>
      <w:r w:rsidRPr="006E5888">
        <w:t>Ko iegūstam par konkrētu izdevumu apjomu?</w:t>
      </w:r>
    </w:p>
    <w:p w:rsidR="004B3F3B" w:rsidRPr="006E5888" w:rsidRDefault="004B3F3B" w:rsidP="004B3F3B">
      <w:pPr>
        <w:pStyle w:val="ListParagraph"/>
        <w:numPr>
          <w:ilvl w:val="0"/>
          <w:numId w:val="10"/>
        </w:numPr>
        <w:jc w:val="both"/>
      </w:pPr>
      <w:r w:rsidRPr="006E5888">
        <w:t>Kāds ir izdevumu pamatojums?</w:t>
      </w:r>
    </w:p>
    <w:p w:rsidR="004B3F3B" w:rsidRPr="006E5888" w:rsidRDefault="004B3F3B" w:rsidP="004B3F3B">
      <w:pPr>
        <w:pStyle w:val="ListParagraph"/>
        <w:numPr>
          <w:ilvl w:val="0"/>
          <w:numId w:val="10"/>
        </w:numPr>
        <w:jc w:val="both"/>
      </w:pPr>
      <w:r w:rsidRPr="006E5888">
        <w:t>Uz kādiem politikas mērķiem (rezultātiem un to rezultatīvajiem rādītājiem) indikatīvi tiek vērsti izdevumi?</w:t>
      </w:r>
    </w:p>
    <w:p w:rsidR="004B3F3B" w:rsidRPr="006E5888" w:rsidRDefault="004B3F3B" w:rsidP="004B3F3B">
      <w:pPr>
        <w:ind w:firstLine="709"/>
        <w:jc w:val="both"/>
      </w:pPr>
      <w:r w:rsidRPr="006E5888">
        <w:t>Tāpat zemākā funkcionāli neatkarīgā izmaksu attiecināšanas sistēma ļautu nodrošināt izejas datus izdevumu efektivitātes analīzei un saprast kopējos izdevumus, kas ir vērsti uz NAP un politikas dokumentu mērķu sasniegšanu.</w:t>
      </w:r>
    </w:p>
    <w:p w:rsidR="009275C8" w:rsidRPr="006E5888" w:rsidRDefault="009275C8" w:rsidP="009275C8">
      <w:pPr>
        <w:ind w:firstLine="709"/>
        <w:jc w:val="both"/>
      </w:pPr>
      <w:r w:rsidRPr="006E5888">
        <w:lastRenderedPageBreak/>
        <w:t xml:space="preserve">PKC </w:t>
      </w:r>
      <w:r w:rsidR="00C50A47" w:rsidRPr="006E5888">
        <w:t>vērsa uzmanību uz šādiem izaicinājumiem</w:t>
      </w:r>
      <w:r w:rsidRPr="006E5888">
        <w:t xml:space="preserve"> budžeta izdevumu sasaistē ar NAP un politikas plānošanas dokumentiem:</w:t>
      </w:r>
    </w:p>
    <w:p w:rsidR="00BE0B65" w:rsidRPr="006E5888" w:rsidRDefault="009275C8" w:rsidP="00B756BC">
      <w:pPr>
        <w:pStyle w:val="ListParagraph"/>
        <w:numPr>
          <w:ilvl w:val="0"/>
          <w:numId w:val="11"/>
        </w:numPr>
        <w:jc w:val="both"/>
      </w:pPr>
      <w:r w:rsidRPr="006E5888">
        <w:t xml:space="preserve">nav iespējams atrast absolūti vienotu pieeju zemākās funkcionāli neatkarīgās izmaksu </w:t>
      </w:r>
      <w:r w:rsidR="00E6154B" w:rsidRPr="006E5888">
        <w:t>attiecināšanas sistēmas</w:t>
      </w:r>
      <w:r w:rsidRPr="006E5888">
        <w:t xml:space="preserve"> identificēšanā;</w:t>
      </w:r>
    </w:p>
    <w:p w:rsidR="009275C8" w:rsidRPr="006E5888" w:rsidRDefault="009275C8" w:rsidP="00B756BC">
      <w:pPr>
        <w:pStyle w:val="ListParagraph"/>
        <w:numPr>
          <w:ilvl w:val="0"/>
          <w:numId w:val="11"/>
        </w:numPr>
        <w:jc w:val="both"/>
      </w:pPr>
      <w:r w:rsidRPr="006E5888">
        <w:t xml:space="preserve">iespēja apkopot informāciju optimālā detalizācijas pakāpē jeb zemākās funkcionāli neatkarīgās izmaksu </w:t>
      </w:r>
      <w:r w:rsidR="00E6154B" w:rsidRPr="006E5888">
        <w:t>attiecināšanas sistēmas</w:t>
      </w:r>
      <w:r w:rsidRPr="006E5888">
        <w:t xml:space="preserve"> līmenī;</w:t>
      </w:r>
    </w:p>
    <w:p w:rsidR="007C7F32" w:rsidRPr="006E5888" w:rsidRDefault="007C7F32" w:rsidP="00B756BC">
      <w:pPr>
        <w:pStyle w:val="ListParagraph"/>
        <w:numPr>
          <w:ilvl w:val="0"/>
          <w:numId w:val="11"/>
        </w:numPr>
        <w:jc w:val="both"/>
      </w:pPr>
      <w:r w:rsidRPr="006E5888">
        <w:t>uzturēšanas un kapitālo izdevumu loma budžeta bāzes izdevumu sasaistē ar NAP un politikas plānošanas dokumentiem;</w:t>
      </w:r>
    </w:p>
    <w:p w:rsidR="007C7F32" w:rsidRPr="006E5888" w:rsidRDefault="007C7F32" w:rsidP="00B756BC">
      <w:pPr>
        <w:pStyle w:val="ListParagraph"/>
        <w:numPr>
          <w:ilvl w:val="0"/>
          <w:numId w:val="11"/>
        </w:numPr>
        <w:jc w:val="both"/>
      </w:pPr>
      <w:r w:rsidRPr="006E5888">
        <w:t>darbības rezultātu dažādā ietekme uz politikas mērķiem;</w:t>
      </w:r>
    </w:p>
    <w:p w:rsidR="009275C8" w:rsidRPr="006E5888" w:rsidRDefault="007C7F32" w:rsidP="00B756BC">
      <w:pPr>
        <w:pStyle w:val="ListParagraph"/>
        <w:numPr>
          <w:ilvl w:val="0"/>
          <w:numId w:val="11"/>
        </w:numPr>
        <w:jc w:val="both"/>
      </w:pPr>
      <w:r w:rsidRPr="006E5888">
        <w:t xml:space="preserve">iegūto datu turpmākā izmantošana, pieņemot lēmumus budžeta </w:t>
      </w:r>
      <w:r w:rsidR="00C65A9D" w:rsidRPr="006E5888">
        <w:t xml:space="preserve">sagatavošanas </w:t>
      </w:r>
      <w:r w:rsidRPr="006E5888">
        <w:t>procesā.</w:t>
      </w:r>
    </w:p>
    <w:p w:rsidR="00A4285C" w:rsidRPr="006E5888" w:rsidRDefault="00A4285C" w:rsidP="00A4285C">
      <w:pPr>
        <w:pStyle w:val="ListParagraph"/>
        <w:jc w:val="both"/>
        <w:rPr>
          <w:sz w:val="16"/>
          <w:szCs w:val="16"/>
        </w:rPr>
      </w:pPr>
    </w:p>
    <w:p w:rsidR="00306932" w:rsidRPr="006E5888" w:rsidRDefault="00415B67" w:rsidP="008238E9">
      <w:pPr>
        <w:jc w:val="both"/>
        <w:rPr>
          <w:b/>
          <w:u w:val="single"/>
        </w:rPr>
      </w:pPr>
      <w:r w:rsidRPr="006E5888">
        <w:rPr>
          <w:b/>
          <w:u w:val="single"/>
        </w:rPr>
        <w:t>Likumdošanā paredzētais automātiskais finansējums</w:t>
      </w:r>
    </w:p>
    <w:p w:rsidR="002B205F" w:rsidRPr="006E5888" w:rsidRDefault="002B205F" w:rsidP="002B205F">
      <w:pPr>
        <w:spacing w:before="120"/>
        <w:ind w:firstLine="709"/>
        <w:jc w:val="both"/>
        <w:rPr>
          <w:b/>
          <w:u w:val="single"/>
        </w:rPr>
      </w:pPr>
      <w:r w:rsidRPr="006E5888">
        <w:rPr>
          <w:rFonts w:cs="Times New Roman"/>
          <w:szCs w:val="24"/>
        </w:rPr>
        <w:t>Lai nodrošinātu valsts budžeta atbilstību valstī noteiktajām politikas prioritātēm un sasniedzamajiem rezultātiem, kā arī faktiskajām finansiālajām iespējām, FM uzskata, ka ministrijām jāsagatavo un atbilstoši vidēja termiņa budžeta ietvara likuma projekta un gadskārtējā valsts budžeta likuma projekta izstrādes un iesniegšanas grafikam jāiesniedz MK priekšlikumus par grozījumiem likumos, paredzot izslēgt tabulā Nr.5 minētās normas par finansējumu noteiktajā apmērā.</w:t>
      </w:r>
    </w:p>
    <w:p w:rsidR="00415B67" w:rsidRPr="006E5888" w:rsidRDefault="00415B67" w:rsidP="00415B67">
      <w:pPr>
        <w:jc w:val="right"/>
      </w:pPr>
      <w:r w:rsidRPr="006E5888">
        <w:t>Tabula Nr.5</w:t>
      </w:r>
    </w:p>
    <w:p w:rsidR="00415B67" w:rsidRPr="006E5888" w:rsidRDefault="00415B67" w:rsidP="00415B67">
      <w:pPr>
        <w:spacing w:after="120"/>
        <w:jc w:val="center"/>
      </w:pPr>
      <w:r w:rsidRPr="006E5888">
        <w:t>Kopsavilkums par l</w:t>
      </w:r>
      <w:r w:rsidR="00280CAE" w:rsidRPr="006E5888">
        <w:t>ikumdošanā paredzēto</w:t>
      </w:r>
      <w:r w:rsidRPr="006E5888">
        <w:t xml:space="preserve"> finansējumu</w:t>
      </w:r>
      <w:r w:rsidR="00280CAE" w:rsidRPr="006E5888">
        <w:t xml:space="preserve"> noteiktajā apmērā</w:t>
      </w:r>
    </w:p>
    <w:tbl>
      <w:tblPr>
        <w:tblStyle w:val="TableGrid"/>
        <w:tblW w:w="9351" w:type="dxa"/>
        <w:tblLook w:val="04A0" w:firstRow="1" w:lastRow="0" w:firstColumn="1" w:lastColumn="0" w:noHBand="0" w:noVBand="1"/>
      </w:tblPr>
      <w:tblGrid>
        <w:gridCol w:w="1413"/>
        <w:gridCol w:w="2165"/>
        <w:gridCol w:w="5773"/>
      </w:tblGrid>
      <w:tr w:rsidR="006B3186" w:rsidRPr="006E5888" w:rsidTr="0027559A">
        <w:trPr>
          <w:trHeight w:val="253"/>
          <w:tblHeader/>
        </w:trPr>
        <w:tc>
          <w:tcPr>
            <w:tcW w:w="1413" w:type="dxa"/>
            <w:shd w:val="clear" w:color="auto" w:fill="D9D9D9" w:themeFill="background1" w:themeFillShade="D9"/>
            <w:vAlign w:val="center"/>
          </w:tcPr>
          <w:p w:rsidR="006B3186" w:rsidRPr="006E5888" w:rsidRDefault="006B3186" w:rsidP="0027559A">
            <w:pPr>
              <w:jc w:val="center"/>
              <w:rPr>
                <w:b/>
              </w:rPr>
            </w:pPr>
            <w:r w:rsidRPr="006E5888">
              <w:rPr>
                <w:b/>
              </w:rPr>
              <w:t>Ministrija</w:t>
            </w:r>
          </w:p>
        </w:tc>
        <w:tc>
          <w:tcPr>
            <w:tcW w:w="2165" w:type="dxa"/>
            <w:shd w:val="clear" w:color="auto" w:fill="D9D9D9" w:themeFill="background1" w:themeFillShade="D9"/>
            <w:vAlign w:val="center"/>
          </w:tcPr>
          <w:p w:rsidR="006B3186" w:rsidRPr="006E5888" w:rsidRDefault="006B3186" w:rsidP="0027559A">
            <w:pPr>
              <w:jc w:val="center"/>
              <w:rPr>
                <w:b/>
              </w:rPr>
            </w:pPr>
            <w:r w:rsidRPr="006E5888">
              <w:rPr>
                <w:b/>
              </w:rPr>
              <w:t>Likums</w:t>
            </w:r>
          </w:p>
        </w:tc>
        <w:tc>
          <w:tcPr>
            <w:tcW w:w="5773" w:type="dxa"/>
            <w:shd w:val="clear" w:color="auto" w:fill="D9D9D9" w:themeFill="background1" w:themeFillShade="D9"/>
            <w:vAlign w:val="center"/>
          </w:tcPr>
          <w:p w:rsidR="006B3186" w:rsidRPr="006E5888" w:rsidRDefault="006B3186" w:rsidP="0027559A">
            <w:pPr>
              <w:jc w:val="center"/>
              <w:rPr>
                <w:b/>
              </w:rPr>
            </w:pPr>
            <w:r w:rsidRPr="006E5888">
              <w:rPr>
                <w:b/>
              </w:rPr>
              <w:t>Likuma norma</w:t>
            </w:r>
          </w:p>
        </w:tc>
      </w:tr>
      <w:tr w:rsidR="006B3186" w:rsidRPr="006E5888" w:rsidTr="00306932">
        <w:trPr>
          <w:trHeight w:val="244"/>
        </w:trPr>
        <w:tc>
          <w:tcPr>
            <w:tcW w:w="1413" w:type="dxa"/>
            <w:vAlign w:val="center"/>
          </w:tcPr>
          <w:p w:rsidR="006B3186" w:rsidRPr="006E5888" w:rsidRDefault="006B3186" w:rsidP="004A5258">
            <w:pPr>
              <w:jc w:val="center"/>
              <w:rPr>
                <w:b/>
              </w:rPr>
            </w:pPr>
            <w:r w:rsidRPr="006E5888">
              <w:rPr>
                <w:b/>
              </w:rPr>
              <w:t>SM</w:t>
            </w:r>
          </w:p>
        </w:tc>
        <w:tc>
          <w:tcPr>
            <w:tcW w:w="2165" w:type="dxa"/>
          </w:tcPr>
          <w:p w:rsidR="006B3186" w:rsidRPr="006E5888" w:rsidRDefault="006B3186" w:rsidP="00415B67">
            <w:pPr>
              <w:jc w:val="center"/>
            </w:pPr>
            <w:r w:rsidRPr="006E5888">
              <w:t>Par autoceļiem</w:t>
            </w:r>
          </w:p>
        </w:tc>
        <w:tc>
          <w:tcPr>
            <w:tcW w:w="5773" w:type="dxa"/>
          </w:tcPr>
          <w:p w:rsidR="006B3186" w:rsidRPr="006E5888" w:rsidRDefault="006B3186" w:rsidP="006B3186">
            <w:pPr>
              <w:jc w:val="both"/>
              <w:rPr>
                <w:i/>
              </w:rPr>
            </w:pPr>
            <w:r w:rsidRPr="006E5888">
              <w:rPr>
                <w:i/>
              </w:rPr>
              <w:t xml:space="preserve">12.pants </w:t>
            </w:r>
            <w:r w:rsidR="00575001" w:rsidRPr="006E5888">
              <w:rPr>
                <w:i/>
              </w:rPr>
              <w:t xml:space="preserve">ceturtā </w:t>
            </w:r>
            <w:r w:rsidRPr="006E5888">
              <w:rPr>
                <w:i/>
              </w:rPr>
              <w:t>daļa</w:t>
            </w:r>
          </w:p>
          <w:p w:rsidR="006B3186" w:rsidRPr="006E5888" w:rsidRDefault="006B3186" w:rsidP="00DF7C13">
            <w:pPr>
              <w:jc w:val="both"/>
            </w:pPr>
            <w:r w:rsidRPr="006E5888">
              <w:t xml:space="preserve">Valsts budžeta finansējumu programmai “Valsts autoceļu fonds” veido prognozētie valsts budžeta ieņēmumi no transportlīdzekļu ekspluatācijas nodokļa, autoceļu lietošanas nodevas un 80 procenti no prognozētajiem valsts budžeta ieņēmumiem no akcīzes nodokļa par naftas produktiem, ja gadskārtējā valsts budžeta likumā nav noteikts citādi. Valsts autoceļu sakārtošanai un atjaunošanai finansējums tiek piešķirts saskaņā ar Valsts autoceļu sakārtošanas programmu. Plānojot gadskārtējo budžetu, valsts budžeta izdevumus programmai “Valsts autoceļu fonds” samazina par summu, kas ceļu nozarei ir pieejama no </w:t>
            </w:r>
            <w:r w:rsidR="00DF7C13" w:rsidRPr="006E5888">
              <w:t>ES</w:t>
            </w:r>
            <w:r w:rsidRPr="006E5888">
              <w:t xml:space="preserve"> fondiem attiecīgajā finanšu gadā. Ikgadējai mērķdotācijai pašvaldību autoceļiem un ielām piešķirtais finansējums nedrīkst būt mazāks par 25 procentiem no programmai “Valsts autoceļu fonds” piešķirtā valsts budžeta finansējuma, neskaitot prognozētos ieņēmumus no autoceļu lietošanas nodevas.</w:t>
            </w:r>
          </w:p>
        </w:tc>
      </w:tr>
      <w:tr w:rsidR="00D374B3" w:rsidRPr="006E5888" w:rsidTr="00306932">
        <w:trPr>
          <w:trHeight w:val="253"/>
        </w:trPr>
        <w:tc>
          <w:tcPr>
            <w:tcW w:w="1413" w:type="dxa"/>
            <w:vMerge w:val="restart"/>
            <w:vAlign w:val="center"/>
          </w:tcPr>
          <w:p w:rsidR="00D374B3" w:rsidRPr="006E5888" w:rsidRDefault="00D374B3" w:rsidP="007F2E85">
            <w:pPr>
              <w:jc w:val="center"/>
              <w:rPr>
                <w:b/>
              </w:rPr>
            </w:pPr>
            <w:r w:rsidRPr="006E5888">
              <w:rPr>
                <w:b/>
              </w:rPr>
              <w:t>KM</w:t>
            </w:r>
          </w:p>
        </w:tc>
        <w:tc>
          <w:tcPr>
            <w:tcW w:w="2165" w:type="dxa"/>
          </w:tcPr>
          <w:p w:rsidR="00D374B3" w:rsidRPr="006E5888" w:rsidRDefault="00D374B3" w:rsidP="00415B67">
            <w:pPr>
              <w:jc w:val="center"/>
            </w:pPr>
            <w:r w:rsidRPr="006E5888">
              <w:t>Elektronisko plašsaziņas līdzekļu likums</w:t>
            </w:r>
          </w:p>
        </w:tc>
        <w:tc>
          <w:tcPr>
            <w:tcW w:w="5773" w:type="dxa"/>
          </w:tcPr>
          <w:p w:rsidR="00D374B3" w:rsidRPr="006E5888" w:rsidRDefault="00D374B3" w:rsidP="00CD5DEA">
            <w:pPr>
              <w:rPr>
                <w:i/>
              </w:rPr>
            </w:pPr>
            <w:r w:rsidRPr="006E5888">
              <w:rPr>
                <w:i/>
              </w:rPr>
              <w:t xml:space="preserve">70.panta pirmā daļa </w:t>
            </w:r>
          </w:p>
          <w:p w:rsidR="00D374B3" w:rsidRPr="006E5888" w:rsidRDefault="00D374B3" w:rsidP="00CD5DEA">
            <w:pPr>
              <w:jc w:val="both"/>
            </w:pPr>
            <w:r w:rsidRPr="006E5888">
              <w:t>Sabiedrisko elektronisko plašsaziņas līdzekļu finansiālais nodrošinājums</w:t>
            </w:r>
          </w:p>
          <w:p w:rsidR="00D374B3" w:rsidRPr="006E5888" w:rsidRDefault="00D374B3" w:rsidP="00CD5DEA">
            <w:pPr>
              <w:jc w:val="both"/>
            </w:pPr>
            <w:r w:rsidRPr="006E5888">
              <w:t>(1) Sabiedrisko elektronisko plašsaziņas līdzekļu finansiālā nodrošinājuma avoti ir:</w:t>
            </w:r>
          </w:p>
          <w:p w:rsidR="00D374B3" w:rsidRPr="006E5888" w:rsidRDefault="00D374B3" w:rsidP="00CD5DEA">
            <w:pPr>
              <w:ind w:left="620" w:hanging="284"/>
              <w:jc w:val="both"/>
            </w:pPr>
            <w:r w:rsidRPr="006E5888">
              <w:t>1) valsts budžeta dotācija sabiedriskā pasūtījuma īstenošanai, turklāt tā nedrīkst būt mazāka kā iepriekšējā gadā;</w:t>
            </w:r>
          </w:p>
          <w:p w:rsidR="00D374B3" w:rsidRPr="006E5888" w:rsidRDefault="00D374B3" w:rsidP="00CD5DEA">
            <w:pPr>
              <w:ind w:left="620" w:hanging="284"/>
              <w:jc w:val="both"/>
            </w:pPr>
            <w:r w:rsidRPr="006E5888">
              <w:t>2) ieņēmumi no saimnieciskās darbības;</w:t>
            </w:r>
          </w:p>
          <w:p w:rsidR="00D374B3" w:rsidRPr="006E5888" w:rsidRDefault="00D374B3" w:rsidP="00CD5DEA">
            <w:pPr>
              <w:ind w:left="620" w:hanging="284"/>
              <w:jc w:val="both"/>
            </w:pPr>
            <w:r w:rsidRPr="006E5888">
              <w:lastRenderedPageBreak/>
              <w:t>3) dāvinājumi un ziedojumi naudas līdzekļu un mantiskā veidā, tai skaitā ārvalstu fizisko un juridisko personu dāvinājumi un ziedojumi;</w:t>
            </w:r>
          </w:p>
          <w:p w:rsidR="00D374B3" w:rsidRPr="006E5888" w:rsidRDefault="00D374B3" w:rsidP="00CD5DEA">
            <w:pPr>
              <w:ind w:left="620" w:hanging="284"/>
              <w:jc w:val="both"/>
            </w:pPr>
            <w:r w:rsidRPr="006E5888">
              <w:t>4) citi normatīvajos aktos paredzēti finanšu avoti.</w:t>
            </w:r>
          </w:p>
        </w:tc>
      </w:tr>
      <w:tr w:rsidR="00D374B3" w:rsidRPr="006E5888" w:rsidTr="00306932">
        <w:trPr>
          <w:trHeight w:val="253"/>
        </w:trPr>
        <w:tc>
          <w:tcPr>
            <w:tcW w:w="1413" w:type="dxa"/>
            <w:vMerge/>
            <w:vAlign w:val="center"/>
          </w:tcPr>
          <w:p w:rsidR="00D374B3" w:rsidRPr="006E5888" w:rsidRDefault="00D374B3" w:rsidP="003858B1">
            <w:pPr>
              <w:jc w:val="center"/>
              <w:rPr>
                <w:b/>
              </w:rPr>
            </w:pPr>
          </w:p>
        </w:tc>
        <w:tc>
          <w:tcPr>
            <w:tcW w:w="2165" w:type="dxa"/>
          </w:tcPr>
          <w:p w:rsidR="00D374B3" w:rsidRPr="006E5888" w:rsidRDefault="00D374B3" w:rsidP="00415B67">
            <w:pPr>
              <w:jc w:val="center"/>
            </w:pPr>
            <w:r w:rsidRPr="006E5888">
              <w:t xml:space="preserve">Valsts </w:t>
            </w:r>
            <w:proofErr w:type="spellStart"/>
            <w:r w:rsidRPr="006E5888">
              <w:t>kultūrkapitāla</w:t>
            </w:r>
            <w:proofErr w:type="spellEnd"/>
            <w:r w:rsidRPr="006E5888">
              <w:t xml:space="preserve"> fonda likums</w:t>
            </w:r>
          </w:p>
        </w:tc>
        <w:tc>
          <w:tcPr>
            <w:tcW w:w="5773" w:type="dxa"/>
          </w:tcPr>
          <w:p w:rsidR="00D374B3" w:rsidRPr="006E5888" w:rsidRDefault="00D374B3" w:rsidP="00DF7C13">
            <w:pPr>
              <w:jc w:val="both"/>
              <w:rPr>
                <w:i/>
              </w:rPr>
            </w:pPr>
            <w:r w:rsidRPr="006E5888">
              <w:rPr>
                <w:i/>
              </w:rPr>
              <w:t>5.pants otrā daļa</w:t>
            </w:r>
          </w:p>
          <w:p w:rsidR="00D374B3" w:rsidRPr="006E5888" w:rsidRDefault="00D374B3" w:rsidP="00DF7C13">
            <w:pPr>
              <w:jc w:val="both"/>
            </w:pPr>
            <w:r w:rsidRPr="006E5888">
              <w:t>Fonda līdzekļi un to izlietošana</w:t>
            </w:r>
          </w:p>
          <w:p w:rsidR="00D374B3" w:rsidRPr="006E5888" w:rsidRDefault="00D374B3" w:rsidP="00DF7C13">
            <w:pPr>
              <w:jc w:val="both"/>
            </w:pPr>
            <w:r w:rsidRPr="006E5888">
              <w:t>Valsts budžeta līdzekļu piešķīrums kārtējam gadam ir lielāks nekā iepriekšējā budžeta gadā.</w:t>
            </w:r>
          </w:p>
        </w:tc>
      </w:tr>
      <w:tr w:rsidR="007B7C0C" w:rsidRPr="006E5888" w:rsidTr="00306932">
        <w:trPr>
          <w:trHeight w:val="244"/>
        </w:trPr>
        <w:tc>
          <w:tcPr>
            <w:tcW w:w="1413" w:type="dxa"/>
            <w:vMerge w:val="restart"/>
            <w:vAlign w:val="center"/>
          </w:tcPr>
          <w:p w:rsidR="007B7C0C" w:rsidRPr="006E5888" w:rsidRDefault="007B7C0C" w:rsidP="00575001">
            <w:pPr>
              <w:jc w:val="center"/>
              <w:rPr>
                <w:b/>
              </w:rPr>
            </w:pPr>
            <w:r w:rsidRPr="006E5888">
              <w:rPr>
                <w:b/>
              </w:rPr>
              <w:t>IZM</w:t>
            </w:r>
          </w:p>
        </w:tc>
        <w:tc>
          <w:tcPr>
            <w:tcW w:w="2165" w:type="dxa"/>
          </w:tcPr>
          <w:p w:rsidR="007B7C0C" w:rsidRPr="006E5888" w:rsidRDefault="007B7C0C" w:rsidP="00415B67">
            <w:pPr>
              <w:jc w:val="center"/>
            </w:pPr>
            <w:r w:rsidRPr="006E5888">
              <w:t>Augstskolu likums</w:t>
            </w:r>
          </w:p>
        </w:tc>
        <w:tc>
          <w:tcPr>
            <w:tcW w:w="5773" w:type="dxa"/>
          </w:tcPr>
          <w:p w:rsidR="007B7C0C" w:rsidRPr="006E5888" w:rsidRDefault="007B7C0C" w:rsidP="00192DF7">
            <w:pPr>
              <w:rPr>
                <w:i/>
              </w:rPr>
            </w:pPr>
            <w:r w:rsidRPr="006E5888">
              <w:rPr>
                <w:i/>
              </w:rPr>
              <w:t>78.panta septītā daļa</w:t>
            </w:r>
          </w:p>
          <w:p w:rsidR="007B7C0C" w:rsidRPr="006E5888" w:rsidRDefault="007B7C0C" w:rsidP="002B369A">
            <w:pPr>
              <w:jc w:val="both"/>
            </w:pPr>
            <w:r w:rsidRPr="006E5888">
              <w:t>(7) MK, iesniedzot Saeimai gadskārtējo valsts budžeta projektu, tajā paredz ikgadēju finansējuma pieaugumu studijām valsts dibinātās augstskolās ne mazāku par 0,25 procentiem no IKP, līdz valsts piešķirtais finansējums studijām valsts dibinātās augstskolās sasniedz vismaz divus procentus no IKP.</w:t>
            </w:r>
          </w:p>
        </w:tc>
      </w:tr>
      <w:tr w:rsidR="007B7C0C" w:rsidRPr="006E5888" w:rsidTr="00306932">
        <w:trPr>
          <w:trHeight w:val="253"/>
        </w:trPr>
        <w:tc>
          <w:tcPr>
            <w:tcW w:w="1413" w:type="dxa"/>
            <w:vMerge/>
          </w:tcPr>
          <w:p w:rsidR="007B7C0C" w:rsidRPr="006E5888" w:rsidRDefault="007B7C0C" w:rsidP="00415B67">
            <w:pPr>
              <w:jc w:val="center"/>
            </w:pPr>
          </w:p>
        </w:tc>
        <w:tc>
          <w:tcPr>
            <w:tcW w:w="2165" w:type="dxa"/>
          </w:tcPr>
          <w:p w:rsidR="007B7C0C" w:rsidRPr="006E5888" w:rsidRDefault="007B7C0C" w:rsidP="00351F09">
            <w:pPr>
              <w:jc w:val="center"/>
            </w:pPr>
            <w:r w:rsidRPr="006E5888">
              <w:t>Zinātniskās darbības likums</w:t>
            </w:r>
          </w:p>
        </w:tc>
        <w:tc>
          <w:tcPr>
            <w:tcW w:w="5773" w:type="dxa"/>
          </w:tcPr>
          <w:p w:rsidR="007B7C0C" w:rsidRPr="006E5888" w:rsidRDefault="007B7C0C" w:rsidP="00575001">
            <w:pPr>
              <w:rPr>
                <w:i/>
              </w:rPr>
            </w:pPr>
            <w:r w:rsidRPr="006E5888">
              <w:rPr>
                <w:i/>
              </w:rPr>
              <w:t>33.panta otrā daļa</w:t>
            </w:r>
          </w:p>
          <w:p w:rsidR="007B7C0C" w:rsidRPr="006E5888" w:rsidRDefault="007B7C0C" w:rsidP="002B369A">
            <w:pPr>
              <w:jc w:val="both"/>
            </w:pPr>
            <w:r w:rsidRPr="006E5888">
              <w:t>(2) MK, iesniedzot Saeimai gadskārtējo likumu par valsts budžetu, paredz ikgadēju finansējuma pieaugumu zinātniskajai darbībai ne mazāku par 0,15 procentiem no IKP, līdz valsts piešķirtais finansējums zinātniskajai darbībai sasniedz vismaz vienu procentu no IKP.</w:t>
            </w:r>
          </w:p>
        </w:tc>
      </w:tr>
      <w:tr w:rsidR="007B7C0C" w:rsidRPr="006E5888" w:rsidTr="00306932">
        <w:trPr>
          <w:trHeight w:val="253"/>
        </w:trPr>
        <w:tc>
          <w:tcPr>
            <w:tcW w:w="1413" w:type="dxa"/>
            <w:vMerge/>
            <w:vAlign w:val="center"/>
          </w:tcPr>
          <w:p w:rsidR="007B7C0C" w:rsidRPr="006E5888" w:rsidRDefault="007B7C0C" w:rsidP="003E26E0">
            <w:pPr>
              <w:jc w:val="center"/>
              <w:rPr>
                <w:b/>
              </w:rPr>
            </w:pPr>
          </w:p>
        </w:tc>
        <w:tc>
          <w:tcPr>
            <w:tcW w:w="2165" w:type="dxa"/>
          </w:tcPr>
          <w:p w:rsidR="007B7C0C" w:rsidRPr="006E5888" w:rsidRDefault="007B7C0C" w:rsidP="0082607C">
            <w:pPr>
              <w:jc w:val="center"/>
              <w:rPr>
                <w:szCs w:val="24"/>
              </w:rPr>
            </w:pPr>
            <w:r w:rsidRPr="006E5888">
              <w:rPr>
                <w:szCs w:val="24"/>
              </w:rPr>
              <w:t>Sporta likum</w:t>
            </w:r>
            <w:r w:rsidR="0082607C" w:rsidRPr="006E5888">
              <w:rPr>
                <w:szCs w:val="24"/>
              </w:rPr>
              <w:t>s</w:t>
            </w:r>
          </w:p>
        </w:tc>
        <w:tc>
          <w:tcPr>
            <w:tcW w:w="5773" w:type="dxa"/>
          </w:tcPr>
          <w:p w:rsidR="007B7C0C" w:rsidRPr="006E5888" w:rsidRDefault="007B7C0C" w:rsidP="003E26E0">
            <w:pPr>
              <w:jc w:val="both"/>
            </w:pPr>
            <w:r w:rsidRPr="006E5888">
              <w:rPr>
                <w:i/>
              </w:rPr>
              <w:t>13.panta pirmā daļa</w:t>
            </w:r>
          </w:p>
          <w:p w:rsidR="007B7C0C" w:rsidRPr="006E5888" w:rsidRDefault="007B7C0C" w:rsidP="003E26E0">
            <w:pPr>
              <w:jc w:val="both"/>
            </w:pPr>
            <w:r w:rsidRPr="006E5888">
              <w:t>Valsts budžeta līdzekļus sportam piešķir saskaņā ar gadskārtējo valsts budžeta likumu. Budžeta apakšprogrammas "Augstas klases sasniegumu sports" finansējuma apmērs tiek noteikts ne mazāks kā iepriekšējā budžeta gadā.</w:t>
            </w:r>
          </w:p>
        </w:tc>
      </w:tr>
      <w:tr w:rsidR="006B3186" w:rsidRPr="006E5888" w:rsidTr="00306932">
        <w:trPr>
          <w:trHeight w:val="253"/>
        </w:trPr>
        <w:tc>
          <w:tcPr>
            <w:tcW w:w="1413" w:type="dxa"/>
            <w:vAlign w:val="center"/>
          </w:tcPr>
          <w:p w:rsidR="006B3186" w:rsidRPr="006E5888" w:rsidRDefault="003E26E0" w:rsidP="003E26E0">
            <w:pPr>
              <w:jc w:val="center"/>
              <w:rPr>
                <w:b/>
              </w:rPr>
            </w:pPr>
            <w:r w:rsidRPr="006E5888">
              <w:rPr>
                <w:b/>
              </w:rPr>
              <w:t>VARAM</w:t>
            </w:r>
          </w:p>
        </w:tc>
        <w:tc>
          <w:tcPr>
            <w:tcW w:w="2165" w:type="dxa"/>
          </w:tcPr>
          <w:p w:rsidR="006B3186" w:rsidRPr="006E5888" w:rsidRDefault="003E26E0" w:rsidP="00415B67">
            <w:pPr>
              <w:jc w:val="center"/>
            </w:pPr>
            <w:r w:rsidRPr="006E5888">
              <w:t>Latvijas vides aizsardzības fonda likums</w:t>
            </w:r>
          </w:p>
        </w:tc>
        <w:tc>
          <w:tcPr>
            <w:tcW w:w="5773" w:type="dxa"/>
          </w:tcPr>
          <w:p w:rsidR="003E26E0" w:rsidRPr="006E5888" w:rsidRDefault="003E26E0" w:rsidP="003E26E0">
            <w:pPr>
              <w:jc w:val="both"/>
              <w:rPr>
                <w:i/>
              </w:rPr>
            </w:pPr>
            <w:r w:rsidRPr="006E5888">
              <w:rPr>
                <w:i/>
              </w:rPr>
              <w:t>5.pants</w:t>
            </w:r>
          </w:p>
          <w:p w:rsidR="006B3186" w:rsidRPr="006E5888" w:rsidRDefault="003E26E0" w:rsidP="003E26E0">
            <w:pPr>
              <w:jc w:val="both"/>
            </w:pPr>
            <w:r w:rsidRPr="006E5888">
              <w:t>Valsts budžeta dotācija Fondam</w:t>
            </w:r>
          </w:p>
          <w:p w:rsidR="003E26E0" w:rsidRPr="006E5888" w:rsidRDefault="003E26E0" w:rsidP="003E26E0">
            <w:pPr>
              <w:jc w:val="both"/>
            </w:pPr>
            <w:r w:rsidRPr="006E5888">
              <w:t>Fondam piešķirtā valsts budžeta dotācija no vispārējiem ieņēmumiem nevar būt mazāka kā iepriekšējā budžeta gadā.</w:t>
            </w:r>
          </w:p>
        </w:tc>
      </w:tr>
      <w:tr w:rsidR="003E26E0" w:rsidRPr="006E5888" w:rsidTr="00306932">
        <w:trPr>
          <w:trHeight w:val="253"/>
        </w:trPr>
        <w:tc>
          <w:tcPr>
            <w:tcW w:w="1413" w:type="dxa"/>
            <w:vAlign w:val="center"/>
          </w:tcPr>
          <w:p w:rsidR="003E26E0" w:rsidRPr="006E5888" w:rsidRDefault="00715BD8" w:rsidP="0060228A">
            <w:pPr>
              <w:jc w:val="center"/>
              <w:rPr>
                <w:b/>
              </w:rPr>
            </w:pPr>
            <w:r w:rsidRPr="006E5888">
              <w:rPr>
                <w:b/>
              </w:rPr>
              <w:t>ZM</w:t>
            </w:r>
          </w:p>
        </w:tc>
        <w:tc>
          <w:tcPr>
            <w:tcW w:w="2165" w:type="dxa"/>
          </w:tcPr>
          <w:p w:rsidR="003E26E0" w:rsidRPr="006E5888" w:rsidRDefault="00715BD8" w:rsidP="00415B67">
            <w:pPr>
              <w:jc w:val="center"/>
            </w:pPr>
            <w:r w:rsidRPr="006E5888">
              <w:t>Lauksaimniecības un lauku attīstības likums</w:t>
            </w:r>
          </w:p>
        </w:tc>
        <w:tc>
          <w:tcPr>
            <w:tcW w:w="5773" w:type="dxa"/>
          </w:tcPr>
          <w:p w:rsidR="003E26E0" w:rsidRPr="006E5888" w:rsidRDefault="00715BD8" w:rsidP="00715BD8">
            <w:pPr>
              <w:rPr>
                <w:i/>
              </w:rPr>
            </w:pPr>
            <w:r w:rsidRPr="006E5888">
              <w:rPr>
                <w:i/>
              </w:rPr>
              <w:t>5.panta trešā daļa</w:t>
            </w:r>
          </w:p>
          <w:p w:rsidR="00715BD8" w:rsidRPr="006E5888" w:rsidRDefault="00715BD8" w:rsidP="00DF7C13">
            <w:pPr>
              <w:jc w:val="both"/>
            </w:pPr>
            <w:r w:rsidRPr="006E5888">
              <w:t xml:space="preserve">Valsts atbalsts lauksaimniecības attīstībai subsīdiju veidā nedrīkst būt mazāks par 2,5 procentiem no gada pamatbudžeta kopējiem izdevumiem, kas tiek segti no dotācijām no vispārējiem ieņēmumiem, atskaitot iemaksas </w:t>
            </w:r>
            <w:r w:rsidR="00DF7C13" w:rsidRPr="006E5888">
              <w:t>ES</w:t>
            </w:r>
            <w:r w:rsidRPr="006E5888">
              <w:t xml:space="preserve"> budžetā.</w:t>
            </w:r>
          </w:p>
        </w:tc>
      </w:tr>
    </w:tbl>
    <w:p w:rsidR="00A4285C" w:rsidRPr="006E5888" w:rsidRDefault="00A4285C" w:rsidP="008238E9">
      <w:pPr>
        <w:spacing w:before="120" w:after="120"/>
        <w:jc w:val="both"/>
        <w:rPr>
          <w:b/>
          <w:u w:val="single"/>
        </w:rPr>
      </w:pPr>
      <w:r w:rsidRPr="006E5888">
        <w:rPr>
          <w:b/>
          <w:u w:val="single"/>
        </w:rPr>
        <w:t>Budžeta paskaidrojumu pilnveidošana</w:t>
      </w:r>
    </w:p>
    <w:p w:rsidR="00A4285C" w:rsidRPr="006E5888" w:rsidRDefault="00A4285C" w:rsidP="00DF7C13">
      <w:pPr>
        <w:ind w:firstLine="709"/>
        <w:jc w:val="both"/>
      </w:pPr>
      <w:r w:rsidRPr="006E5888">
        <w:t>Budžeta plānošanas un politikas sasaiste ar rezultātu ir ne tikai jāpilnveido un sistemātiski jāattīsta, bet šai sasaistei ir jābūt arī uzskatāmi atspoguļotai budžeta dokumentācijā. Tādējādi ar budžeta plānošanas pilnveidošanu nesaraujami saistīts pasākums ir budžeta paskaidrojumu satura un kvalitātes pilnveidošana.</w:t>
      </w:r>
    </w:p>
    <w:p w:rsidR="00D3523B" w:rsidRPr="006E5888" w:rsidRDefault="00D3523B" w:rsidP="00D3523B">
      <w:pPr>
        <w:ind w:firstLine="709"/>
        <w:jc w:val="both"/>
        <w:rPr>
          <w:b/>
          <w:bCs/>
          <w:szCs w:val="24"/>
        </w:rPr>
      </w:pPr>
      <w:r w:rsidRPr="006E5888">
        <w:t xml:space="preserve">Pamatojoties uz ministriju valsts budžeta izdevumu pārskatīšanas sarunās sniegto informāciju un redzējumu, tika turpināts attīstīt budžeta paskaidrojumu pilnveidošanas priekšlikumus. </w:t>
      </w:r>
      <w:r w:rsidRPr="006E5888">
        <w:rPr>
          <w:rFonts w:eastAsiaTheme="majorEastAsia"/>
          <w:b/>
          <w:bCs/>
          <w:szCs w:val="24"/>
        </w:rPr>
        <w:t>Plānotā rīcība un mērķi</w:t>
      </w:r>
      <w:r w:rsidRPr="006E5888">
        <w:rPr>
          <w:b/>
          <w:bCs/>
          <w:szCs w:val="24"/>
        </w:rPr>
        <w:t>:</w:t>
      </w:r>
    </w:p>
    <w:p w:rsidR="00A4285C" w:rsidRPr="006E5888" w:rsidRDefault="00A4285C" w:rsidP="00B756BC">
      <w:pPr>
        <w:numPr>
          <w:ilvl w:val="0"/>
          <w:numId w:val="12"/>
        </w:numPr>
        <w:spacing w:line="259" w:lineRule="auto"/>
        <w:ind w:left="714" w:hanging="357"/>
        <w:jc w:val="both"/>
        <w:rPr>
          <w:szCs w:val="24"/>
        </w:rPr>
      </w:pPr>
      <w:r w:rsidRPr="006E5888">
        <w:rPr>
          <w:rFonts w:eastAsiaTheme="minorEastAsia"/>
          <w:szCs w:val="24"/>
        </w:rPr>
        <w:t xml:space="preserve">izvērtējot informācijas </w:t>
      </w:r>
      <w:r w:rsidRPr="006E5888">
        <w:rPr>
          <w:rFonts w:eastAsiaTheme="minorEastAsia"/>
          <w:bCs/>
          <w:szCs w:val="24"/>
        </w:rPr>
        <w:t>saturu un detalizācijas</w:t>
      </w:r>
      <w:r w:rsidRPr="006E5888">
        <w:rPr>
          <w:rFonts w:eastAsiaTheme="minorEastAsia"/>
          <w:szCs w:val="24"/>
        </w:rPr>
        <w:t xml:space="preserve"> pakāpi budžeta paskaidrojumos, </w:t>
      </w:r>
      <w:r w:rsidRPr="006E5888">
        <w:rPr>
          <w:rFonts w:eastAsiaTheme="minorEastAsia"/>
          <w:b/>
          <w:i/>
          <w:szCs w:val="24"/>
        </w:rPr>
        <w:t>palielināt budžeta</w:t>
      </w:r>
      <w:r w:rsidRPr="006E5888">
        <w:rPr>
          <w:rFonts w:eastAsiaTheme="minorEastAsia"/>
          <w:b/>
          <w:szCs w:val="24"/>
        </w:rPr>
        <w:t xml:space="preserve"> </w:t>
      </w:r>
      <w:r w:rsidRPr="006E5888">
        <w:rPr>
          <w:rFonts w:eastAsiaTheme="minorEastAsia"/>
          <w:b/>
          <w:bCs/>
          <w:i/>
          <w:szCs w:val="24"/>
        </w:rPr>
        <w:t>uztveramību</w:t>
      </w:r>
      <w:r w:rsidRPr="006E5888">
        <w:rPr>
          <w:rFonts w:eastAsiaTheme="minorEastAsia"/>
          <w:b/>
          <w:i/>
          <w:szCs w:val="24"/>
        </w:rPr>
        <w:t xml:space="preserve"> un </w:t>
      </w:r>
      <w:r w:rsidRPr="006E5888">
        <w:rPr>
          <w:rFonts w:eastAsiaTheme="minorEastAsia"/>
          <w:b/>
          <w:bCs/>
          <w:i/>
          <w:szCs w:val="24"/>
        </w:rPr>
        <w:t xml:space="preserve">budžeta izdevumu sasaisti ar attīstības plānošanas dokumentos </w:t>
      </w:r>
      <w:r w:rsidRPr="006E5888">
        <w:rPr>
          <w:rFonts w:eastAsiaTheme="minorEastAsia"/>
          <w:b/>
          <w:bCs/>
          <w:i/>
          <w:szCs w:val="24"/>
        </w:rPr>
        <w:lastRenderedPageBreak/>
        <w:t>noteiktajiem mērķiem</w:t>
      </w:r>
      <w:r w:rsidRPr="006E5888">
        <w:rPr>
          <w:rFonts w:eastAsiaTheme="minorEastAsia"/>
          <w:b/>
          <w:bCs/>
          <w:szCs w:val="24"/>
        </w:rPr>
        <w:t>,</w:t>
      </w:r>
      <w:r w:rsidRPr="006E5888">
        <w:rPr>
          <w:rFonts w:eastAsiaTheme="minorEastAsia"/>
          <w:bCs/>
          <w:szCs w:val="24"/>
        </w:rPr>
        <w:t xml:space="preserve"> politikas </w:t>
      </w:r>
      <w:r w:rsidRPr="006E5888">
        <w:rPr>
          <w:rFonts w:eastAsiaTheme="minorEastAsia"/>
          <w:szCs w:val="24"/>
        </w:rPr>
        <w:t xml:space="preserve">un darbības rezultatīvajiem rādītājiem, lai sniegtu informāciju par budžetu kā </w:t>
      </w:r>
      <w:r w:rsidRPr="006E5888">
        <w:rPr>
          <w:rFonts w:eastAsiaTheme="minorEastAsia"/>
          <w:bCs/>
          <w:szCs w:val="24"/>
        </w:rPr>
        <w:t>politikas realizācijas instrumentu;</w:t>
      </w:r>
    </w:p>
    <w:p w:rsidR="00A4285C" w:rsidRPr="006E5888" w:rsidRDefault="00EE6ACC" w:rsidP="00B756BC">
      <w:pPr>
        <w:numPr>
          <w:ilvl w:val="0"/>
          <w:numId w:val="12"/>
        </w:numPr>
        <w:spacing w:line="259" w:lineRule="auto"/>
        <w:ind w:left="714" w:hanging="357"/>
        <w:jc w:val="both"/>
        <w:rPr>
          <w:szCs w:val="24"/>
        </w:rPr>
      </w:pPr>
      <w:r w:rsidRPr="006E5888">
        <w:rPr>
          <w:rFonts w:eastAsiaTheme="minorEastAsia"/>
          <w:b/>
          <w:bCs/>
          <w:i/>
          <w:szCs w:val="24"/>
        </w:rPr>
        <w:t>nodrošināt</w:t>
      </w:r>
      <w:r w:rsidR="00A4285C" w:rsidRPr="006E5888">
        <w:rPr>
          <w:rFonts w:eastAsiaTheme="minorEastAsia"/>
          <w:bCs/>
          <w:i/>
          <w:szCs w:val="24"/>
        </w:rPr>
        <w:t xml:space="preserve"> </w:t>
      </w:r>
      <w:r w:rsidR="00A4285C" w:rsidRPr="006E5888">
        <w:rPr>
          <w:rFonts w:eastAsiaTheme="minorEastAsia"/>
          <w:bCs/>
          <w:szCs w:val="24"/>
        </w:rPr>
        <w:t xml:space="preserve">budžeta izstrādes procesā </w:t>
      </w:r>
      <w:r w:rsidR="00A4285C" w:rsidRPr="006E5888">
        <w:rPr>
          <w:rFonts w:eastAsiaTheme="minorEastAsia"/>
          <w:b/>
          <w:i/>
          <w:szCs w:val="24"/>
        </w:rPr>
        <w:t>budžeta plānošanas un lēmuma pieņemšanas</w:t>
      </w:r>
      <w:r w:rsidR="00A4285C" w:rsidRPr="006E5888">
        <w:rPr>
          <w:rFonts w:eastAsiaTheme="minorEastAsia"/>
          <w:szCs w:val="24"/>
        </w:rPr>
        <w:t xml:space="preserve"> par papildu </w:t>
      </w:r>
      <w:r w:rsidR="00A4285C" w:rsidRPr="006E5888">
        <w:t xml:space="preserve">finansējumiem </w:t>
      </w:r>
      <w:r w:rsidR="00A4285C" w:rsidRPr="006E5888">
        <w:rPr>
          <w:rFonts w:eastAsiaTheme="minorEastAsia"/>
          <w:szCs w:val="24"/>
        </w:rPr>
        <w:t>procesu</w:t>
      </w:r>
      <w:r w:rsidR="00A4285C" w:rsidRPr="006E5888">
        <w:rPr>
          <w:rFonts w:eastAsiaTheme="minorEastAsia"/>
          <w:i/>
          <w:szCs w:val="24"/>
        </w:rPr>
        <w:t xml:space="preserve"> </w:t>
      </w:r>
      <w:r w:rsidR="00A4285C" w:rsidRPr="006E5888">
        <w:rPr>
          <w:rFonts w:eastAsiaTheme="minorEastAsia"/>
          <w:b/>
          <w:i/>
          <w:szCs w:val="24"/>
        </w:rPr>
        <w:t>sasaisti</w:t>
      </w:r>
      <w:r w:rsidR="00A4285C" w:rsidRPr="006E5888">
        <w:rPr>
          <w:rFonts w:eastAsiaTheme="minorEastAsia"/>
          <w:i/>
          <w:szCs w:val="24"/>
        </w:rPr>
        <w:t xml:space="preserve"> </w:t>
      </w:r>
      <w:r w:rsidR="00A4285C" w:rsidRPr="006E5888">
        <w:rPr>
          <w:rFonts w:eastAsiaTheme="minorEastAsia"/>
          <w:szCs w:val="24"/>
        </w:rPr>
        <w:t xml:space="preserve">ar sagaidāmajiem </w:t>
      </w:r>
      <w:r w:rsidR="00A4285C" w:rsidRPr="006E5888">
        <w:rPr>
          <w:rFonts w:eastAsiaTheme="minorEastAsia"/>
          <w:b/>
          <w:i/>
          <w:szCs w:val="24"/>
        </w:rPr>
        <w:t>rezultātiem</w:t>
      </w:r>
      <w:r w:rsidR="00A4285C" w:rsidRPr="006E5888">
        <w:rPr>
          <w:rFonts w:eastAsiaTheme="minorEastAsia"/>
          <w:szCs w:val="24"/>
        </w:rPr>
        <w:t xml:space="preserve"> un to </w:t>
      </w:r>
      <w:r w:rsidR="00A4285C" w:rsidRPr="006E5888">
        <w:rPr>
          <w:rFonts w:eastAsiaTheme="minorEastAsia"/>
          <w:b/>
          <w:i/>
          <w:szCs w:val="24"/>
        </w:rPr>
        <w:t>izpildi</w:t>
      </w:r>
      <w:r w:rsidR="00A4285C" w:rsidRPr="006E5888">
        <w:rPr>
          <w:rFonts w:eastAsiaTheme="minorEastAsia"/>
          <w:szCs w:val="24"/>
        </w:rPr>
        <w:t>.</w:t>
      </w:r>
    </w:p>
    <w:p w:rsidR="00A4285C" w:rsidRPr="006E5888" w:rsidRDefault="00A4285C" w:rsidP="00744777">
      <w:pPr>
        <w:ind w:firstLine="357"/>
        <w:rPr>
          <w:bCs/>
          <w:szCs w:val="24"/>
        </w:rPr>
      </w:pPr>
      <w:r w:rsidRPr="006E5888">
        <w:rPr>
          <w:rFonts w:eastAsiaTheme="majorEastAsia"/>
          <w:bCs/>
          <w:szCs w:val="24"/>
        </w:rPr>
        <w:t xml:space="preserve">Pilnveidojot budžeta paskaidrojumus, </w:t>
      </w:r>
      <w:r w:rsidRPr="006E5888">
        <w:rPr>
          <w:rFonts w:eastAsiaTheme="majorEastAsia"/>
          <w:b/>
          <w:bCs/>
          <w:szCs w:val="24"/>
        </w:rPr>
        <w:t>sagaidāmie ieguvumi</w:t>
      </w:r>
      <w:r w:rsidRPr="006E5888">
        <w:rPr>
          <w:bCs/>
          <w:szCs w:val="24"/>
        </w:rPr>
        <w:t>:</w:t>
      </w:r>
    </w:p>
    <w:p w:rsidR="00D3523B" w:rsidRPr="006E5888" w:rsidRDefault="00D3523B" w:rsidP="00D3523B">
      <w:pPr>
        <w:numPr>
          <w:ilvl w:val="0"/>
          <w:numId w:val="13"/>
        </w:numPr>
        <w:jc w:val="both"/>
        <w:rPr>
          <w:szCs w:val="24"/>
        </w:rPr>
      </w:pPr>
      <w:r w:rsidRPr="006E5888">
        <w:rPr>
          <w:rFonts w:eastAsiaTheme="minorEastAsia"/>
          <w:szCs w:val="24"/>
        </w:rPr>
        <w:t xml:space="preserve">ministrijas izstrādās </w:t>
      </w:r>
      <w:r w:rsidRPr="006E5888">
        <w:rPr>
          <w:rFonts w:eastAsiaTheme="minorEastAsia"/>
          <w:b/>
          <w:i/>
          <w:szCs w:val="24"/>
        </w:rPr>
        <w:t>politikas un resursu vadības karti</w:t>
      </w:r>
      <w:r w:rsidRPr="006E5888">
        <w:rPr>
          <w:rFonts w:eastAsiaTheme="minorEastAsia"/>
          <w:szCs w:val="24"/>
        </w:rPr>
        <w:t xml:space="preserve"> (sarunās ar nozaru ministrijām lietots nosaukums “mērinstrumentu panelis”) katrai tās atbildībā esošajai nozarei/jomai, kas ietvers sekojošus elementus:</w:t>
      </w:r>
    </w:p>
    <w:p w:rsidR="00A4285C" w:rsidRPr="006E5888" w:rsidRDefault="00A4285C" w:rsidP="00A4285C">
      <w:pPr>
        <w:ind w:left="1440"/>
        <w:jc w:val="both"/>
        <w:rPr>
          <w:szCs w:val="24"/>
        </w:rPr>
      </w:pPr>
      <w:r w:rsidRPr="006E5888">
        <w:rPr>
          <w:szCs w:val="24"/>
        </w:rPr>
        <w:t>- mērķis (kuru sasniedzot tiktu atrisināta galvenā nozares problemātika);</w:t>
      </w:r>
    </w:p>
    <w:p w:rsidR="00A4285C" w:rsidRPr="006E5888" w:rsidRDefault="00A4285C" w:rsidP="00A4285C">
      <w:pPr>
        <w:ind w:left="1440"/>
        <w:jc w:val="both"/>
        <w:rPr>
          <w:szCs w:val="24"/>
        </w:rPr>
      </w:pPr>
      <w:r w:rsidRPr="006E5888">
        <w:rPr>
          <w:szCs w:val="24"/>
        </w:rPr>
        <w:t>- būtiskākie nozares politikas rezultatīvie rādītāji (</w:t>
      </w:r>
      <w:proofErr w:type="spellStart"/>
      <w:r w:rsidRPr="006E5888">
        <w:rPr>
          <w:i/>
          <w:szCs w:val="24"/>
        </w:rPr>
        <w:t>outcome</w:t>
      </w:r>
      <w:proofErr w:type="spellEnd"/>
      <w:r w:rsidRPr="006E5888">
        <w:rPr>
          <w:szCs w:val="24"/>
        </w:rPr>
        <w:t>);</w:t>
      </w:r>
    </w:p>
    <w:p w:rsidR="00A4285C" w:rsidRPr="006E5888" w:rsidRDefault="00A4285C" w:rsidP="00A4285C">
      <w:pPr>
        <w:ind w:left="1440"/>
        <w:jc w:val="both"/>
        <w:rPr>
          <w:szCs w:val="24"/>
        </w:rPr>
      </w:pPr>
      <w:r w:rsidRPr="006E5888">
        <w:rPr>
          <w:szCs w:val="24"/>
        </w:rPr>
        <w:t>- ieguldījumus raksturojošie rādītāji (</w:t>
      </w:r>
      <w:proofErr w:type="spellStart"/>
      <w:r w:rsidRPr="006E5888">
        <w:rPr>
          <w:i/>
          <w:szCs w:val="24"/>
        </w:rPr>
        <w:t>input</w:t>
      </w:r>
      <w:proofErr w:type="spellEnd"/>
      <w:r w:rsidRPr="006E5888">
        <w:rPr>
          <w:szCs w:val="24"/>
        </w:rPr>
        <w:t>);</w:t>
      </w:r>
    </w:p>
    <w:p w:rsidR="00A4285C" w:rsidRPr="006E5888" w:rsidRDefault="00A4285C" w:rsidP="00A4285C">
      <w:pPr>
        <w:ind w:left="1440"/>
        <w:jc w:val="both"/>
        <w:rPr>
          <w:szCs w:val="24"/>
        </w:rPr>
      </w:pPr>
      <w:r w:rsidRPr="006E5888">
        <w:rPr>
          <w:szCs w:val="24"/>
        </w:rPr>
        <w:t>- svarīgākie darbības rezultatīvie rādītāji (</w:t>
      </w:r>
      <w:proofErr w:type="spellStart"/>
      <w:r w:rsidRPr="006E5888">
        <w:rPr>
          <w:i/>
          <w:szCs w:val="24"/>
        </w:rPr>
        <w:t>output</w:t>
      </w:r>
      <w:proofErr w:type="spellEnd"/>
      <w:r w:rsidRPr="006E5888">
        <w:rPr>
          <w:szCs w:val="24"/>
        </w:rPr>
        <w:t>);</w:t>
      </w:r>
    </w:p>
    <w:p w:rsidR="00A4285C" w:rsidRPr="006E5888" w:rsidRDefault="00A4285C" w:rsidP="00A4285C">
      <w:pPr>
        <w:ind w:left="1440"/>
        <w:jc w:val="both"/>
        <w:rPr>
          <w:szCs w:val="24"/>
        </w:rPr>
      </w:pPr>
      <w:r w:rsidRPr="006E5888">
        <w:rPr>
          <w:szCs w:val="24"/>
        </w:rPr>
        <w:t>- nozares nemateriāls novērtējums – kvalitāte, uzticamība u.tml.</w:t>
      </w:r>
    </w:p>
    <w:p w:rsidR="00A4285C" w:rsidRPr="006E5888" w:rsidRDefault="00A4285C" w:rsidP="00A4285C">
      <w:pPr>
        <w:jc w:val="both"/>
        <w:rPr>
          <w:szCs w:val="24"/>
        </w:rPr>
      </w:pPr>
      <w:r w:rsidRPr="006E5888">
        <w:rPr>
          <w:szCs w:val="24"/>
        </w:rPr>
        <w:tab/>
        <w:t>Tādējādi tiks attīstīta nozaru ieguldījumu un snieguma mērīšanas sistēma;</w:t>
      </w:r>
    </w:p>
    <w:p w:rsidR="00A4285C" w:rsidRPr="006E5888" w:rsidRDefault="00A4285C" w:rsidP="00B756BC">
      <w:pPr>
        <w:numPr>
          <w:ilvl w:val="0"/>
          <w:numId w:val="14"/>
        </w:numPr>
        <w:jc w:val="both"/>
        <w:rPr>
          <w:szCs w:val="24"/>
        </w:rPr>
      </w:pPr>
      <w:r w:rsidRPr="006E5888">
        <w:rPr>
          <w:rFonts w:eastAsiaTheme="minorEastAsia"/>
          <w:szCs w:val="24"/>
        </w:rPr>
        <w:t xml:space="preserve">ministriju budžeta paskaidrojumos tiks pilnveidota informācija par </w:t>
      </w:r>
      <w:r w:rsidRPr="006E5888">
        <w:rPr>
          <w:rFonts w:eastAsiaTheme="minorEastAsia"/>
          <w:b/>
          <w:bCs/>
          <w:i/>
          <w:szCs w:val="24"/>
        </w:rPr>
        <w:t>papildu finansējum</w:t>
      </w:r>
      <w:r w:rsidR="00101B27" w:rsidRPr="006E5888">
        <w:rPr>
          <w:rFonts w:eastAsiaTheme="minorEastAsia"/>
          <w:b/>
          <w:bCs/>
          <w:i/>
          <w:szCs w:val="24"/>
        </w:rPr>
        <w:t>u</w:t>
      </w:r>
      <w:r w:rsidRPr="006E5888">
        <w:rPr>
          <w:rFonts w:eastAsiaTheme="minorEastAsia"/>
          <w:bCs/>
          <w:i/>
          <w:szCs w:val="24"/>
        </w:rPr>
        <w:t xml:space="preserve"> </w:t>
      </w:r>
      <w:r w:rsidRPr="006E5888">
        <w:rPr>
          <w:rFonts w:eastAsiaTheme="minorEastAsia"/>
          <w:szCs w:val="24"/>
        </w:rPr>
        <w:t>(</w:t>
      </w:r>
      <w:r w:rsidRPr="006E5888">
        <w:rPr>
          <w:bCs/>
          <w:szCs w:val="24"/>
        </w:rPr>
        <w:t xml:space="preserve">JPI, </w:t>
      </w:r>
      <w:r w:rsidRPr="006E5888">
        <w:rPr>
          <w:rFonts w:eastAsiaTheme="minorEastAsia"/>
          <w:szCs w:val="24"/>
        </w:rPr>
        <w:t xml:space="preserve">citiem prioritāriem/neatliekamiem pasākumiem) un </w:t>
      </w:r>
      <w:r w:rsidRPr="006E5888">
        <w:rPr>
          <w:rFonts w:eastAsiaTheme="minorEastAsia"/>
          <w:bCs/>
          <w:szCs w:val="24"/>
        </w:rPr>
        <w:t xml:space="preserve">to </w:t>
      </w:r>
      <w:r w:rsidRPr="006E5888">
        <w:rPr>
          <w:rFonts w:eastAsiaTheme="minorEastAsia"/>
          <w:b/>
          <w:bCs/>
          <w:i/>
          <w:szCs w:val="24"/>
        </w:rPr>
        <w:t>sasaisti ar</w:t>
      </w:r>
      <w:r w:rsidRPr="006E5888">
        <w:rPr>
          <w:rFonts w:eastAsiaTheme="minorEastAsia"/>
          <w:bCs/>
          <w:i/>
          <w:szCs w:val="24"/>
        </w:rPr>
        <w:t xml:space="preserve"> </w:t>
      </w:r>
      <w:r w:rsidRPr="006E5888">
        <w:rPr>
          <w:rFonts w:eastAsiaTheme="minorEastAsia"/>
          <w:szCs w:val="24"/>
        </w:rPr>
        <w:t xml:space="preserve">sagaidāmajiem darbības </w:t>
      </w:r>
      <w:r w:rsidRPr="006E5888">
        <w:rPr>
          <w:rFonts w:eastAsiaTheme="minorEastAsia"/>
          <w:b/>
          <w:i/>
          <w:szCs w:val="24"/>
        </w:rPr>
        <w:t>rezultātiem</w:t>
      </w:r>
      <w:r w:rsidRPr="006E5888">
        <w:rPr>
          <w:rFonts w:eastAsiaTheme="minorEastAsia"/>
          <w:szCs w:val="24"/>
        </w:rPr>
        <w:t xml:space="preserve"> un to rezultatīvajiem </w:t>
      </w:r>
      <w:r w:rsidRPr="006E5888">
        <w:rPr>
          <w:rFonts w:eastAsiaTheme="minorEastAsia"/>
          <w:b/>
          <w:i/>
          <w:szCs w:val="24"/>
        </w:rPr>
        <w:t>rādītājiem</w:t>
      </w:r>
      <w:r w:rsidRPr="006E5888">
        <w:rPr>
          <w:szCs w:val="24"/>
        </w:rPr>
        <w:t xml:space="preserve">. Informācija tiks atspoguļota par </w:t>
      </w:r>
      <w:r w:rsidR="00101B27" w:rsidRPr="006E5888">
        <w:rPr>
          <w:szCs w:val="24"/>
        </w:rPr>
        <w:t>turpmākajiem trīs</w:t>
      </w:r>
      <w:r w:rsidRPr="006E5888">
        <w:rPr>
          <w:szCs w:val="24"/>
        </w:rPr>
        <w:t xml:space="preserve"> gadiem;</w:t>
      </w:r>
    </w:p>
    <w:p w:rsidR="00A4285C" w:rsidRPr="006E5888" w:rsidRDefault="00A4285C" w:rsidP="00B756BC">
      <w:pPr>
        <w:numPr>
          <w:ilvl w:val="0"/>
          <w:numId w:val="14"/>
        </w:numPr>
        <w:jc w:val="both"/>
        <w:rPr>
          <w:szCs w:val="24"/>
        </w:rPr>
      </w:pPr>
      <w:r w:rsidRPr="006E5888">
        <w:rPr>
          <w:rFonts w:eastAsiaTheme="minorEastAsia"/>
          <w:szCs w:val="24"/>
        </w:rPr>
        <w:t xml:space="preserve">uzlabosies budžeta dokumentācijas </w:t>
      </w:r>
      <w:r w:rsidRPr="006E5888">
        <w:rPr>
          <w:rFonts w:eastAsiaTheme="minorEastAsia"/>
          <w:b/>
          <w:bCs/>
          <w:i/>
          <w:szCs w:val="24"/>
        </w:rPr>
        <w:t>uztveramība</w:t>
      </w:r>
      <w:r w:rsidRPr="006E5888">
        <w:rPr>
          <w:rFonts w:eastAsiaTheme="minorEastAsia"/>
          <w:szCs w:val="24"/>
        </w:rPr>
        <w:t>, samazinot budžeta paskaidrojumos esošās tehniskās informācijas apjomu</w:t>
      </w:r>
      <w:r w:rsidRPr="006E5888">
        <w:rPr>
          <w:szCs w:val="24"/>
        </w:rPr>
        <w:t>;</w:t>
      </w:r>
    </w:p>
    <w:p w:rsidR="00A4285C" w:rsidRPr="006E5888" w:rsidRDefault="00A4285C" w:rsidP="0077713A">
      <w:pPr>
        <w:numPr>
          <w:ilvl w:val="0"/>
          <w:numId w:val="14"/>
        </w:numPr>
        <w:jc w:val="both"/>
        <w:rPr>
          <w:szCs w:val="24"/>
        </w:rPr>
      </w:pPr>
      <w:r w:rsidRPr="006E5888">
        <w:rPr>
          <w:szCs w:val="24"/>
        </w:rPr>
        <w:t>tiks izskatītas iespējas</w:t>
      </w:r>
      <w:r w:rsidRPr="006E5888">
        <w:rPr>
          <w:rFonts w:eastAsiaTheme="minorEastAsia"/>
          <w:szCs w:val="24"/>
        </w:rPr>
        <w:t xml:space="preserve"> </w:t>
      </w:r>
      <w:r w:rsidRPr="006E5888">
        <w:rPr>
          <w:rFonts w:eastAsiaTheme="minorEastAsia"/>
          <w:b/>
          <w:bCs/>
          <w:i/>
          <w:szCs w:val="24"/>
        </w:rPr>
        <w:t>racionalizēt</w:t>
      </w:r>
      <w:r w:rsidRPr="006E5888">
        <w:rPr>
          <w:rFonts w:eastAsiaTheme="minorEastAsia"/>
          <w:szCs w:val="24"/>
        </w:rPr>
        <w:t xml:space="preserve"> budžeta paskaidrojumu sagatavošanu, nodrošinot, ka tiks izmantota uzkrātā informācija un ministrijām nebūs viena un tā pati informācija jāievada vairākās formās, tādējādi mazinot </w:t>
      </w:r>
      <w:r w:rsidRPr="006E5888">
        <w:rPr>
          <w:rFonts w:eastAsiaTheme="minorEastAsia"/>
          <w:b/>
          <w:i/>
          <w:szCs w:val="24"/>
        </w:rPr>
        <w:t>administratīvo</w:t>
      </w:r>
      <w:r w:rsidRPr="006E5888">
        <w:rPr>
          <w:rFonts w:eastAsiaTheme="minorEastAsia"/>
          <w:i/>
          <w:szCs w:val="24"/>
        </w:rPr>
        <w:t xml:space="preserve"> </w:t>
      </w:r>
      <w:r w:rsidRPr="006E5888">
        <w:rPr>
          <w:rFonts w:eastAsiaTheme="minorEastAsia"/>
          <w:b/>
          <w:i/>
          <w:szCs w:val="24"/>
        </w:rPr>
        <w:t>slogu</w:t>
      </w:r>
      <w:r w:rsidRPr="006E5888">
        <w:rPr>
          <w:rFonts w:eastAsiaTheme="minorEastAsia"/>
          <w:i/>
          <w:szCs w:val="24"/>
        </w:rPr>
        <w:t xml:space="preserve"> </w:t>
      </w:r>
      <w:r w:rsidRPr="006E5888">
        <w:rPr>
          <w:rFonts w:eastAsiaTheme="minorEastAsia"/>
          <w:szCs w:val="24"/>
        </w:rPr>
        <w:t xml:space="preserve">(tiks izmantota </w:t>
      </w:r>
      <w:r w:rsidR="0077713A" w:rsidRPr="006E5888">
        <w:rPr>
          <w:rFonts w:eastAsiaTheme="minorEastAsia"/>
          <w:szCs w:val="24"/>
        </w:rPr>
        <w:t>Vienotajā valsts budžeta plānošanas un izpildes informācijas sistēmā (</w:t>
      </w:r>
      <w:r w:rsidRPr="006E5888">
        <w:rPr>
          <w:rFonts w:eastAsiaTheme="minorEastAsia"/>
          <w:szCs w:val="24"/>
        </w:rPr>
        <w:t>SAP</w:t>
      </w:r>
      <w:r w:rsidR="0077713A" w:rsidRPr="006E5888">
        <w:rPr>
          <w:rFonts w:eastAsiaTheme="minorEastAsia"/>
          <w:szCs w:val="24"/>
        </w:rPr>
        <w:t>)</w:t>
      </w:r>
      <w:r w:rsidRPr="006E5888">
        <w:rPr>
          <w:rFonts w:eastAsiaTheme="minorEastAsia"/>
          <w:szCs w:val="24"/>
        </w:rPr>
        <w:t xml:space="preserve"> programmā pieejamā informācija);</w:t>
      </w:r>
    </w:p>
    <w:p w:rsidR="00A4285C" w:rsidRPr="006E5888" w:rsidRDefault="00A4285C" w:rsidP="00B756BC">
      <w:pPr>
        <w:numPr>
          <w:ilvl w:val="0"/>
          <w:numId w:val="14"/>
        </w:numPr>
        <w:jc w:val="both"/>
        <w:rPr>
          <w:bCs/>
          <w:szCs w:val="24"/>
        </w:rPr>
      </w:pPr>
      <w:r w:rsidRPr="006E5888">
        <w:rPr>
          <w:bCs/>
          <w:szCs w:val="24"/>
        </w:rPr>
        <w:t xml:space="preserve">tiks izvērtēta iespēja ieviest </w:t>
      </w:r>
      <w:r w:rsidRPr="006E5888">
        <w:rPr>
          <w:b/>
          <w:i/>
          <w:szCs w:val="24"/>
        </w:rPr>
        <w:t>budžeta</w:t>
      </w:r>
      <w:r w:rsidRPr="006E5888">
        <w:rPr>
          <w:i/>
          <w:szCs w:val="24"/>
        </w:rPr>
        <w:t xml:space="preserve"> </w:t>
      </w:r>
      <w:r w:rsidRPr="006E5888">
        <w:rPr>
          <w:b/>
          <w:i/>
          <w:szCs w:val="24"/>
        </w:rPr>
        <w:t>programmu</w:t>
      </w:r>
      <w:r w:rsidRPr="006E5888">
        <w:rPr>
          <w:i/>
          <w:szCs w:val="24"/>
        </w:rPr>
        <w:t xml:space="preserve"> </w:t>
      </w:r>
      <w:r w:rsidRPr="006E5888">
        <w:rPr>
          <w:b/>
          <w:i/>
          <w:szCs w:val="24"/>
        </w:rPr>
        <w:t>pasi</w:t>
      </w:r>
      <w:r w:rsidRPr="006E5888">
        <w:rPr>
          <w:i/>
          <w:szCs w:val="24"/>
        </w:rPr>
        <w:t xml:space="preserve"> </w:t>
      </w:r>
      <w:r w:rsidRPr="006E5888">
        <w:rPr>
          <w:szCs w:val="24"/>
        </w:rPr>
        <w:t>un to</w:t>
      </w:r>
      <w:r w:rsidRPr="006E5888">
        <w:rPr>
          <w:bCs/>
          <w:szCs w:val="24"/>
        </w:rPr>
        <w:t xml:space="preserve"> </w:t>
      </w:r>
      <w:r w:rsidRPr="006E5888">
        <w:rPr>
          <w:b/>
          <w:bCs/>
          <w:i/>
          <w:szCs w:val="24"/>
        </w:rPr>
        <w:t>sasaistīt</w:t>
      </w:r>
      <w:r w:rsidRPr="006E5888">
        <w:rPr>
          <w:bCs/>
          <w:i/>
          <w:szCs w:val="24"/>
        </w:rPr>
        <w:t xml:space="preserve"> </w:t>
      </w:r>
      <w:r w:rsidRPr="006E5888">
        <w:rPr>
          <w:bCs/>
          <w:szCs w:val="24"/>
        </w:rPr>
        <w:t>ar</w:t>
      </w:r>
      <w:r w:rsidRPr="006E5888">
        <w:rPr>
          <w:bCs/>
          <w:i/>
          <w:szCs w:val="24"/>
        </w:rPr>
        <w:t xml:space="preserve"> </w:t>
      </w:r>
      <w:r w:rsidRPr="006E5888">
        <w:rPr>
          <w:bCs/>
          <w:szCs w:val="24"/>
        </w:rPr>
        <w:t xml:space="preserve">jau šobrīd pastāvošo </w:t>
      </w:r>
      <w:r w:rsidRPr="006E5888">
        <w:rPr>
          <w:b/>
          <w:bCs/>
          <w:i/>
          <w:szCs w:val="24"/>
        </w:rPr>
        <w:t>politikas rezultātu un to rezultatīvo rādītāju pasi</w:t>
      </w:r>
      <w:r w:rsidRPr="006E5888">
        <w:rPr>
          <w:bCs/>
          <w:szCs w:val="24"/>
        </w:rPr>
        <w:t xml:space="preserve"> (</w:t>
      </w:r>
      <w:r w:rsidRPr="006E5888">
        <w:t>MK instrukcija Nr.16</w:t>
      </w:r>
      <w:r w:rsidR="00830E1C" w:rsidRPr="006E5888">
        <w:rPr>
          <w:rStyle w:val="FootnoteReference"/>
        </w:rPr>
        <w:footnoteReference w:id="2"/>
      </w:r>
      <w:r w:rsidRPr="006E5888">
        <w:t>).</w:t>
      </w:r>
      <w:r w:rsidRPr="006E5888">
        <w:rPr>
          <w:bCs/>
          <w:szCs w:val="24"/>
        </w:rPr>
        <w:t xml:space="preserve"> B</w:t>
      </w:r>
      <w:r w:rsidRPr="006E5888">
        <w:rPr>
          <w:szCs w:val="24"/>
        </w:rPr>
        <w:t>udžeta programmu pase tiktu veidota kā strukturēts dokuments, kur tiktu uzkrāta un aktualizēta informāci</w:t>
      </w:r>
      <w:r w:rsidR="00FA6194" w:rsidRPr="006E5888">
        <w:rPr>
          <w:szCs w:val="24"/>
        </w:rPr>
        <w:t>ja par katru budžeta programmu/</w:t>
      </w:r>
      <w:r w:rsidRPr="006E5888">
        <w:rPr>
          <w:szCs w:val="24"/>
        </w:rPr>
        <w:t xml:space="preserve">apakšprogrammu. Papildus pasē tiktu atspoguļota sasaiste ar attīstības plānošanas dokumentos, normatīvajos aktos </w:t>
      </w:r>
      <w:r w:rsidRPr="006E5888">
        <w:rPr>
          <w:bCs/>
          <w:szCs w:val="24"/>
        </w:rPr>
        <w:t>minētajām politikas prioritātēm, virzieniem, mērķiem</w:t>
      </w:r>
      <w:r w:rsidRPr="006E5888">
        <w:rPr>
          <w:szCs w:val="24"/>
        </w:rPr>
        <w:t>,</w:t>
      </w:r>
      <w:r w:rsidRPr="006E5888">
        <w:rPr>
          <w:bCs/>
          <w:szCs w:val="24"/>
        </w:rPr>
        <w:t xml:space="preserve"> politikas rezultātiem un to rezultatīvajiem rādītājiem,</w:t>
      </w:r>
      <w:r w:rsidRPr="006E5888">
        <w:rPr>
          <w:szCs w:val="24"/>
        </w:rPr>
        <w:t xml:space="preserve"> </w:t>
      </w:r>
      <w:r w:rsidRPr="006E5888">
        <w:rPr>
          <w:bCs/>
          <w:szCs w:val="24"/>
        </w:rPr>
        <w:t>darbības rezultātiem un to rezultatīvajiem rādītājiem, kas attieca</w:t>
      </w:r>
      <w:r w:rsidR="00FA6194" w:rsidRPr="006E5888">
        <w:rPr>
          <w:bCs/>
          <w:szCs w:val="24"/>
        </w:rPr>
        <w:t>s uz programmu/</w:t>
      </w:r>
      <w:r w:rsidRPr="006E5888">
        <w:rPr>
          <w:bCs/>
          <w:szCs w:val="24"/>
        </w:rPr>
        <w:t>apakšprogrammu. Budžeta programmu pasē uzkrātā informācija tiktu izmantota atbilstoši nepieciešamībai budžeta paskaidrojumu sagatavošanā</w:t>
      </w:r>
      <w:r w:rsidRPr="006E5888">
        <w:rPr>
          <w:szCs w:val="24"/>
        </w:rPr>
        <w:t>;</w:t>
      </w:r>
    </w:p>
    <w:p w:rsidR="00671279" w:rsidRPr="006E5888" w:rsidRDefault="00A4285C" w:rsidP="00B756BC">
      <w:pPr>
        <w:numPr>
          <w:ilvl w:val="0"/>
          <w:numId w:val="14"/>
        </w:numPr>
        <w:spacing w:after="120"/>
        <w:ind w:left="714" w:hanging="357"/>
        <w:jc w:val="both"/>
        <w:rPr>
          <w:bCs/>
          <w:szCs w:val="24"/>
        </w:rPr>
      </w:pPr>
      <w:r w:rsidRPr="006E5888">
        <w:rPr>
          <w:szCs w:val="24"/>
        </w:rPr>
        <w:t xml:space="preserve">tiks izvērtēta iespēja nodrošināt informāciju par </w:t>
      </w:r>
      <w:r w:rsidRPr="006E5888">
        <w:rPr>
          <w:b/>
          <w:i/>
          <w:szCs w:val="24"/>
        </w:rPr>
        <w:t>JPI, citu prioritāru/</w:t>
      </w:r>
      <w:r w:rsidRPr="006E5888">
        <w:rPr>
          <w:rFonts w:eastAsiaTheme="minorEastAsia"/>
          <w:b/>
          <w:i/>
          <w:szCs w:val="24"/>
        </w:rPr>
        <w:t>neatliekamu</w:t>
      </w:r>
      <w:r w:rsidRPr="006E5888">
        <w:rPr>
          <w:b/>
          <w:i/>
          <w:szCs w:val="24"/>
        </w:rPr>
        <w:t xml:space="preserve"> pasākumu</w:t>
      </w:r>
      <w:r w:rsidRPr="006E5888">
        <w:rPr>
          <w:szCs w:val="24"/>
        </w:rPr>
        <w:t xml:space="preserve"> vidējam termiņam </w:t>
      </w:r>
      <w:r w:rsidRPr="006E5888">
        <w:rPr>
          <w:b/>
          <w:i/>
          <w:szCs w:val="24"/>
        </w:rPr>
        <w:t>izpildi</w:t>
      </w:r>
      <w:r w:rsidRPr="006E5888">
        <w:rPr>
          <w:b/>
          <w:szCs w:val="24"/>
        </w:rPr>
        <w:t>,</w:t>
      </w:r>
      <w:r w:rsidRPr="006E5888">
        <w:rPr>
          <w:szCs w:val="24"/>
        </w:rPr>
        <w:t xml:space="preserve"> pilnveidojot atskaitīšanās procesu (MK </w:t>
      </w:r>
      <w:r w:rsidRPr="006E5888">
        <w:t>instrukcija Nr.8</w:t>
      </w:r>
      <w:r w:rsidR="0088619F" w:rsidRPr="006E5888">
        <w:rPr>
          <w:rStyle w:val="FootnoteReference"/>
        </w:rPr>
        <w:footnoteReference w:id="3"/>
      </w:r>
      <w:r w:rsidRPr="006E5888">
        <w:t>)</w:t>
      </w:r>
      <w:r w:rsidRPr="006E5888">
        <w:rPr>
          <w:szCs w:val="24"/>
        </w:rPr>
        <w:t>.</w:t>
      </w:r>
    </w:p>
    <w:p w:rsidR="00EA1ED9" w:rsidRPr="006E5888" w:rsidRDefault="00EA1ED9" w:rsidP="009B302D">
      <w:pPr>
        <w:pStyle w:val="Heading1"/>
        <w:numPr>
          <w:ilvl w:val="0"/>
          <w:numId w:val="6"/>
        </w:numPr>
        <w:spacing w:after="120"/>
        <w:ind w:left="426" w:hanging="426"/>
        <w:rPr>
          <w:rFonts w:ascii="Times New Roman" w:eastAsiaTheme="minorHAnsi" w:hAnsi="Times New Roman" w:cstheme="minorBidi"/>
          <w:color w:val="auto"/>
          <w:sz w:val="24"/>
          <w:szCs w:val="22"/>
        </w:rPr>
      </w:pPr>
      <w:bookmarkStart w:id="3" w:name="_Toc451340341"/>
      <w:r w:rsidRPr="006E5888">
        <w:rPr>
          <w:rFonts w:ascii="Times New Roman" w:hAnsi="Times New Roman" w:cs="Times New Roman"/>
          <w:b/>
          <w:color w:val="auto"/>
          <w:sz w:val="24"/>
          <w:szCs w:val="24"/>
        </w:rPr>
        <w:t>IZDEVUMU PĀRSKATĪŠANAS REZULTĀTI</w:t>
      </w:r>
      <w:bookmarkEnd w:id="3"/>
      <w:r w:rsidRPr="006E5888">
        <w:rPr>
          <w:rFonts w:ascii="Times New Roman" w:eastAsiaTheme="minorHAnsi" w:hAnsi="Times New Roman" w:cstheme="minorBidi"/>
          <w:color w:val="auto"/>
          <w:sz w:val="24"/>
          <w:szCs w:val="22"/>
        </w:rPr>
        <w:t xml:space="preserve"> </w:t>
      </w:r>
    </w:p>
    <w:p w:rsidR="00B51073" w:rsidRPr="006E5888" w:rsidRDefault="0014529C" w:rsidP="00744777">
      <w:pPr>
        <w:ind w:firstLine="709"/>
        <w:jc w:val="both"/>
      </w:pPr>
      <w:r w:rsidRPr="006E5888">
        <w:t>Izdevumu pārskatīšanai t</w:t>
      </w:r>
      <w:r w:rsidR="00067D69" w:rsidRPr="006E5888">
        <w:t xml:space="preserve">ika pakļautas </w:t>
      </w:r>
      <w:r w:rsidR="008866F8" w:rsidRPr="006E5888">
        <w:t>visas</w:t>
      </w:r>
      <w:r w:rsidR="00067D69" w:rsidRPr="006E5888">
        <w:t xml:space="preserve"> ministrijas – </w:t>
      </w:r>
      <w:proofErr w:type="spellStart"/>
      <w:r w:rsidR="00B51073" w:rsidRPr="006E5888">
        <w:t>AiM</w:t>
      </w:r>
      <w:proofErr w:type="spellEnd"/>
      <w:r w:rsidR="00B51073" w:rsidRPr="006E5888">
        <w:t>, ĀM, EM, FM, IeM, IZM, ZM, SM, LM, TM, VARAM, KM, VM.</w:t>
      </w:r>
    </w:p>
    <w:p w:rsidR="00BE3004" w:rsidRPr="006E5888" w:rsidRDefault="00BE3004" w:rsidP="006C52B6">
      <w:pPr>
        <w:spacing w:after="120"/>
        <w:ind w:firstLine="709"/>
        <w:jc w:val="both"/>
      </w:pPr>
      <w:r w:rsidRPr="006E5888">
        <w:t xml:space="preserve">Izdevumu pārskatīšanai netika pakļautas neatkarīgās institūcijas (VPK, Saeima, TB, SPRK, </w:t>
      </w:r>
      <w:proofErr w:type="spellStart"/>
      <w:r w:rsidRPr="006E5888">
        <w:t>VKo</w:t>
      </w:r>
      <w:proofErr w:type="spellEnd"/>
      <w:r w:rsidRPr="006E5888">
        <w:t>, AT, ST, Prokuratūra, RTV), kā arī centrālās iestādes (MK, KNAB, SIF, PKC, CVK, CZK). Tāpat netika pārskatīti izdevumi ES politiku instrumentu un pārējās ārvalstu finanšu palīdzības līdzfinansēto projektu un pasākumu īstenošanai, 64.resora izdevumi un daļēji tika pārs</w:t>
      </w:r>
      <w:r w:rsidR="00DF340C" w:rsidRPr="006E5888">
        <w:t>katīti 62.resora izdevumi (</w:t>
      </w:r>
      <w:r w:rsidRPr="006E5888">
        <w:t xml:space="preserve">pārskatīti izdevumi, kas attiecināmi uz mērķdotāciju nodrošināšanu izglītības pasākumiem un izglītības iestāžu pedagogu darba samaksu). </w:t>
      </w:r>
    </w:p>
    <w:p w:rsidR="00707CDE" w:rsidRPr="006E5888" w:rsidRDefault="0000208D" w:rsidP="006C52B6">
      <w:pPr>
        <w:tabs>
          <w:tab w:val="left" w:pos="4223"/>
          <w:tab w:val="left" w:pos="8647"/>
        </w:tabs>
        <w:spacing w:before="120" w:after="120"/>
        <w:jc w:val="center"/>
        <w:rPr>
          <w:szCs w:val="24"/>
        </w:rPr>
      </w:pPr>
      <w:r w:rsidRPr="006E5888">
        <w:rPr>
          <w:noProof/>
          <w:szCs w:val="24"/>
          <w:lang w:eastAsia="lv-LV"/>
        </w:rPr>
        <w:lastRenderedPageBreak/>
        <w:drawing>
          <wp:inline distT="0" distB="0" distL="0" distR="0" wp14:anchorId="2E341C24" wp14:editId="20286B5E">
            <wp:extent cx="5025542" cy="2851150"/>
            <wp:effectExtent l="0" t="0" r="381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17669" cy="2960150"/>
                    </a:xfrm>
                    <a:prstGeom prst="rect">
                      <a:avLst/>
                    </a:prstGeom>
                    <a:noFill/>
                  </pic:spPr>
                </pic:pic>
              </a:graphicData>
            </a:graphic>
          </wp:inline>
        </w:drawing>
      </w:r>
    </w:p>
    <w:p w:rsidR="00A67176" w:rsidRPr="006E5888" w:rsidRDefault="008238E9" w:rsidP="00BA34E4">
      <w:pPr>
        <w:tabs>
          <w:tab w:val="left" w:pos="1967"/>
        </w:tabs>
        <w:spacing w:before="60" w:afterLines="60" w:after="144"/>
        <w:jc w:val="center"/>
        <w:rPr>
          <w:i/>
          <w:sz w:val="22"/>
        </w:rPr>
      </w:pPr>
      <w:r w:rsidRPr="006E5888">
        <w:rPr>
          <w:sz w:val="22"/>
        </w:rPr>
        <w:t>2</w:t>
      </w:r>
      <w:r w:rsidR="00707CDE" w:rsidRPr="006E5888">
        <w:rPr>
          <w:sz w:val="22"/>
        </w:rPr>
        <w:t>.</w:t>
      </w:r>
      <w:r w:rsidR="00707CDE" w:rsidRPr="006E5888">
        <w:rPr>
          <w:i/>
          <w:sz w:val="22"/>
        </w:rPr>
        <w:t>att.</w:t>
      </w:r>
      <w:r w:rsidR="00707CDE" w:rsidRPr="006E5888">
        <w:rPr>
          <w:sz w:val="22"/>
        </w:rPr>
        <w:t xml:space="preserve"> </w:t>
      </w:r>
      <w:r w:rsidR="00707CDE" w:rsidRPr="006E5888">
        <w:rPr>
          <w:b/>
          <w:sz w:val="22"/>
        </w:rPr>
        <w:t xml:space="preserve">Valsts konsolidētā budžeta pārskatītie un pārējie izdevumi 2016. – 2019.gadam, </w:t>
      </w:r>
      <w:r w:rsidR="00707CDE" w:rsidRPr="006E5888">
        <w:rPr>
          <w:sz w:val="22"/>
        </w:rPr>
        <w:t xml:space="preserve">milj. </w:t>
      </w:r>
      <w:proofErr w:type="spellStart"/>
      <w:r w:rsidR="00707CDE" w:rsidRPr="006E5888">
        <w:rPr>
          <w:i/>
          <w:sz w:val="22"/>
        </w:rPr>
        <w:t>euro</w:t>
      </w:r>
      <w:proofErr w:type="spellEnd"/>
    </w:p>
    <w:p w:rsidR="00B77A15" w:rsidRPr="006E5888" w:rsidRDefault="00B77A15" w:rsidP="006C52B6">
      <w:pPr>
        <w:spacing w:after="120"/>
        <w:ind w:firstLine="709"/>
        <w:jc w:val="both"/>
      </w:pPr>
      <w:r w:rsidRPr="006E5888">
        <w:rPr>
          <w:szCs w:val="24"/>
        </w:rPr>
        <w:t xml:space="preserve">Attēlā Nr.2 redzams pārskatīto un pārējo izdevumu grafisks atspoguļojums. Pārskatītie izdevumi no 2016.gadā kopējiem valsts konsolidētā budžeta izdevumiem veido 82% jeb 6 294 milj. </w:t>
      </w:r>
      <w:proofErr w:type="spellStart"/>
      <w:r w:rsidRPr="006E5888">
        <w:rPr>
          <w:i/>
          <w:szCs w:val="24"/>
        </w:rPr>
        <w:t>euro</w:t>
      </w:r>
      <w:proofErr w:type="spellEnd"/>
      <w:r w:rsidRPr="006E5888">
        <w:rPr>
          <w:szCs w:val="24"/>
        </w:rPr>
        <w:t>, 2017.gadā no MK apstiprinātajiem valsts pamatbudžeta un valsts speciālā budžeta bāzes izdevumiem</w:t>
      </w:r>
      <w:r w:rsidRPr="006E5888">
        <w:rPr>
          <w:rStyle w:val="FootnoteReference"/>
          <w:szCs w:val="24"/>
        </w:rPr>
        <w:footnoteReference w:id="4"/>
      </w:r>
      <w:r w:rsidRPr="006E5888">
        <w:rPr>
          <w:szCs w:val="24"/>
        </w:rPr>
        <w:t xml:space="preserve"> pārskatītie izdevumi veido 81% jeb 6 631 milj. </w:t>
      </w:r>
      <w:proofErr w:type="spellStart"/>
      <w:r w:rsidRPr="006E5888">
        <w:rPr>
          <w:i/>
          <w:szCs w:val="24"/>
        </w:rPr>
        <w:t>euro</w:t>
      </w:r>
      <w:proofErr w:type="spellEnd"/>
      <w:r w:rsidRPr="006E5888">
        <w:rPr>
          <w:szCs w:val="24"/>
        </w:rPr>
        <w:t xml:space="preserve">. 2018.gadā attiecīgi 81% jeb 6 848 milj. </w:t>
      </w:r>
      <w:proofErr w:type="spellStart"/>
      <w:r w:rsidRPr="006E5888">
        <w:rPr>
          <w:i/>
          <w:szCs w:val="24"/>
        </w:rPr>
        <w:t>euro</w:t>
      </w:r>
      <w:proofErr w:type="spellEnd"/>
      <w:r w:rsidRPr="006E5888">
        <w:rPr>
          <w:szCs w:val="24"/>
        </w:rPr>
        <w:t xml:space="preserve"> un 2019.gadā 81% jeb 6 584 milj. </w:t>
      </w:r>
      <w:proofErr w:type="spellStart"/>
      <w:r w:rsidRPr="006E5888">
        <w:rPr>
          <w:i/>
          <w:szCs w:val="24"/>
        </w:rPr>
        <w:t>euro</w:t>
      </w:r>
      <w:proofErr w:type="spellEnd"/>
      <w:r w:rsidRPr="006E5888">
        <w:rPr>
          <w:szCs w:val="24"/>
        </w:rPr>
        <w:t xml:space="preserve">.  </w:t>
      </w:r>
    </w:p>
    <w:p w:rsidR="00DC48B4" w:rsidRPr="006E5888" w:rsidRDefault="00F32CA3" w:rsidP="007B0C36">
      <w:pPr>
        <w:tabs>
          <w:tab w:val="left" w:pos="709"/>
          <w:tab w:val="left" w:pos="8364"/>
          <w:tab w:val="left" w:pos="8647"/>
        </w:tabs>
        <w:spacing w:after="120"/>
        <w:jc w:val="center"/>
        <w:rPr>
          <w:szCs w:val="24"/>
        </w:rPr>
      </w:pPr>
      <w:r w:rsidRPr="006E5888">
        <w:rPr>
          <w:noProof/>
          <w:szCs w:val="24"/>
          <w:lang w:eastAsia="lv-LV"/>
        </w:rPr>
        <w:drawing>
          <wp:inline distT="0" distB="0" distL="0" distR="0" wp14:anchorId="49ABCA44" wp14:editId="5E7B79BA">
            <wp:extent cx="5018849" cy="31089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60550" cy="3134792"/>
                    </a:xfrm>
                    <a:prstGeom prst="rect">
                      <a:avLst/>
                    </a:prstGeom>
                    <a:noFill/>
                  </pic:spPr>
                </pic:pic>
              </a:graphicData>
            </a:graphic>
          </wp:inline>
        </w:drawing>
      </w:r>
    </w:p>
    <w:p w:rsidR="00F32CA3" w:rsidRPr="006E5888" w:rsidRDefault="008238E9" w:rsidP="00F32CA3">
      <w:pPr>
        <w:spacing w:after="120"/>
        <w:jc w:val="center"/>
        <w:rPr>
          <w:i/>
          <w:sz w:val="22"/>
        </w:rPr>
      </w:pPr>
      <w:r w:rsidRPr="006E5888">
        <w:rPr>
          <w:sz w:val="22"/>
        </w:rPr>
        <w:t>3</w:t>
      </w:r>
      <w:r w:rsidR="00234905" w:rsidRPr="006E5888">
        <w:rPr>
          <w:sz w:val="22"/>
        </w:rPr>
        <w:t>.</w:t>
      </w:r>
      <w:r w:rsidR="00234905" w:rsidRPr="006E5888">
        <w:rPr>
          <w:i/>
          <w:sz w:val="22"/>
        </w:rPr>
        <w:t>att.</w:t>
      </w:r>
      <w:r w:rsidR="00234905" w:rsidRPr="006E5888">
        <w:rPr>
          <w:sz w:val="22"/>
        </w:rPr>
        <w:t xml:space="preserve"> </w:t>
      </w:r>
      <w:r w:rsidR="00234905" w:rsidRPr="006E5888">
        <w:rPr>
          <w:b/>
          <w:sz w:val="22"/>
        </w:rPr>
        <w:t xml:space="preserve">Valsts konsolidētā budžeta izdevumi funkcionālā sadalījumā, </w:t>
      </w:r>
      <w:r w:rsidR="00BF3039" w:rsidRPr="006E5888">
        <w:rPr>
          <w:sz w:val="22"/>
        </w:rPr>
        <w:t xml:space="preserve">milj. </w:t>
      </w:r>
      <w:proofErr w:type="spellStart"/>
      <w:r w:rsidR="00F32CA3" w:rsidRPr="006E5888">
        <w:rPr>
          <w:i/>
          <w:sz w:val="22"/>
        </w:rPr>
        <w:t>euro</w:t>
      </w:r>
      <w:proofErr w:type="spellEnd"/>
    </w:p>
    <w:p w:rsidR="00F32CA3" w:rsidRPr="006E5888" w:rsidRDefault="00F32CA3" w:rsidP="005C733A">
      <w:pPr>
        <w:rPr>
          <w:i/>
          <w:sz w:val="16"/>
          <w:szCs w:val="16"/>
        </w:rPr>
      </w:pPr>
      <w:r w:rsidRPr="006E5888">
        <w:rPr>
          <w:i/>
          <w:sz w:val="16"/>
          <w:szCs w:val="16"/>
        </w:rPr>
        <w:t>*saskaņā ar likumu “</w:t>
      </w:r>
      <w:r w:rsidR="005C733A" w:rsidRPr="006E5888">
        <w:rPr>
          <w:i/>
          <w:sz w:val="16"/>
          <w:szCs w:val="16"/>
        </w:rPr>
        <w:t>Par vidēja termiņa budžeta ietvaru 2016., 2017. un 2018.gadam”</w:t>
      </w:r>
    </w:p>
    <w:p w:rsidR="006C52B6" w:rsidRPr="006E5888" w:rsidRDefault="006C52B6" w:rsidP="0034713C">
      <w:pPr>
        <w:tabs>
          <w:tab w:val="left" w:pos="1967"/>
        </w:tabs>
        <w:spacing w:before="120"/>
        <w:ind w:firstLine="709"/>
        <w:jc w:val="both"/>
        <w:rPr>
          <w:sz w:val="22"/>
        </w:rPr>
      </w:pPr>
      <w:r w:rsidRPr="006E5888">
        <w:rPr>
          <w:szCs w:val="24"/>
        </w:rPr>
        <w:t>Attēlā Nr.3 redzami valsts konsolidētā budžeta izdevumi funkcionālajā sadalījumā no 2016.gada līdz 2018.gadam. Kā redzams attēlā, izdevumi pakāpeniski pieaug sociālajai aizsardzībai, ekonomiskajai darbībai un aizsardzībai.</w:t>
      </w:r>
    </w:p>
    <w:p w:rsidR="0034713C" w:rsidRPr="006E5888" w:rsidRDefault="0034713C" w:rsidP="0034713C">
      <w:pPr>
        <w:tabs>
          <w:tab w:val="left" w:pos="709"/>
          <w:tab w:val="left" w:pos="8647"/>
        </w:tabs>
        <w:spacing w:after="120"/>
        <w:rPr>
          <w:szCs w:val="24"/>
        </w:rPr>
      </w:pPr>
    </w:p>
    <w:p w:rsidR="00BE3004" w:rsidRPr="006E5888" w:rsidRDefault="00B77A15" w:rsidP="00B77A15">
      <w:pPr>
        <w:tabs>
          <w:tab w:val="left" w:pos="709"/>
          <w:tab w:val="left" w:pos="8647"/>
        </w:tabs>
        <w:spacing w:after="120"/>
        <w:jc w:val="right"/>
        <w:rPr>
          <w:szCs w:val="24"/>
        </w:rPr>
      </w:pPr>
      <w:r w:rsidRPr="006E5888">
        <w:rPr>
          <w:szCs w:val="24"/>
        </w:rPr>
        <w:lastRenderedPageBreak/>
        <w:t>Tabula Nr.6</w:t>
      </w:r>
    </w:p>
    <w:p w:rsidR="00B77A15" w:rsidRPr="006E5888" w:rsidRDefault="00B77A15" w:rsidP="00B77A15">
      <w:pPr>
        <w:tabs>
          <w:tab w:val="left" w:pos="709"/>
          <w:tab w:val="left" w:pos="8647"/>
        </w:tabs>
        <w:spacing w:after="120"/>
        <w:jc w:val="center"/>
        <w:rPr>
          <w:szCs w:val="24"/>
        </w:rPr>
      </w:pPr>
      <w:r w:rsidRPr="006E5888">
        <w:rPr>
          <w:noProof/>
          <w:szCs w:val="24"/>
          <w:lang w:eastAsia="lv-LV"/>
        </w:rPr>
        <w:t xml:space="preserve">2016.gada nozaru ministriju izdevumi funkcionālajā sadalījumā, milj. </w:t>
      </w:r>
      <w:r w:rsidRPr="006E5888">
        <w:rPr>
          <w:i/>
          <w:noProof/>
          <w:szCs w:val="24"/>
          <w:lang w:eastAsia="lv-LV"/>
        </w:rPr>
        <w:t>euro</w:t>
      </w:r>
    </w:p>
    <w:tbl>
      <w:tblPr>
        <w:tblW w:w="9372" w:type="dxa"/>
        <w:tblCellMar>
          <w:left w:w="0" w:type="dxa"/>
          <w:right w:w="0" w:type="dxa"/>
        </w:tblCellMar>
        <w:tblLook w:val="0600" w:firstRow="0" w:lastRow="0" w:firstColumn="0" w:lastColumn="0" w:noHBand="1" w:noVBand="1"/>
      </w:tblPr>
      <w:tblGrid>
        <w:gridCol w:w="1098"/>
        <w:gridCol w:w="811"/>
        <w:gridCol w:w="689"/>
        <w:gridCol w:w="810"/>
        <w:gridCol w:w="811"/>
        <w:gridCol w:w="673"/>
        <w:gridCol w:w="782"/>
        <w:gridCol w:w="689"/>
        <w:gridCol w:w="691"/>
        <w:gridCol w:w="695"/>
        <w:gridCol w:w="813"/>
        <w:gridCol w:w="810"/>
      </w:tblGrid>
      <w:tr w:rsidR="006971CE" w:rsidRPr="006E5888" w:rsidTr="008C4AA4">
        <w:trPr>
          <w:cantSplit/>
          <w:trHeight w:val="1571"/>
        </w:trPr>
        <w:tc>
          <w:tcPr>
            <w:tcW w:w="98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bottom"/>
            <w:hideMark/>
          </w:tcPr>
          <w:p w:rsidR="006971CE" w:rsidRPr="006E5888" w:rsidRDefault="006971CE" w:rsidP="006971CE">
            <w:pPr>
              <w:rPr>
                <w:rFonts w:eastAsia="Times New Roman" w:cs="Times New Roman"/>
                <w:sz w:val="20"/>
                <w:szCs w:val="20"/>
                <w:lang w:eastAsia="lv-LV"/>
              </w:rPr>
            </w:pPr>
          </w:p>
        </w:tc>
        <w:tc>
          <w:tcPr>
            <w:tcW w:w="824" w:type="dxa"/>
            <w:tcBorders>
              <w:top w:val="single" w:sz="8" w:space="0" w:color="000000"/>
              <w:left w:val="single" w:sz="8" w:space="0" w:color="000000"/>
              <w:bottom w:val="single" w:sz="8" w:space="0" w:color="000000"/>
              <w:right w:val="single" w:sz="8" w:space="0" w:color="000000"/>
            </w:tcBorders>
            <w:shd w:val="clear" w:color="auto" w:fill="F2F2F2"/>
            <w:tcMar>
              <w:top w:w="9" w:type="dxa"/>
              <w:left w:w="9" w:type="dxa"/>
              <w:bottom w:w="0" w:type="dxa"/>
              <w:right w:w="9" w:type="dxa"/>
            </w:tcMar>
            <w:textDirection w:val="btL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Vispārējie valdības dienesti</w:t>
            </w:r>
          </w:p>
        </w:tc>
        <w:tc>
          <w:tcPr>
            <w:tcW w:w="696" w:type="dxa"/>
            <w:tcBorders>
              <w:top w:val="single" w:sz="8" w:space="0" w:color="000000"/>
              <w:left w:val="single" w:sz="8" w:space="0" w:color="000000"/>
              <w:bottom w:val="single" w:sz="8" w:space="0" w:color="000000"/>
              <w:right w:val="single" w:sz="8" w:space="0" w:color="000000"/>
            </w:tcBorders>
            <w:shd w:val="clear" w:color="auto" w:fill="F2F2F2"/>
            <w:tcMar>
              <w:top w:w="9" w:type="dxa"/>
              <w:left w:w="9" w:type="dxa"/>
              <w:bottom w:w="0" w:type="dxa"/>
              <w:right w:w="9" w:type="dxa"/>
            </w:tcMar>
            <w:textDirection w:val="btL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Aizsardzība</w:t>
            </w:r>
          </w:p>
        </w:tc>
        <w:tc>
          <w:tcPr>
            <w:tcW w:w="822" w:type="dxa"/>
            <w:tcBorders>
              <w:top w:val="single" w:sz="8" w:space="0" w:color="000000"/>
              <w:left w:val="single" w:sz="8" w:space="0" w:color="000000"/>
              <w:bottom w:val="single" w:sz="8" w:space="0" w:color="000000"/>
              <w:right w:val="single" w:sz="8" w:space="0" w:color="000000"/>
            </w:tcBorders>
            <w:shd w:val="clear" w:color="auto" w:fill="F2F2F2"/>
            <w:tcMar>
              <w:top w:w="9" w:type="dxa"/>
              <w:left w:w="9" w:type="dxa"/>
              <w:bottom w:w="0" w:type="dxa"/>
              <w:right w:w="9" w:type="dxa"/>
            </w:tcMar>
            <w:textDirection w:val="btL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Sabiedriskā kārtība un drošība</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Mar>
              <w:top w:w="9" w:type="dxa"/>
              <w:left w:w="9" w:type="dxa"/>
              <w:bottom w:w="0" w:type="dxa"/>
              <w:right w:w="9" w:type="dxa"/>
            </w:tcMar>
            <w:textDirection w:val="btL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Ekonomiskā darbība</w:t>
            </w:r>
          </w:p>
        </w:tc>
        <w:tc>
          <w:tcPr>
            <w:tcW w:w="684" w:type="dxa"/>
            <w:tcBorders>
              <w:top w:val="single" w:sz="8" w:space="0" w:color="000000"/>
              <w:left w:val="single" w:sz="8" w:space="0" w:color="000000"/>
              <w:bottom w:val="single" w:sz="8" w:space="0" w:color="000000"/>
              <w:right w:val="single" w:sz="8" w:space="0" w:color="000000"/>
            </w:tcBorders>
            <w:shd w:val="clear" w:color="auto" w:fill="D9D9D9"/>
            <w:tcMar>
              <w:top w:w="9" w:type="dxa"/>
              <w:left w:w="9" w:type="dxa"/>
              <w:bottom w:w="0" w:type="dxa"/>
              <w:right w:w="9" w:type="dxa"/>
            </w:tcMar>
            <w:textDirection w:val="btL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Vides aizsardzība</w:t>
            </w:r>
          </w:p>
        </w:tc>
        <w:tc>
          <w:tcPr>
            <w:tcW w:w="803" w:type="dxa"/>
            <w:tcBorders>
              <w:top w:val="single" w:sz="8" w:space="0" w:color="000000"/>
              <w:left w:val="single" w:sz="8" w:space="0" w:color="000000"/>
              <w:bottom w:val="single" w:sz="8" w:space="0" w:color="000000"/>
              <w:right w:val="single" w:sz="8" w:space="0" w:color="000000"/>
            </w:tcBorders>
            <w:shd w:val="clear" w:color="auto" w:fill="D9D9D9"/>
            <w:tcMar>
              <w:top w:w="9" w:type="dxa"/>
              <w:left w:w="9" w:type="dxa"/>
              <w:bottom w:w="0" w:type="dxa"/>
              <w:right w:w="9" w:type="dxa"/>
            </w:tcMar>
            <w:textDirection w:val="btL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Teritoriju un mājokļu apsaimniekošana</w:t>
            </w:r>
          </w:p>
        </w:tc>
        <w:tc>
          <w:tcPr>
            <w:tcW w:w="695" w:type="dxa"/>
            <w:tcBorders>
              <w:top w:val="single" w:sz="8" w:space="0" w:color="000000"/>
              <w:left w:val="single" w:sz="8" w:space="0" w:color="000000"/>
              <w:bottom w:val="single" w:sz="8" w:space="0" w:color="000000"/>
              <w:right w:val="single" w:sz="8" w:space="0" w:color="000000"/>
            </w:tcBorders>
            <w:shd w:val="clear" w:color="auto" w:fill="BFBFBF"/>
            <w:tcMar>
              <w:top w:w="9" w:type="dxa"/>
              <w:left w:w="9" w:type="dxa"/>
              <w:bottom w:w="0" w:type="dxa"/>
              <w:right w:w="9" w:type="dxa"/>
            </w:tcMar>
            <w:textDirection w:val="btL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Veselība</w:t>
            </w:r>
          </w:p>
        </w:tc>
        <w:tc>
          <w:tcPr>
            <w:tcW w:w="696" w:type="dxa"/>
            <w:tcBorders>
              <w:top w:val="single" w:sz="8" w:space="0" w:color="000000"/>
              <w:left w:val="single" w:sz="8" w:space="0" w:color="000000"/>
              <w:bottom w:val="single" w:sz="8" w:space="0" w:color="000000"/>
              <w:right w:val="dashSmallGap" w:sz="24" w:space="0" w:color="C00000"/>
            </w:tcBorders>
            <w:shd w:val="clear" w:color="auto" w:fill="BFBFBF"/>
            <w:tcMar>
              <w:top w:w="9" w:type="dxa"/>
              <w:left w:w="9" w:type="dxa"/>
              <w:bottom w:w="0" w:type="dxa"/>
              <w:right w:w="9" w:type="dxa"/>
            </w:tcMar>
            <w:textDirection w:val="btL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Atpūta, kultūra un reliģija</w:t>
            </w:r>
          </w:p>
        </w:tc>
        <w:tc>
          <w:tcPr>
            <w:tcW w:w="699" w:type="dxa"/>
            <w:tcBorders>
              <w:top w:val="single" w:sz="8" w:space="0" w:color="000000"/>
              <w:left w:val="dashSmallGap" w:sz="24" w:space="0" w:color="C00000"/>
              <w:bottom w:val="single" w:sz="8" w:space="0" w:color="000000"/>
              <w:right w:val="dashSmallGap" w:sz="24" w:space="0" w:color="C00000"/>
            </w:tcBorders>
            <w:shd w:val="clear" w:color="auto" w:fill="BFBFBF"/>
            <w:tcMar>
              <w:top w:w="9" w:type="dxa"/>
              <w:left w:w="9" w:type="dxa"/>
              <w:bottom w:w="0" w:type="dxa"/>
              <w:right w:w="9" w:type="dxa"/>
            </w:tcMar>
            <w:textDirection w:val="btL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Izglītība</w:t>
            </w:r>
          </w:p>
        </w:tc>
        <w:tc>
          <w:tcPr>
            <w:tcW w:w="825" w:type="dxa"/>
            <w:tcBorders>
              <w:top w:val="single" w:sz="8" w:space="0" w:color="000000"/>
              <w:left w:val="dashSmallGap" w:sz="24" w:space="0" w:color="C00000"/>
              <w:bottom w:val="single" w:sz="8" w:space="0" w:color="000000"/>
              <w:right w:val="single" w:sz="8" w:space="0" w:color="000000"/>
            </w:tcBorders>
            <w:shd w:val="clear" w:color="auto" w:fill="A6A6A6"/>
            <w:tcMar>
              <w:top w:w="9" w:type="dxa"/>
              <w:left w:w="9" w:type="dxa"/>
              <w:bottom w:w="0" w:type="dxa"/>
              <w:right w:w="9" w:type="dxa"/>
            </w:tcMar>
            <w:textDirection w:val="btL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Sociālā aizsardzība</w:t>
            </w:r>
          </w:p>
        </w:tc>
        <w:tc>
          <w:tcPr>
            <w:tcW w:w="822" w:type="dxa"/>
            <w:tcBorders>
              <w:top w:val="single" w:sz="8" w:space="0" w:color="000000"/>
              <w:left w:val="single" w:sz="8" w:space="0" w:color="000000"/>
              <w:bottom w:val="single" w:sz="8" w:space="0" w:color="000000"/>
              <w:right w:val="single" w:sz="8" w:space="0" w:color="000000"/>
            </w:tcBorders>
            <w:shd w:val="clear" w:color="auto" w:fill="A6A6A6"/>
            <w:tcMar>
              <w:top w:w="9" w:type="dxa"/>
              <w:left w:w="9" w:type="dxa"/>
              <w:bottom w:w="0" w:type="dxa"/>
              <w:right w:w="9" w:type="dxa"/>
            </w:tcMar>
            <w:textDirection w:val="btL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KOPĀ</w:t>
            </w:r>
          </w:p>
        </w:tc>
      </w:tr>
      <w:tr w:rsidR="006971CE" w:rsidRPr="006E5888" w:rsidTr="008C4AA4">
        <w:trPr>
          <w:cantSplit/>
          <w:trHeight w:val="20"/>
        </w:trPr>
        <w:tc>
          <w:tcPr>
            <w:tcW w:w="98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8C4AA4">
            <w:pP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LM</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6"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3" w:type="dxa"/>
            <w:tcBorders>
              <w:top w:val="single" w:sz="8" w:space="0" w:color="000000"/>
              <w:left w:val="single" w:sz="8" w:space="0" w:color="000000"/>
              <w:bottom w:val="single" w:sz="8" w:space="0" w:color="000000"/>
              <w:right w:val="single" w:sz="8" w:space="0" w:color="000000"/>
            </w:tcBorders>
            <w:shd w:val="clear" w:color="auto" w:fill="D9D9D9"/>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36,1</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0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6" w:type="dxa"/>
            <w:tcBorders>
              <w:top w:val="single" w:sz="8" w:space="0" w:color="000000"/>
              <w:left w:val="single" w:sz="8" w:space="0" w:color="000000"/>
              <w:bottom w:val="single" w:sz="8" w:space="0" w:color="000000"/>
              <w:right w:val="dashSmallGap" w:sz="24" w:space="0" w:color="C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9" w:type="dxa"/>
            <w:tcBorders>
              <w:top w:val="single" w:sz="8" w:space="0" w:color="000000"/>
              <w:left w:val="dashSmallGap" w:sz="24" w:space="0" w:color="C00000"/>
              <w:bottom w:val="single" w:sz="8" w:space="0" w:color="000000"/>
              <w:right w:val="dashSmallGap" w:sz="24" w:space="0" w:color="C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5" w:type="dxa"/>
            <w:tcBorders>
              <w:top w:val="single" w:sz="8" w:space="0" w:color="000000"/>
              <w:left w:val="dashSmallGap" w:sz="24" w:space="0" w:color="C00000"/>
              <w:bottom w:val="single" w:sz="8" w:space="0" w:color="000000"/>
              <w:right w:val="single" w:sz="8" w:space="0" w:color="000000"/>
            </w:tcBorders>
            <w:shd w:val="clear" w:color="auto" w:fill="A6A6A6"/>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2 600,00</w:t>
            </w:r>
          </w:p>
        </w:tc>
        <w:tc>
          <w:tcPr>
            <w:tcW w:w="822" w:type="dxa"/>
            <w:tcBorders>
              <w:top w:val="single" w:sz="8" w:space="0" w:color="000000"/>
              <w:left w:val="single" w:sz="8" w:space="0" w:color="000000"/>
              <w:bottom w:val="single" w:sz="8" w:space="0" w:color="000000"/>
              <w:right w:val="single" w:sz="8" w:space="0" w:color="000000"/>
            </w:tcBorders>
            <w:shd w:val="clear" w:color="auto" w:fill="A6A6A6"/>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2 636,10</w:t>
            </w:r>
          </w:p>
        </w:tc>
      </w:tr>
      <w:tr w:rsidR="006971CE" w:rsidRPr="006E5888" w:rsidTr="008C4AA4">
        <w:trPr>
          <w:cantSplit/>
          <w:trHeight w:val="20"/>
        </w:trPr>
        <w:tc>
          <w:tcPr>
            <w:tcW w:w="98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8C4AA4">
            <w:pP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FM</w:t>
            </w:r>
          </w:p>
        </w:tc>
        <w:tc>
          <w:tcPr>
            <w:tcW w:w="824" w:type="dxa"/>
            <w:tcBorders>
              <w:top w:val="single" w:sz="8" w:space="0" w:color="000000"/>
              <w:left w:val="single" w:sz="8" w:space="0" w:color="000000"/>
              <w:bottom w:val="single" w:sz="8" w:space="0" w:color="000000"/>
              <w:right w:val="single" w:sz="8" w:space="0" w:color="000000"/>
            </w:tcBorders>
            <w:shd w:val="clear" w:color="auto" w:fill="F2F2F2"/>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772,3</w:t>
            </w:r>
          </w:p>
        </w:tc>
        <w:tc>
          <w:tcPr>
            <w:tcW w:w="696"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3" w:type="dxa"/>
            <w:tcBorders>
              <w:top w:val="single" w:sz="8" w:space="0" w:color="000000"/>
              <w:left w:val="single" w:sz="8" w:space="0" w:color="000000"/>
              <w:bottom w:val="single" w:sz="8" w:space="0" w:color="000000"/>
              <w:right w:val="single" w:sz="8" w:space="0" w:color="000000"/>
            </w:tcBorders>
            <w:shd w:val="clear" w:color="auto" w:fill="D9D9D9"/>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0,5</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0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6" w:type="dxa"/>
            <w:tcBorders>
              <w:top w:val="single" w:sz="8" w:space="0" w:color="000000"/>
              <w:left w:val="single" w:sz="8" w:space="0" w:color="000000"/>
              <w:bottom w:val="single" w:sz="8" w:space="0" w:color="000000"/>
              <w:right w:val="dashSmallGap" w:sz="24" w:space="0" w:color="C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9" w:type="dxa"/>
            <w:tcBorders>
              <w:top w:val="single" w:sz="8" w:space="0" w:color="000000"/>
              <w:left w:val="dashSmallGap" w:sz="24" w:space="0" w:color="C00000"/>
              <w:bottom w:val="single" w:sz="8" w:space="0" w:color="000000"/>
              <w:right w:val="dashSmallGap" w:sz="24" w:space="0" w:color="C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5" w:type="dxa"/>
            <w:tcBorders>
              <w:top w:val="single" w:sz="8" w:space="0" w:color="000000"/>
              <w:left w:val="dashSmallGap" w:sz="24" w:space="0" w:color="C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single" w:sz="8" w:space="0" w:color="000000"/>
              <w:left w:val="single" w:sz="8" w:space="0" w:color="000000"/>
              <w:bottom w:val="single" w:sz="8" w:space="0" w:color="000000"/>
              <w:right w:val="single" w:sz="8" w:space="0" w:color="000000"/>
            </w:tcBorders>
            <w:shd w:val="clear" w:color="auto" w:fill="A6A6A6"/>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772,9</w:t>
            </w:r>
          </w:p>
        </w:tc>
      </w:tr>
      <w:tr w:rsidR="006971CE" w:rsidRPr="006E5888" w:rsidTr="008C4AA4">
        <w:trPr>
          <w:cantSplit/>
          <w:trHeight w:val="20"/>
        </w:trPr>
        <w:tc>
          <w:tcPr>
            <w:tcW w:w="98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8C4AA4">
            <w:pP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VM</w:t>
            </w:r>
          </w:p>
        </w:tc>
        <w:tc>
          <w:tcPr>
            <w:tcW w:w="824" w:type="dxa"/>
            <w:tcBorders>
              <w:top w:val="single" w:sz="8" w:space="0" w:color="000000"/>
              <w:left w:val="single" w:sz="8" w:space="0" w:color="000000"/>
              <w:bottom w:val="single" w:sz="8" w:space="0" w:color="000000"/>
              <w:right w:val="single" w:sz="8" w:space="0" w:color="000000"/>
            </w:tcBorders>
            <w:shd w:val="clear" w:color="auto" w:fill="F2F2F2"/>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0,3</w:t>
            </w:r>
          </w:p>
        </w:tc>
        <w:tc>
          <w:tcPr>
            <w:tcW w:w="696"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0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5" w:type="dxa"/>
            <w:tcBorders>
              <w:top w:val="single" w:sz="8" w:space="0" w:color="000000"/>
              <w:left w:val="single" w:sz="8" w:space="0" w:color="000000"/>
              <w:bottom w:val="single" w:sz="8" w:space="0" w:color="000000"/>
              <w:right w:val="single" w:sz="8" w:space="0" w:color="000000"/>
            </w:tcBorders>
            <w:shd w:val="clear" w:color="auto" w:fill="BFBFBF"/>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744,4</w:t>
            </w:r>
          </w:p>
        </w:tc>
        <w:tc>
          <w:tcPr>
            <w:tcW w:w="696" w:type="dxa"/>
            <w:tcBorders>
              <w:top w:val="single" w:sz="8" w:space="0" w:color="000000"/>
              <w:left w:val="single" w:sz="8" w:space="0" w:color="000000"/>
              <w:bottom w:val="single" w:sz="8" w:space="0" w:color="000000"/>
              <w:right w:val="dashSmallGap" w:sz="24" w:space="0" w:color="C00000"/>
            </w:tcBorders>
            <w:shd w:val="clear" w:color="auto" w:fill="BFBFBF"/>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0,7</w:t>
            </w:r>
          </w:p>
        </w:tc>
        <w:tc>
          <w:tcPr>
            <w:tcW w:w="699" w:type="dxa"/>
            <w:tcBorders>
              <w:top w:val="single" w:sz="8" w:space="0" w:color="000000"/>
              <w:left w:val="dashSmallGap" w:sz="24" w:space="0" w:color="C00000"/>
              <w:bottom w:val="single" w:sz="8" w:space="0" w:color="000000"/>
              <w:right w:val="dashSmallGap" w:sz="24" w:space="0" w:color="C00000"/>
            </w:tcBorders>
            <w:shd w:val="clear" w:color="auto" w:fill="BFBFBF"/>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25,4</w:t>
            </w:r>
          </w:p>
        </w:tc>
        <w:tc>
          <w:tcPr>
            <w:tcW w:w="825" w:type="dxa"/>
            <w:tcBorders>
              <w:top w:val="single" w:sz="8" w:space="0" w:color="000000"/>
              <w:left w:val="dashSmallGap" w:sz="24" w:space="0" w:color="C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single" w:sz="8" w:space="0" w:color="000000"/>
              <w:left w:val="single" w:sz="8" w:space="0" w:color="000000"/>
              <w:bottom w:val="single" w:sz="8" w:space="0" w:color="000000"/>
              <w:right w:val="single" w:sz="8" w:space="0" w:color="000000"/>
            </w:tcBorders>
            <w:shd w:val="clear" w:color="auto" w:fill="A6A6A6"/>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770,8</w:t>
            </w:r>
          </w:p>
        </w:tc>
      </w:tr>
      <w:tr w:rsidR="006971CE" w:rsidRPr="006E5888" w:rsidTr="008C4AA4">
        <w:trPr>
          <w:cantSplit/>
          <w:trHeight w:val="20"/>
        </w:trPr>
        <w:tc>
          <w:tcPr>
            <w:tcW w:w="98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8C4AA4">
            <w:pP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ZM</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6"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3" w:type="dxa"/>
            <w:tcBorders>
              <w:top w:val="single" w:sz="8" w:space="0" w:color="000000"/>
              <w:left w:val="single" w:sz="8" w:space="0" w:color="000000"/>
              <w:bottom w:val="single" w:sz="8" w:space="0" w:color="000000"/>
              <w:right w:val="single" w:sz="8" w:space="0" w:color="000000"/>
            </w:tcBorders>
            <w:shd w:val="clear" w:color="auto" w:fill="D9D9D9"/>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518,4</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0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6" w:type="dxa"/>
            <w:tcBorders>
              <w:top w:val="single" w:sz="8" w:space="0" w:color="000000"/>
              <w:left w:val="single" w:sz="8" w:space="0" w:color="000000"/>
              <w:bottom w:val="single" w:sz="8" w:space="0" w:color="000000"/>
              <w:right w:val="dashSmallGap" w:sz="24" w:space="0" w:color="C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9" w:type="dxa"/>
            <w:tcBorders>
              <w:top w:val="single" w:sz="8" w:space="0" w:color="000000"/>
              <w:left w:val="dashSmallGap" w:sz="24" w:space="0" w:color="C00000"/>
              <w:bottom w:val="single" w:sz="8" w:space="0" w:color="000000"/>
              <w:right w:val="dashSmallGap" w:sz="24" w:space="0" w:color="C00000"/>
            </w:tcBorders>
            <w:shd w:val="clear" w:color="auto" w:fill="BFBFBF"/>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7,7</w:t>
            </w:r>
          </w:p>
        </w:tc>
        <w:tc>
          <w:tcPr>
            <w:tcW w:w="825" w:type="dxa"/>
            <w:tcBorders>
              <w:top w:val="single" w:sz="8" w:space="0" w:color="000000"/>
              <w:left w:val="dashSmallGap" w:sz="24" w:space="0" w:color="C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single" w:sz="8" w:space="0" w:color="000000"/>
              <w:left w:val="single" w:sz="8" w:space="0" w:color="000000"/>
              <w:bottom w:val="single" w:sz="8" w:space="0" w:color="000000"/>
              <w:right w:val="single" w:sz="8" w:space="0" w:color="000000"/>
            </w:tcBorders>
            <w:shd w:val="clear" w:color="auto" w:fill="A6A6A6"/>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526,1</w:t>
            </w:r>
          </w:p>
        </w:tc>
      </w:tr>
      <w:tr w:rsidR="006971CE" w:rsidRPr="006E5888" w:rsidTr="008C4AA4">
        <w:trPr>
          <w:cantSplit/>
          <w:trHeight w:val="20"/>
        </w:trPr>
        <w:tc>
          <w:tcPr>
            <w:tcW w:w="98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8C4AA4">
            <w:pP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Pārējie resori</w:t>
            </w:r>
            <w:r w:rsidR="00791C25" w:rsidRPr="006E5888">
              <w:rPr>
                <w:rFonts w:eastAsia="Times New Roman" w:cs="Times New Roman"/>
                <w:b/>
                <w:bCs/>
                <w:color w:val="000000"/>
                <w:kern w:val="24"/>
                <w:sz w:val="20"/>
                <w:szCs w:val="20"/>
                <w:lang w:eastAsia="lv-LV"/>
              </w:rPr>
              <w:t>*</w:t>
            </w:r>
          </w:p>
        </w:tc>
        <w:tc>
          <w:tcPr>
            <w:tcW w:w="824" w:type="dxa"/>
            <w:tcBorders>
              <w:top w:val="single" w:sz="8" w:space="0" w:color="000000"/>
              <w:left w:val="single" w:sz="8" w:space="0" w:color="000000"/>
              <w:bottom w:val="single" w:sz="8" w:space="0" w:color="000000"/>
              <w:right w:val="single" w:sz="8" w:space="0" w:color="000000"/>
            </w:tcBorders>
            <w:shd w:val="clear" w:color="auto" w:fill="F2F2F2"/>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91,9</w:t>
            </w:r>
          </w:p>
        </w:tc>
        <w:tc>
          <w:tcPr>
            <w:tcW w:w="696"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single" w:sz="8" w:space="0" w:color="000000"/>
              <w:left w:val="single" w:sz="8" w:space="0" w:color="000000"/>
              <w:bottom w:val="single" w:sz="8" w:space="0" w:color="000000"/>
              <w:right w:val="single" w:sz="8" w:space="0" w:color="000000"/>
            </w:tcBorders>
            <w:shd w:val="clear" w:color="auto" w:fill="F2F2F2"/>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34,9</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4,9</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0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6" w:type="dxa"/>
            <w:tcBorders>
              <w:top w:val="single" w:sz="8" w:space="0" w:color="000000"/>
              <w:left w:val="single" w:sz="8" w:space="0" w:color="000000"/>
              <w:bottom w:val="single" w:sz="8" w:space="0" w:color="000000"/>
              <w:right w:val="dashSmallGap" w:sz="24" w:space="0" w:color="C00000"/>
            </w:tcBorders>
            <w:shd w:val="clear" w:color="auto" w:fill="BFBFBF"/>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22,4</w:t>
            </w:r>
          </w:p>
        </w:tc>
        <w:tc>
          <w:tcPr>
            <w:tcW w:w="699" w:type="dxa"/>
            <w:tcBorders>
              <w:top w:val="single" w:sz="8" w:space="0" w:color="000000"/>
              <w:left w:val="dashSmallGap" w:sz="24" w:space="0" w:color="C00000"/>
              <w:bottom w:val="single" w:sz="8" w:space="0" w:color="000000"/>
              <w:right w:val="dashSmallGap" w:sz="24" w:space="0" w:color="C00000"/>
            </w:tcBorders>
            <w:shd w:val="clear" w:color="auto" w:fill="BFBFBF"/>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338,6</w:t>
            </w:r>
          </w:p>
        </w:tc>
        <w:tc>
          <w:tcPr>
            <w:tcW w:w="825" w:type="dxa"/>
            <w:tcBorders>
              <w:top w:val="single" w:sz="8" w:space="0" w:color="000000"/>
              <w:left w:val="dashSmallGap" w:sz="24" w:space="0" w:color="C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single" w:sz="8" w:space="0" w:color="000000"/>
              <w:left w:val="single" w:sz="8" w:space="0" w:color="000000"/>
              <w:bottom w:val="single" w:sz="8" w:space="0" w:color="000000"/>
              <w:right w:val="single" w:sz="8" w:space="0" w:color="000000"/>
            </w:tcBorders>
            <w:shd w:val="clear" w:color="auto" w:fill="A6A6A6"/>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492,7</w:t>
            </w:r>
          </w:p>
        </w:tc>
      </w:tr>
      <w:tr w:rsidR="006971CE" w:rsidRPr="006E5888" w:rsidTr="008C4AA4">
        <w:trPr>
          <w:cantSplit/>
          <w:trHeight w:val="20"/>
        </w:trPr>
        <w:tc>
          <w:tcPr>
            <w:tcW w:w="98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Pārdalāmais finansējums</w:t>
            </w:r>
          </w:p>
        </w:tc>
        <w:tc>
          <w:tcPr>
            <w:tcW w:w="824" w:type="dxa"/>
            <w:tcBorders>
              <w:top w:val="single" w:sz="8" w:space="0" w:color="000000"/>
              <w:left w:val="single" w:sz="8" w:space="0" w:color="000000"/>
              <w:bottom w:val="single" w:sz="8" w:space="0" w:color="000000"/>
              <w:right w:val="single" w:sz="8" w:space="0" w:color="000000"/>
            </w:tcBorders>
            <w:shd w:val="clear" w:color="auto" w:fill="F2F2F2"/>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37,1</w:t>
            </w:r>
          </w:p>
        </w:tc>
        <w:tc>
          <w:tcPr>
            <w:tcW w:w="696"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3" w:type="dxa"/>
            <w:tcBorders>
              <w:top w:val="single" w:sz="8" w:space="0" w:color="000000"/>
              <w:left w:val="single" w:sz="8" w:space="0" w:color="000000"/>
              <w:bottom w:val="single" w:sz="8" w:space="0" w:color="000000"/>
              <w:right w:val="single" w:sz="8" w:space="0" w:color="000000"/>
            </w:tcBorders>
            <w:shd w:val="clear" w:color="auto" w:fill="D9D9D9"/>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438,6</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0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6" w:type="dxa"/>
            <w:tcBorders>
              <w:top w:val="single" w:sz="8" w:space="0" w:color="000000"/>
              <w:left w:val="single" w:sz="8" w:space="0" w:color="000000"/>
              <w:bottom w:val="single" w:sz="8" w:space="0" w:color="000000"/>
              <w:right w:val="dashSmallGap" w:sz="24" w:space="0" w:color="C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9" w:type="dxa"/>
            <w:tcBorders>
              <w:top w:val="single" w:sz="8" w:space="0" w:color="000000"/>
              <w:left w:val="dashSmallGap" w:sz="24" w:space="0" w:color="C00000"/>
              <w:bottom w:val="single" w:sz="8" w:space="0" w:color="000000"/>
              <w:right w:val="dashSmallGap" w:sz="24" w:space="0" w:color="C00000"/>
            </w:tcBorders>
            <w:shd w:val="clear" w:color="auto" w:fill="BFBFBF"/>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9,0</w:t>
            </w:r>
          </w:p>
        </w:tc>
        <w:tc>
          <w:tcPr>
            <w:tcW w:w="825" w:type="dxa"/>
            <w:tcBorders>
              <w:top w:val="single" w:sz="8" w:space="0" w:color="000000"/>
              <w:left w:val="dashSmallGap" w:sz="24" w:space="0" w:color="C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single" w:sz="8" w:space="0" w:color="000000"/>
              <w:left w:val="single" w:sz="8" w:space="0" w:color="000000"/>
              <w:bottom w:val="single" w:sz="8" w:space="0" w:color="000000"/>
              <w:right w:val="single" w:sz="8" w:space="0" w:color="000000"/>
            </w:tcBorders>
            <w:shd w:val="clear" w:color="auto" w:fill="A6A6A6"/>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484,7</w:t>
            </w:r>
          </w:p>
        </w:tc>
      </w:tr>
      <w:tr w:rsidR="006971CE" w:rsidRPr="006E5888" w:rsidTr="008C4AA4">
        <w:trPr>
          <w:cantSplit/>
          <w:trHeight w:val="20"/>
        </w:trPr>
        <w:tc>
          <w:tcPr>
            <w:tcW w:w="98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8C4AA4">
            <w:pPr>
              <w:textAlignment w:val="bottom"/>
              <w:rPr>
                <w:rFonts w:eastAsia="Times New Roman" w:cs="Times New Roman"/>
                <w:sz w:val="20"/>
                <w:szCs w:val="20"/>
                <w:lang w:eastAsia="lv-LV"/>
              </w:rPr>
            </w:pPr>
            <w:proofErr w:type="spellStart"/>
            <w:r w:rsidRPr="006E5888">
              <w:rPr>
                <w:rFonts w:eastAsia="Times New Roman" w:cs="Times New Roman"/>
                <w:b/>
                <w:bCs/>
                <w:color w:val="000000"/>
                <w:kern w:val="24"/>
                <w:sz w:val="20"/>
                <w:szCs w:val="20"/>
                <w:lang w:eastAsia="lv-LV"/>
              </w:rPr>
              <w:t>AiM</w:t>
            </w:r>
            <w:proofErr w:type="spellEnd"/>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6" w:type="dxa"/>
            <w:tcBorders>
              <w:top w:val="single" w:sz="8" w:space="0" w:color="000000"/>
              <w:left w:val="single" w:sz="8" w:space="0" w:color="000000"/>
              <w:bottom w:val="single" w:sz="8" w:space="0" w:color="000000"/>
              <w:right w:val="single" w:sz="8" w:space="0" w:color="000000"/>
            </w:tcBorders>
            <w:shd w:val="clear" w:color="auto" w:fill="F2F2F2"/>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343,4</w:t>
            </w:r>
          </w:p>
        </w:tc>
        <w:tc>
          <w:tcPr>
            <w:tcW w:w="822" w:type="dxa"/>
            <w:tcBorders>
              <w:top w:val="single" w:sz="8" w:space="0" w:color="000000"/>
              <w:left w:val="single" w:sz="8" w:space="0" w:color="000000"/>
              <w:bottom w:val="single" w:sz="8" w:space="0" w:color="000000"/>
              <w:right w:val="single" w:sz="8" w:space="0" w:color="000000"/>
            </w:tcBorders>
            <w:shd w:val="clear" w:color="auto" w:fill="F2F2F2"/>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10,6</w:t>
            </w: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0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6" w:type="dxa"/>
            <w:tcBorders>
              <w:top w:val="single" w:sz="8" w:space="0" w:color="000000"/>
              <w:left w:val="single" w:sz="8" w:space="0" w:color="000000"/>
              <w:bottom w:val="single" w:sz="8" w:space="0" w:color="000000"/>
              <w:right w:val="dashSmallGap" w:sz="24" w:space="0" w:color="C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9" w:type="dxa"/>
            <w:tcBorders>
              <w:top w:val="single" w:sz="8" w:space="0" w:color="000000"/>
              <w:left w:val="dashSmallGap" w:sz="24" w:space="0" w:color="C00000"/>
              <w:bottom w:val="single" w:sz="8" w:space="0" w:color="000000"/>
              <w:right w:val="dashSmallGap" w:sz="24" w:space="0" w:color="C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5" w:type="dxa"/>
            <w:tcBorders>
              <w:top w:val="single" w:sz="8" w:space="0" w:color="000000"/>
              <w:left w:val="dashSmallGap" w:sz="24" w:space="0" w:color="C00000"/>
              <w:bottom w:val="single" w:sz="8" w:space="0" w:color="000000"/>
              <w:right w:val="single" w:sz="8" w:space="0" w:color="000000"/>
            </w:tcBorders>
            <w:shd w:val="clear" w:color="auto" w:fill="A6A6A6"/>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13,5</w:t>
            </w:r>
          </w:p>
        </w:tc>
        <w:tc>
          <w:tcPr>
            <w:tcW w:w="822" w:type="dxa"/>
            <w:tcBorders>
              <w:top w:val="single" w:sz="8" w:space="0" w:color="000000"/>
              <w:left w:val="single" w:sz="8" w:space="0" w:color="000000"/>
              <w:bottom w:val="single" w:sz="8" w:space="0" w:color="000000"/>
              <w:right w:val="single" w:sz="8" w:space="0" w:color="000000"/>
            </w:tcBorders>
            <w:shd w:val="clear" w:color="auto" w:fill="A6A6A6"/>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367,5</w:t>
            </w:r>
          </w:p>
        </w:tc>
      </w:tr>
      <w:tr w:rsidR="006971CE" w:rsidRPr="006E5888" w:rsidTr="008C4AA4">
        <w:trPr>
          <w:cantSplit/>
          <w:trHeight w:val="20"/>
        </w:trPr>
        <w:tc>
          <w:tcPr>
            <w:tcW w:w="98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8C4AA4">
            <w:pPr>
              <w:jc w:val="both"/>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SM</w:t>
            </w:r>
          </w:p>
        </w:tc>
        <w:tc>
          <w:tcPr>
            <w:tcW w:w="824" w:type="dxa"/>
            <w:tcBorders>
              <w:top w:val="single" w:sz="8" w:space="0" w:color="000000"/>
              <w:left w:val="single" w:sz="8" w:space="0" w:color="000000"/>
              <w:bottom w:val="single" w:sz="8" w:space="0" w:color="000000"/>
              <w:right w:val="single" w:sz="8" w:space="0" w:color="000000"/>
            </w:tcBorders>
            <w:shd w:val="clear" w:color="auto" w:fill="F2F2F2"/>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0,3</w:t>
            </w:r>
          </w:p>
        </w:tc>
        <w:tc>
          <w:tcPr>
            <w:tcW w:w="696"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3" w:type="dxa"/>
            <w:tcBorders>
              <w:top w:val="single" w:sz="8" w:space="0" w:color="000000"/>
              <w:left w:val="single" w:sz="8" w:space="0" w:color="000000"/>
              <w:bottom w:val="single" w:sz="8" w:space="0" w:color="000000"/>
              <w:right w:val="single" w:sz="8" w:space="0" w:color="000000"/>
            </w:tcBorders>
            <w:shd w:val="clear" w:color="auto" w:fill="D9D9D9"/>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359,4</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0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6" w:type="dxa"/>
            <w:tcBorders>
              <w:top w:val="single" w:sz="8" w:space="0" w:color="000000"/>
              <w:left w:val="single" w:sz="8" w:space="0" w:color="000000"/>
              <w:bottom w:val="single" w:sz="8" w:space="0" w:color="000000"/>
              <w:right w:val="dashSmallGap" w:sz="24" w:space="0" w:color="C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9" w:type="dxa"/>
            <w:tcBorders>
              <w:top w:val="single" w:sz="8" w:space="0" w:color="000000"/>
              <w:left w:val="dashSmallGap" w:sz="24" w:space="0" w:color="C00000"/>
              <w:bottom w:val="single" w:sz="8" w:space="0" w:color="000000"/>
              <w:right w:val="dashSmallGap" w:sz="24" w:space="0" w:color="C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5" w:type="dxa"/>
            <w:tcBorders>
              <w:top w:val="single" w:sz="8" w:space="0" w:color="000000"/>
              <w:left w:val="dashSmallGap" w:sz="24" w:space="0" w:color="C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single" w:sz="8" w:space="0" w:color="000000"/>
              <w:left w:val="single" w:sz="8" w:space="0" w:color="000000"/>
              <w:bottom w:val="single" w:sz="8" w:space="0" w:color="000000"/>
              <w:right w:val="single" w:sz="8" w:space="0" w:color="000000"/>
            </w:tcBorders>
            <w:shd w:val="clear" w:color="auto" w:fill="A6A6A6"/>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359,7</w:t>
            </w:r>
          </w:p>
        </w:tc>
      </w:tr>
      <w:tr w:rsidR="006971CE" w:rsidRPr="006E5888" w:rsidTr="008C4AA4">
        <w:trPr>
          <w:cantSplit/>
          <w:trHeight w:val="20"/>
        </w:trPr>
        <w:tc>
          <w:tcPr>
            <w:tcW w:w="98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8C4AA4">
            <w:pP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IeM</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6"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single" w:sz="8" w:space="0" w:color="000000"/>
              <w:left w:val="single" w:sz="8" w:space="0" w:color="000000"/>
              <w:bottom w:val="single" w:sz="8" w:space="0" w:color="000000"/>
              <w:right w:val="single" w:sz="8" w:space="0" w:color="000000"/>
            </w:tcBorders>
            <w:shd w:val="clear" w:color="auto" w:fill="F2F2F2"/>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325,1</w:t>
            </w: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0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5" w:type="dxa"/>
            <w:tcBorders>
              <w:top w:val="single" w:sz="8" w:space="0" w:color="000000"/>
              <w:left w:val="single" w:sz="8" w:space="0" w:color="000000"/>
              <w:bottom w:val="single" w:sz="8" w:space="0" w:color="000000"/>
              <w:right w:val="single" w:sz="8" w:space="0" w:color="000000"/>
            </w:tcBorders>
            <w:shd w:val="clear" w:color="auto" w:fill="BFBFBF"/>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5,3</w:t>
            </w:r>
          </w:p>
        </w:tc>
        <w:tc>
          <w:tcPr>
            <w:tcW w:w="696" w:type="dxa"/>
            <w:tcBorders>
              <w:top w:val="single" w:sz="8" w:space="0" w:color="000000"/>
              <w:left w:val="single" w:sz="8" w:space="0" w:color="000000"/>
              <w:bottom w:val="single" w:sz="8" w:space="0" w:color="000000"/>
              <w:right w:val="dashSmallGap" w:sz="24" w:space="0" w:color="C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9" w:type="dxa"/>
            <w:tcBorders>
              <w:top w:val="single" w:sz="8" w:space="0" w:color="000000"/>
              <w:left w:val="dashSmallGap" w:sz="24" w:space="0" w:color="C00000"/>
              <w:bottom w:val="single" w:sz="8" w:space="0" w:color="000000"/>
              <w:right w:val="dashSmallGap" w:sz="24" w:space="0" w:color="C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5" w:type="dxa"/>
            <w:tcBorders>
              <w:top w:val="single" w:sz="8" w:space="0" w:color="000000"/>
              <w:left w:val="dashSmallGap" w:sz="24" w:space="0" w:color="C00000"/>
              <w:bottom w:val="single" w:sz="8" w:space="0" w:color="000000"/>
              <w:right w:val="single" w:sz="8" w:space="0" w:color="000000"/>
            </w:tcBorders>
            <w:shd w:val="clear" w:color="auto" w:fill="A6A6A6"/>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0,04</w:t>
            </w:r>
          </w:p>
        </w:tc>
        <w:tc>
          <w:tcPr>
            <w:tcW w:w="822" w:type="dxa"/>
            <w:tcBorders>
              <w:top w:val="single" w:sz="8" w:space="0" w:color="000000"/>
              <w:left w:val="single" w:sz="8" w:space="0" w:color="000000"/>
              <w:bottom w:val="single" w:sz="8" w:space="0" w:color="000000"/>
              <w:right w:val="single" w:sz="8" w:space="0" w:color="000000"/>
            </w:tcBorders>
            <w:shd w:val="clear" w:color="auto" w:fill="A6A6A6"/>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330,5</w:t>
            </w:r>
          </w:p>
        </w:tc>
      </w:tr>
      <w:tr w:rsidR="006971CE" w:rsidRPr="006E5888" w:rsidTr="008C4AA4">
        <w:trPr>
          <w:cantSplit/>
          <w:trHeight w:val="20"/>
        </w:trPr>
        <w:tc>
          <w:tcPr>
            <w:tcW w:w="98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8C4AA4">
            <w:pP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IZM</w:t>
            </w:r>
          </w:p>
        </w:tc>
        <w:tc>
          <w:tcPr>
            <w:tcW w:w="824" w:type="dxa"/>
            <w:tcBorders>
              <w:top w:val="single" w:sz="8" w:space="0" w:color="000000"/>
              <w:left w:val="single" w:sz="8" w:space="0" w:color="000000"/>
              <w:bottom w:val="single" w:sz="8" w:space="0" w:color="000000"/>
              <w:right w:val="single" w:sz="8" w:space="0" w:color="000000"/>
            </w:tcBorders>
            <w:shd w:val="clear" w:color="auto" w:fill="F2F2F2"/>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41,3</w:t>
            </w:r>
          </w:p>
        </w:tc>
        <w:tc>
          <w:tcPr>
            <w:tcW w:w="696"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0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6" w:type="dxa"/>
            <w:tcBorders>
              <w:top w:val="single" w:sz="8" w:space="0" w:color="000000"/>
              <w:left w:val="single" w:sz="8" w:space="0" w:color="000000"/>
              <w:bottom w:val="single" w:sz="8" w:space="0" w:color="000000"/>
              <w:right w:val="dashSmallGap" w:sz="24" w:space="0" w:color="C00000"/>
            </w:tcBorders>
            <w:shd w:val="clear" w:color="auto" w:fill="BFBFBF"/>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23,3</w:t>
            </w:r>
          </w:p>
        </w:tc>
        <w:tc>
          <w:tcPr>
            <w:tcW w:w="699" w:type="dxa"/>
            <w:tcBorders>
              <w:top w:val="single" w:sz="8" w:space="0" w:color="000000"/>
              <w:left w:val="dashSmallGap" w:sz="24" w:space="0" w:color="C00000"/>
              <w:bottom w:val="single" w:sz="8" w:space="0" w:color="000000"/>
              <w:right w:val="dashSmallGap" w:sz="24" w:space="0" w:color="C00000"/>
            </w:tcBorders>
            <w:shd w:val="clear" w:color="auto" w:fill="BFBFBF"/>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246</w:t>
            </w:r>
          </w:p>
        </w:tc>
        <w:tc>
          <w:tcPr>
            <w:tcW w:w="825" w:type="dxa"/>
            <w:tcBorders>
              <w:top w:val="single" w:sz="8" w:space="0" w:color="000000"/>
              <w:left w:val="dashSmallGap" w:sz="24" w:space="0" w:color="C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single" w:sz="8" w:space="0" w:color="000000"/>
              <w:left w:val="single" w:sz="8" w:space="0" w:color="000000"/>
              <w:bottom w:val="single" w:sz="8" w:space="0" w:color="000000"/>
              <w:right w:val="single" w:sz="8" w:space="0" w:color="000000"/>
            </w:tcBorders>
            <w:shd w:val="clear" w:color="auto" w:fill="A6A6A6"/>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310,5</w:t>
            </w:r>
          </w:p>
        </w:tc>
      </w:tr>
      <w:tr w:rsidR="006971CE" w:rsidRPr="006E5888" w:rsidTr="008C4AA4">
        <w:trPr>
          <w:cantSplit/>
          <w:trHeight w:val="20"/>
        </w:trPr>
        <w:tc>
          <w:tcPr>
            <w:tcW w:w="983" w:type="dxa"/>
            <w:tcBorders>
              <w:top w:val="single" w:sz="8" w:space="0" w:color="000000"/>
              <w:left w:val="single" w:sz="8" w:space="0" w:color="000000"/>
              <w:bottom w:val="dashSmallGap" w:sz="24" w:space="0" w:color="C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8C4AA4">
            <w:pP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EM</w:t>
            </w:r>
          </w:p>
        </w:tc>
        <w:tc>
          <w:tcPr>
            <w:tcW w:w="824" w:type="dxa"/>
            <w:tcBorders>
              <w:top w:val="single" w:sz="8" w:space="0" w:color="000000"/>
              <w:left w:val="single" w:sz="8" w:space="0" w:color="000000"/>
              <w:bottom w:val="dashSmallGap" w:sz="24" w:space="0" w:color="C00000"/>
              <w:right w:val="single" w:sz="8" w:space="0" w:color="000000"/>
            </w:tcBorders>
            <w:shd w:val="clear" w:color="auto" w:fill="F2F2F2"/>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10</w:t>
            </w:r>
          </w:p>
        </w:tc>
        <w:tc>
          <w:tcPr>
            <w:tcW w:w="696" w:type="dxa"/>
            <w:tcBorders>
              <w:top w:val="single" w:sz="8" w:space="0" w:color="000000"/>
              <w:left w:val="single" w:sz="8" w:space="0" w:color="000000"/>
              <w:bottom w:val="dashSmallGap" w:sz="24" w:space="0" w:color="C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single" w:sz="8" w:space="0" w:color="000000"/>
              <w:left w:val="single" w:sz="8" w:space="0" w:color="000000"/>
              <w:bottom w:val="dashSmallGap" w:sz="24" w:space="0" w:color="C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3" w:type="dxa"/>
            <w:tcBorders>
              <w:top w:val="single" w:sz="8" w:space="0" w:color="000000"/>
              <w:left w:val="single" w:sz="8" w:space="0" w:color="000000"/>
              <w:bottom w:val="dashSmallGap" w:sz="24" w:space="0" w:color="C00000"/>
              <w:right w:val="single" w:sz="8" w:space="0" w:color="000000"/>
            </w:tcBorders>
            <w:shd w:val="clear" w:color="auto" w:fill="D9D9D9"/>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185,7</w:t>
            </w:r>
          </w:p>
        </w:tc>
        <w:tc>
          <w:tcPr>
            <w:tcW w:w="684" w:type="dxa"/>
            <w:tcBorders>
              <w:top w:val="single" w:sz="8" w:space="0" w:color="000000"/>
              <w:left w:val="single" w:sz="8" w:space="0" w:color="000000"/>
              <w:bottom w:val="dashSmallGap" w:sz="24" w:space="0" w:color="C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03" w:type="dxa"/>
            <w:tcBorders>
              <w:top w:val="single" w:sz="8" w:space="0" w:color="000000"/>
              <w:left w:val="single" w:sz="8" w:space="0" w:color="000000"/>
              <w:bottom w:val="dashSmallGap" w:sz="24" w:space="0" w:color="C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5" w:type="dxa"/>
            <w:tcBorders>
              <w:top w:val="single" w:sz="8" w:space="0" w:color="000000"/>
              <w:left w:val="single" w:sz="8" w:space="0" w:color="000000"/>
              <w:bottom w:val="dashSmallGap" w:sz="24" w:space="0" w:color="C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6" w:type="dxa"/>
            <w:tcBorders>
              <w:top w:val="single" w:sz="8" w:space="0" w:color="000000"/>
              <w:left w:val="single" w:sz="8" w:space="0" w:color="000000"/>
              <w:bottom w:val="dashSmallGap" w:sz="24" w:space="0" w:color="C00000"/>
              <w:right w:val="dashSmallGap" w:sz="24" w:space="0" w:color="C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9" w:type="dxa"/>
            <w:tcBorders>
              <w:top w:val="single" w:sz="8" w:space="0" w:color="000000"/>
              <w:left w:val="dashSmallGap" w:sz="24" w:space="0" w:color="C00000"/>
              <w:bottom w:val="dashSmallGap" w:sz="24" w:space="0" w:color="C00000"/>
              <w:right w:val="dashSmallGap" w:sz="24" w:space="0" w:color="C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5" w:type="dxa"/>
            <w:tcBorders>
              <w:top w:val="single" w:sz="8" w:space="0" w:color="000000"/>
              <w:left w:val="dashSmallGap" w:sz="24" w:space="0" w:color="C00000"/>
              <w:bottom w:val="dashSmallGap" w:sz="24" w:space="0" w:color="C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single" w:sz="8" w:space="0" w:color="000000"/>
              <w:left w:val="single" w:sz="8" w:space="0" w:color="000000"/>
              <w:bottom w:val="dashSmallGap" w:sz="24" w:space="0" w:color="C00000"/>
              <w:right w:val="single" w:sz="8" w:space="0" w:color="000000"/>
            </w:tcBorders>
            <w:shd w:val="clear" w:color="auto" w:fill="A6A6A6"/>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195,7</w:t>
            </w:r>
          </w:p>
        </w:tc>
      </w:tr>
      <w:tr w:rsidR="006971CE" w:rsidRPr="006E5888" w:rsidTr="008C4AA4">
        <w:trPr>
          <w:cantSplit/>
          <w:trHeight w:val="20"/>
        </w:trPr>
        <w:tc>
          <w:tcPr>
            <w:tcW w:w="983" w:type="dxa"/>
            <w:tcBorders>
              <w:top w:val="dashSmallGap" w:sz="24" w:space="0" w:color="C00000"/>
              <w:left w:val="single" w:sz="8" w:space="0" w:color="000000"/>
              <w:bottom w:val="dashSmallGap" w:sz="24" w:space="0" w:color="C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8C4AA4">
            <w:pP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TM</w:t>
            </w:r>
          </w:p>
        </w:tc>
        <w:tc>
          <w:tcPr>
            <w:tcW w:w="824" w:type="dxa"/>
            <w:tcBorders>
              <w:top w:val="dashSmallGap" w:sz="24" w:space="0" w:color="C00000"/>
              <w:left w:val="single" w:sz="8" w:space="0" w:color="000000"/>
              <w:bottom w:val="dashSmallGap" w:sz="24" w:space="0" w:color="C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6" w:type="dxa"/>
            <w:tcBorders>
              <w:top w:val="dashSmallGap" w:sz="24" w:space="0" w:color="C00000"/>
              <w:left w:val="single" w:sz="8" w:space="0" w:color="000000"/>
              <w:bottom w:val="dashSmallGap" w:sz="24" w:space="0" w:color="C00000"/>
              <w:right w:val="single" w:sz="8" w:space="0" w:color="000000"/>
            </w:tcBorders>
            <w:shd w:val="clear" w:color="auto" w:fill="F2F2F2"/>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8,7</w:t>
            </w:r>
          </w:p>
        </w:tc>
        <w:tc>
          <w:tcPr>
            <w:tcW w:w="822" w:type="dxa"/>
            <w:tcBorders>
              <w:top w:val="dashSmallGap" w:sz="24" w:space="0" w:color="C00000"/>
              <w:left w:val="single" w:sz="8" w:space="0" w:color="000000"/>
              <w:bottom w:val="dashSmallGap" w:sz="24" w:space="0" w:color="C00000"/>
              <w:right w:val="single" w:sz="8" w:space="0" w:color="000000"/>
            </w:tcBorders>
            <w:shd w:val="clear" w:color="auto" w:fill="F2F2F2"/>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124,4</w:t>
            </w:r>
          </w:p>
        </w:tc>
        <w:tc>
          <w:tcPr>
            <w:tcW w:w="823" w:type="dxa"/>
            <w:tcBorders>
              <w:top w:val="dashSmallGap" w:sz="24" w:space="0" w:color="C00000"/>
              <w:left w:val="single" w:sz="8" w:space="0" w:color="000000"/>
              <w:bottom w:val="dashSmallGap" w:sz="24" w:space="0" w:color="C00000"/>
              <w:right w:val="single" w:sz="8" w:space="0" w:color="000000"/>
            </w:tcBorders>
            <w:shd w:val="clear" w:color="auto" w:fill="D9D9D9"/>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18,3</w:t>
            </w:r>
          </w:p>
        </w:tc>
        <w:tc>
          <w:tcPr>
            <w:tcW w:w="684" w:type="dxa"/>
            <w:tcBorders>
              <w:top w:val="dashSmallGap" w:sz="24" w:space="0" w:color="C00000"/>
              <w:left w:val="single" w:sz="8" w:space="0" w:color="000000"/>
              <w:bottom w:val="dashSmallGap" w:sz="24" w:space="0" w:color="C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03" w:type="dxa"/>
            <w:tcBorders>
              <w:top w:val="dashSmallGap" w:sz="24" w:space="0" w:color="C00000"/>
              <w:left w:val="single" w:sz="8" w:space="0" w:color="000000"/>
              <w:bottom w:val="dashSmallGap" w:sz="24" w:space="0" w:color="C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5" w:type="dxa"/>
            <w:tcBorders>
              <w:top w:val="dashSmallGap" w:sz="24" w:space="0" w:color="C00000"/>
              <w:left w:val="single" w:sz="8" w:space="0" w:color="000000"/>
              <w:bottom w:val="dashSmallGap" w:sz="24" w:space="0" w:color="C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6" w:type="dxa"/>
            <w:tcBorders>
              <w:top w:val="dashSmallGap" w:sz="24" w:space="0" w:color="C00000"/>
              <w:left w:val="single" w:sz="8" w:space="0" w:color="000000"/>
              <w:bottom w:val="dashSmallGap" w:sz="24" w:space="0" w:color="C00000"/>
              <w:right w:val="dashSmallGap" w:sz="24" w:space="0" w:color="C00000"/>
            </w:tcBorders>
            <w:shd w:val="clear" w:color="auto" w:fill="BFBFBF"/>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0,7</w:t>
            </w:r>
          </w:p>
        </w:tc>
        <w:tc>
          <w:tcPr>
            <w:tcW w:w="699" w:type="dxa"/>
            <w:tcBorders>
              <w:top w:val="dashSmallGap" w:sz="24" w:space="0" w:color="C00000"/>
              <w:left w:val="dashSmallGap" w:sz="24" w:space="0" w:color="C00000"/>
              <w:bottom w:val="dashSmallGap" w:sz="24" w:space="0" w:color="C00000"/>
              <w:right w:val="dashSmallGap" w:sz="24" w:space="0" w:color="C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5" w:type="dxa"/>
            <w:tcBorders>
              <w:top w:val="dashSmallGap" w:sz="24" w:space="0" w:color="C00000"/>
              <w:left w:val="dashSmallGap" w:sz="24" w:space="0" w:color="C00000"/>
              <w:bottom w:val="dashSmallGap" w:sz="24" w:space="0" w:color="C00000"/>
              <w:right w:val="single" w:sz="8" w:space="0" w:color="000000"/>
            </w:tcBorders>
            <w:shd w:val="clear" w:color="auto" w:fill="A6A6A6"/>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34,8</w:t>
            </w:r>
          </w:p>
        </w:tc>
        <w:tc>
          <w:tcPr>
            <w:tcW w:w="822" w:type="dxa"/>
            <w:tcBorders>
              <w:top w:val="dashSmallGap" w:sz="24" w:space="0" w:color="C00000"/>
              <w:left w:val="single" w:sz="8" w:space="0" w:color="000000"/>
              <w:bottom w:val="dashSmallGap" w:sz="24" w:space="0" w:color="C00000"/>
              <w:right w:val="single" w:sz="8" w:space="0" w:color="000000"/>
            </w:tcBorders>
            <w:shd w:val="clear" w:color="auto" w:fill="A6A6A6"/>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186,9</w:t>
            </w:r>
          </w:p>
        </w:tc>
      </w:tr>
      <w:tr w:rsidR="006971CE" w:rsidRPr="006E5888" w:rsidTr="008C4AA4">
        <w:trPr>
          <w:cantSplit/>
          <w:trHeight w:val="20"/>
        </w:trPr>
        <w:tc>
          <w:tcPr>
            <w:tcW w:w="983" w:type="dxa"/>
            <w:tcBorders>
              <w:top w:val="dashSmallGap" w:sz="24" w:space="0" w:color="C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8C4AA4">
            <w:pP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KM</w:t>
            </w:r>
          </w:p>
        </w:tc>
        <w:tc>
          <w:tcPr>
            <w:tcW w:w="824" w:type="dxa"/>
            <w:tcBorders>
              <w:top w:val="dashSmallGap" w:sz="24" w:space="0" w:color="C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6" w:type="dxa"/>
            <w:tcBorders>
              <w:top w:val="dashSmallGap" w:sz="24" w:space="0" w:color="C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dashSmallGap" w:sz="24" w:space="0" w:color="C00000"/>
              <w:left w:val="single" w:sz="8" w:space="0" w:color="000000"/>
              <w:bottom w:val="single" w:sz="8" w:space="0" w:color="000000"/>
              <w:right w:val="single" w:sz="8" w:space="0" w:color="000000"/>
            </w:tcBorders>
            <w:shd w:val="clear" w:color="auto" w:fill="F2F2F2"/>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0,02</w:t>
            </w:r>
          </w:p>
        </w:tc>
        <w:tc>
          <w:tcPr>
            <w:tcW w:w="823" w:type="dxa"/>
            <w:tcBorders>
              <w:top w:val="dashSmallGap" w:sz="24" w:space="0" w:color="C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84" w:type="dxa"/>
            <w:tcBorders>
              <w:top w:val="dashSmallGap" w:sz="24" w:space="0" w:color="C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03" w:type="dxa"/>
            <w:tcBorders>
              <w:top w:val="dashSmallGap" w:sz="24" w:space="0" w:color="C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5" w:type="dxa"/>
            <w:tcBorders>
              <w:top w:val="dashSmallGap" w:sz="24" w:space="0" w:color="C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6" w:type="dxa"/>
            <w:tcBorders>
              <w:top w:val="dashSmallGap" w:sz="24" w:space="0" w:color="C00000"/>
              <w:left w:val="single" w:sz="8" w:space="0" w:color="000000"/>
              <w:bottom w:val="single" w:sz="8" w:space="0" w:color="000000"/>
              <w:right w:val="dashSmallGap" w:sz="24" w:space="0" w:color="C00000"/>
            </w:tcBorders>
            <w:shd w:val="clear" w:color="auto" w:fill="BFBFBF"/>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88,4</w:t>
            </w:r>
          </w:p>
        </w:tc>
        <w:tc>
          <w:tcPr>
            <w:tcW w:w="699" w:type="dxa"/>
            <w:tcBorders>
              <w:top w:val="dashSmallGap" w:sz="24" w:space="0" w:color="C00000"/>
              <w:left w:val="dashSmallGap" w:sz="24" w:space="0" w:color="C00000"/>
              <w:bottom w:val="single" w:sz="8" w:space="0" w:color="000000"/>
              <w:right w:val="dashSmallGap" w:sz="24" w:space="0" w:color="C00000"/>
            </w:tcBorders>
            <w:shd w:val="clear" w:color="auto" w:fill="BFBFBF"/>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40,7</w:t>
            </w:r>
          </w:p>
        </w:tc>
        <w:tc>
          <w:tcPr>
            <w:tcW w:w="825" w:type="dxa"/>
            <w:tcBorders>
              <w:top w:val="dashSmallGap" w:sz="24" w:space="0" w:color="C00000"/>
              <w:left w:val="dashSmallGap" w:sz="24" w:space="0" w:color="C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dashSmallGap" w:sz="24" w:space="0" w:color="C00000"/>
              <w:left w:val="single" w:sz="8" w:space="0" w:color="000000"/>
              <w:bottom w:val="single" w:sz="8" w:space="0" w:color="000000"/>
              <w:right w:val="single" w:sz="8" w:space="0" w:color="000000"/>
            </w:tcBorders>
            <w:shd w:val="clear" w:color="auto" w:fill="A6A6A6"/>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129,2</w:t>
            </w:r>
          </w:p>
        </w:tc>
      </w:tr>
      <w:tr w:rsidR="006971CE" w:rsidRPr="006E5888" w:rsidTr="008C4AA4">
        <w:trPr>
          <w:cantSplit/>
          <w:trHeight w:val="20"/>
        </w:trPr>
        <w:tc>
          <w:tcPr>
            <w:tcW w:w="98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8C4AA4">
            <w:pP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VARAM</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6"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3" w:type="dxa"/>
            <w:tcBorders>
              <w:top w:val="single" w:sz="8" w:space="0" w:color="000000"/>
              <w:left w:val="single" w:sz="8" w:space="0" w:color="000000"/>
              <w:bottom w:val="single" w:sz="8" w:space="0" w:color="000000"/>
              <w:right w:val="single" w:sz="8" w:space="0" w:color="000000"/>
            </w:tcBorders>
            <w:shd w:val="clear" w:color="auto" w:fill="D9D9D9"/>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2,8</w:t>
            </w:r>
          </w:p>
        </w:tc>
        <w:tc>
          <w:tcPr>
            <w:tcW w:w="684" w:type="dxa"/>
            <w:tcBorders>
              <w:top w:val="single" w:sz="8" w:space="0" w:color="000000"/>
              <w:left w:val="single" w:sz="8" w:space="0" w:color="000000"/>
              <w:bottom w:val="single" w:sz="8" w:space="0" w:color="000000"/>
              <w:right w:val="single" w:sz="8" w:space="0" w:color="000000"/>
            </w:tcBorders>
            <w:shd w:val="clear" w:color="auto" w:fill="D9D9D9"/>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61,4</w:t>
            </w:r>
          </w:p>
        </w:tc>
        <w:tc>
          <w:tcPr>
            <w:tcW w:w="803" w:type="dxa"/>
            <w:tcBorders>
              <w:top w:val="single" w:sz="8" w:space="0" w:color="000000"/>
              <w:left w:val="single" w:sz="8" w:space="0" w:color="000000"/>
              <w:bottom w:val="single" w:sz="8" w:space="0" w:color="000000"/>
              <w:right w:val="single" w:sz="8" w:space="0" w:color="000000"/>
            </w:tcBorders>
            <w:shd w:val="clear" w:color="auto" w:fill="D9D9D9"/>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6,6</w:t>
            </w:r>
          </w:p>
        </w:tc>
        <w:tc>
          <w:tcPr>
            <w:tcW w:w="69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6" w:type="dxa"/>
            <w:tcBorders>
              <w:top w:val="single" w:sz="8" w:space="0" w:color="000000"/>
              <w:left w:val="single" w:sz="8" w:space="0" w:color="000000"/>
              <w:bottom w:val="single" w:sz="8" w:space="0" w:color="000000"/>
              <w:right w:val="dashSmallGap" w:sz="24" w:space="0" w:color="C00000"/>
            </w:tcBorders>
            <w:shd w:val="clear" w:color="auto" w:fill="BFBFBF"/>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0,8</w:t>
            </w:r>
          </w:p>
        </w:tc>
        <w:tc>
          <w:tcPr>
            <w:tcW w:w="699" w:type="dxa"/>
            <w:tcBorders>
              <w:top w:val="single" w:sz="8" w:space="0" w:color="000000"/>
              <w:left w:val="dashSmallGap" w:sz="24" w:space="0" w:color="C00000"/>
              <w:bottom w:val="single" w:sz="8" w:space="0" w:color="000000"/>
              <w:right w:val="dashSmallGap" w:sz="24" w:space="0" w:color="C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5" w:type="dxa"/>
            <w:tcBorders>
              <w:top w:val="single" w:sz="8" w:space="0" w:color="000000"/>
              <w:left w:val="dashSmallGap" w:sz="24" w:space="0" w:color="C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single" w:sz="8" w:space="0" w:color="000000"/>
              <w:left w:val="single" w:sz="8" w:space="0" w:color="000000"/>
              <w:bottom w:val="single" w:sz="8" w:space="0" w:color="000000"/>
              <w:right w:val="single" w:sz="8" w:space="0" w:color="000000"/>
            </w:tcBorders>
            <w:shd w:val="clear" w:color="auto" w:fill="A6A6A6"/>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71,5</w:t>
            </w:r>
          </w:p>
        </w:tc>
      </w:tr>
      <w:tr w:rsidR="006971CE" w:rsidRPr="006E5888" w:rsidTr="008C4AA4">
        <w:trPr>
          <w:cantSplit/>
          <w:trHeight w:val="20"/>
        </w:trPr>
        <w:tc>
          <w:tcPr>
            <w:tcW w:w="98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8C4AA4">
            <w:pP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ĀM</w:t>
            </w:r>
          </w:p>
        </w:tc>
        <w:tc>
          <w:tcPr>
            <w:tcW w:w="824" w:type="dxa"/>
            <w:tcBorders>
              <w:top w:val="single" w:sz="8" w:space="0" w:color="000000"/>
              <w:left w:val="single" w:sz="8" w:space="0" w:color="000000"/>
              <w:bottom w:val="single" w:sz="8" w:space="0" w:color="000000"/>
              <w:right w:val="single" w:sz="8" w:space="0" w:color="000000"/>
            </w:tcBorders>
            <w:shd w:val="clear" w:color="auto" w:fill="F2F2F2"/>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color w:val="000000"/>
                <w:kern w:val="24"/>
                <w:sz w:val="20"/>
                <w:szCs w:val="20"/>
                <w:lang w:eastAsia="lv-LV"/>
              </w:rPr>
              <w:t>51,7</w:t>
            </w:r>
          </w:p>
        </w:tc>
        <w:tc>
          <w:tcPr>
            <w:tcW w:w="696"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0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6" w:type="dxa"/>
            <w:tcBorders>
              <w:top w:val="single" w:sz="8" w:space="0" w:color="000000"/>
              <w:left w:val="single" w:sz="8" w:space="0" w:color="000000"/>
              <w:bottom w:val="single" w:sz="8" w:space="0" w:color="000000"/>
              <w:right w:val="dashSmallGap" w:sz="24" w:space="0" w:color="C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699" w:type="dxa"/>
            <w:tcBorders>
              <w:top w:val="single" w:sz="8" w:space="0" w:color="000000"/>
              <w:left w:val="dashSmallGap" w:sz="24" w:space="0" w:color="C00000"/>
              <w:bottom w:val="single" w:sz="8" w:space="0" w:color="000000"/>
              <w:right w:val="dashSmallGap" w:sz="24" w:space="0" w:color="C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5" w:type="dxa"/>
            <w:tcBorders>
              <w:top w:val="single" w:sz="8" w:space="0" w:color="000000"/>
              <w:left w:val="dashSmallGap" w:sz="24" w:space="0" w:color="C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6971CE">
            <w:pPr>
              <w:rPr>
                <w:rFonts w:eastAsia="Times New Roman" w:cs="Times New Roman"/>
                <w:sz w:val="20"/>
                <w:szCs w:val="20"/>
                <w:lang w:eastAsia="lv-LV"/>
              </w:rPr>
            </w:pPr>
          </w:p>
        </w:tc>
        <w:tc>
          <w:tcPr>
            <w:tcW w:w="822" w:type="dxa"/>
            <w:tcBorders>
              <w:top w:val="single" w:sz="8" w:space="0" w:color="000000"/>
              <w:left w:val="single" w:sz="8" w:space="0" w:color="000000"/>
              <w:bottom w:val="single" w:sz="8" w:space="0" w:color="000000"/>
              <w:right w:val="single" w:sz="8" w:space="0" w:color="000000"/>
            </w:tcBorders>
            <w:shd w:val="clear" w:color="auto" w:fill="A6A6A6"/>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51,7</w:t>
            </w:r>
          </w:p>
        </w:tc>
      </w:tr>
      <w:tr w:rsidR="006971CE" w:rsidRPr="006E5888" w:rsidTr="008C4AA4">
        <w:trPr>
          <w:cantSplit/>
          <w:trHeight w:val="20"/>
        </w:trPr>
        <w:tc>
          <w:tcPr>
            <w:tcW w:w="98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vAlign w:val="center"/>
            <w:hideMark/>
          </w:tcPr>
          <w:p w:rsidR="006971CE" w:rsidRPr="006E5888" w:rsidRDefault="006971CE" w:rsidP="008C4AA4">
            <w:pP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KOPĀ:</w:t>
            </w:r>
          </w:p>
        </w:tc>
        <w:tc>
          <w:tcPr>
            <w:tcW w:w="824" w:type="dxa"/>
            <w:tcBorders>
              <w:top w:val="single" w:sz="8" w:space="0" w:color="000000"/>
              <w:left w:val="single" w:sz="8" w:space="0" w:color="000000"/>
              <w:bottom w:val="single" w:sz="8" w:space="0" w:color="000000"/>
              <w:right w:val="single" w:sz="8" w:space="0" w:color="000000"/>
            </w:tcBorders>
            <w:shd w:val="clear" w:color="auto" w:fill="F2F2F2"/>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1 004,90</w:t>
            </w:r>
          </w:p>
        </w:tc>
        <w:tc>
          <w:tcPr>
            <w:tcW w:w="696" w:type="dxa"/>
            <w:tcBorders>
              <w:top w:val="single" w:sz="8" w:space="0" w:color="000000"/>
              <w:left w:val="single" w:sz="8" w:space="0" w:color="000000"/>
              <w:bottom w:val="single" w:sz="8" w:space="0" w:color="000000"/>
              <w:right w:val="single" w:sz="8" w:space="0" w:color="000000"/>
            </w:tcBorders>
            <w:shd w:val="clear" w:color="auto" w:fill="F2F2F2"/>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352,10</w:t>
            </w:r>
          </w:p>
        </w:tc>
        <w:tc>
          <w:tcPr>
            <w:tcW w:w="822" w:type="dxa"/>
            <w:tcBorders>
              <w:top w:val="single" w:sz="8" w:space="0" w:color="000000"/>
              <w:left w:val="single" w:sz="8" w:space="0" w:color="000000"/>
              <w:bottom w:val="single" w:sz="8" w:space="0" w:color="000000"/>
              <w:right w:val="single" w:sz="8" w:space="0" w:color="000000"/>
            </w:tcBorders>
            <w:shd w:val="clear" w:color="auto" w:fill="F2F2F2"/>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495,02</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1 564,70</w:t>
            </w:r>
          </w:p>
        </w:tc>
        <w:tc>
          <w:tcPr>
            <w:tcW w:w="684" w:type="dxa"/>
            <w:tcBorders>
              <w:top w:val="single" w:sz="8" w:space="0" w:color="000000"/>
              <w:left w:val="single" w:sz="8" w:space="0" w:color="000000"/>
              <w:bottom w:val="single" w:sz="8" w:space="0" w:color="000000"/>
              <w:right w:val="single" w:sz="8" w:space="0" w:color="000000"/>
            </w:tcBorders>
            <w:shd w:val="clear" w:color="auto" w:fill="D9D9D9"/>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61,40</w:t>
            </w:r>
          </w:p>
        </w:tc>
        <w:tc>
          <w:tcPr>
            <w:tcW w:w="803" w:type="dxa"/>
            <w:tcBorders>
              <w:top w:val="single" w:sz="8" w:space="0" w:color="000000"/>
              <w:left w:val="single" w:sz="8" w:space="0" w:color="000000"/>
              <w:bottom w:val="single" w:sz="8" w:space="0" w:color="000000"/>
              <w:right w:val="single" w:sz="8" w:space="0" w:color="000000"/>
            </w:tcBorders>
            <w:shd w:val="clear" w:color="auto" w:fill="D9D9D9"/>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6,60</w:t>
            </w:r>
          </w:p>
        </w:tc>
        <w:tc>
          <w:tcPr>
            <w:tcW w:w="695" w:type="dxa"/>
            <w:tcBorders>
              <w:top w:val="single" w:sz="8" w:space="0" w:color="000000"/>
              <w:left w:val="single" w:sz="8" w:space="0" w:color="000000"/>
              <w:bottom w:val="single" w:sz="8" w:space="0" w:color="000000"/>
              <w:right w:val="single" w:sz="8" w:space="0" w:color="000000"/>
            </w:tcBorders>
            <w:shd w:val="clear" w:color="auto" w:fill="BFBFBF"/>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749,70</w:t>
            </w:r>
          </w:p>
        </w:tc>
        <w:tc>
          <w:tcPr>
            <w:tcW w:w="696" w:type="dxa"/>
            <w:tcBorders>
              <w:top w:val="single" w:sz="8" w:space="0" w:color="000000"/>
              <w:left w:val="single" w:sz="8" w:space="0" w:color="000000"/>
              <w:bottom w:val="single" w:sz="8" w:space="0" w:color="000000"/>
              <w:right w:val="dashSmallGap" w:sz="24" w:space="0" w:color="C00000"/>
            </w:tcBorders>
            <w:shd w:val="clear" w:color="auto" w:fill="BFBFBF"/>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136,30</w:t>
            </w:r>
          </w:p>
        </w:tc>
        <w:tc>
          <w:tcPr>
            <w:tcW w:w="699" w:type="dxa"/>
            <w:tcBorders>
              <w:top w:val="single" w:sz="8" w:space="0" w:color="000000"/>
              <w:left w:val="dashSmallGap" w:sz="24" w:space="0" w:color="C00000"/>
              <w:bottom w:val="single" w:sz="8" w:space="0" w:color="000000"/>
              <w:right w:val="dashSmallGap" w:sz="24" w:space="0" w:color="C00000"/>
            </w:tcBorders>
            <w:shd w:val="clear" w:color="auto" w:fill="BFBFBF"/>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667,40</w:t>
            </w:r>
          </w:p>
        </w:tc>
        <w:tc>
          <w:tcPr>
            <w:tcW w:w="825" w:type="dxa"/>
            <w:tcBorders>
              <w:top w:val="single" w:sz="8" w:space="0" w:color="000000"/>
              <w:left w:val="dashSmallGap" w:sz="24" w:space="0" w:color="C00000"/>
              <w:bottom w:val="single" w:sz="8" w:space="0" w:color="000000"/>
              <w:right w:val="single" w:sz="8" w:space="0" w:color="000000"/>
            </w:tcBorders>
            <w:shd w:val="clear" w:color="auto" w:fill="A6A6A6"/>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2 648,34</w:t>
            </w:r>
          </w:p>
        </w:tc>
        <w:tc>
          <w:tcPr>
            <w:tcW w:w="822" w:type="dxa"/>
            <w:tcBorders>
              <w:top w:val="single" w:sz="8" w:space="0" w:color="000000"/>
              <w:left w:val="single" w:sz="8" w:space="0" w:color="000000"/>
              <w:bottom w:val="single" w:sz="8" w:space="0" w:color="000000"/>
              <w:right w:val="single" w:sz="8" w:space="0" w:color="000000"/>
            </w:tcBorders>
            <w:shd w:val="clear" w:color="auto" w:fill="A6A6A6"/>
            <w:tcMar>
              <w:top w:w="9" w:type="dxa"/>
              <w:left w:w="9" w:type="dxa"/>
              <w:bottom w:w="0" w:type="dxa"/>
              <w:right w:w="9" w:type="dxa"/>
            </w:tcMar>
            <w:vAlign w:val="center"/>
            <w:hideMark/>
          </w:tcPr>
          <w:p w:rsidR="006971CE" w:rsidRPr="006E5888" w:rsidRDefault="006971CE" w:rsidP="006971CE">
            <w:pPr>
              <w:jc w:val="center"/>
              <w:textAlignment w:val="bottom"/>
              <w:rPr>
                <w:rFonts w:eastAsia="Times New Roman" w:cs="Times New Roman"/>
                <w:sz w:val="20"/>
                <w:szCs w:val="20"/>
                <w:lang w:eastAsia="lv-LV"/>
              </w:rPr>
            </w:pPr>
            <w:r w:rsidRPr="006E5888">
              <w:rPr>
                <w:rFonts w:eastAsia="Times New Roman" w:cs="Times New Roman"/>
                <w:b/>
                <w:bCs/>
                <w:color w:val="000000"/>
                <w:kern w:val="24"/>
                <w:sz w:val="20"/>
                <w:szCs w:val="20"/>
                <w:lang w:eastAsia="lv-LV"/>
              </w:rPr>
              <w:t>7 686,50</w:t>
            </w:r>
          </w:p>
        </w:tc>
      </w:tr>
    </w:tbl>
    <w:p w:rsidR="008C4AA4" w:rsidRPr="006E5888" w:rsidRDefault="00791C25" w:rsidP="008C4AA4">
      <w:pPr>
        <w:pStyle w:val="ListParagraph"/>
        <w:tabs>
          <w:tab w:val="left" w:pos="1010"/>
        </w:tabs>
        <w:spacing w:before="120" w:after="120"/>
        <w:ind w:left="0"/>
        <w:jc w:val="both"/>
        <w:rPr>
          <w:b/>
          <w:noProof/>
          <w:sz w:val="20"/>
          <w:szCs w:val="20"/>
          <w:lang w:eastAsia="lv-LV"/>
        </w:rPr>
      </w:pPr>
      <w:r w:rsidRPr="006E5888">
        <w:rPr>
          <w:b/>
          <w:noProof/>
          <w:sz w:val="20"/>
          <w:szCs w:val="20"/>
          <w:lang w:eastAsia="lv-LV"/>
        </w:rPr>
        <w:t>*</w:t>
      </w:r>
      <w:r w:rsidRPr="006E5888">
        <w:rPr>
          <w:noProof/>
          <w:sz w:val="20"/>
          <w:szCs w:val="20"/>
          <w:lang w:eastAsia="lv-LV"/>
        </w:rPr>
        <w:t>VPK, Saeima, MK, KNAB, Tiesībsarga birojs, SIF, SPRK, VK, PKC,  AT ST, Prokuratūra, CVK, CZK, RTV, 62.resors, 64.resors</w:t>
      </w:r>
    </w:p>
    <w:p w:rsidR="00791C25" w:rsidRPr="006E5888" w:rsidRDefault="00791C25" w:rsidP="008C4AA4">
      <w:pPr>
        <w:pStyle w:val="ListParagraph"/>
        <w:tabs>
          <w:tab w:val="left" w:pos="1010"/>
        </w:tabs>
        <w:spacing w:before="120" w:after="120"/>
        <w:ind w:left="0" w:firstLine="709"/>
        <w:jc w:val="both"/>
        <w:rPr>
          <w:noProof/>
          <w:sz w:val="8"/>
          <w:szCs w:val="8"/>
          <w:lang w:eastAsia="lv-LV"/>
        </w:rPr>
      </w:pPr>
    </w:p>
    <w:p w:rsidR="003C4EF5" w:rsidRPr="006E5888" w:rsidRDefault="008C4AA4" w:rsidP="008B4069">
      <w:pPr>
        <w:pStyle w:val="ListParagraph"/>
        <w:tabs>
          <w:tab w:val="left" w:pos="1010"/>
        </w:tabs>
        <w:spacing w:before="120" w:after="120"/>
        <w:ind w:left="0" w:firstLine="709"/>
        <w:jc w:val="both"/>
        <w:rPr>
          <w:noProof/>
          <w:szCs w:val="24"/>
          <w:lang w:eastAsia="lv-LV"/>
        </w:rPr>
      </w:pPr>
      <w:r w:rsidRPr="006E5888">
        <w:rPr>
          <w:noProof/>
          <w:szCs w:val="24"/>
          <w:lang w:eastAsia="lv-LV"/>
        </w:rPr>
        <w:t>Tabulā</w:t>
      </w:r>
      <w:r w:rsidR="00BB71A5" w:rsidRPr="006E5888">
        <w:rPr>
          <w:noProof/>
          <w:szCs w:val="24"/>
          <w:lang w:eastAsia="lv-LV"/>
        </w:rPr>
        <w:t xml:space="preserve"> </w:t>
      </w:r>
      <w:r w:rsidR="00437F30" w:rsidRPr="006E5888">
        <w:rPr>
          <w:noProof/>
          <w:szCs w:val="24"/>
          <w:lang w:eastAsia="lv-LV"/>
        </w:rPr>
        <w:t>Nr.</w:t>
      </w:r>
      <w:r w:rsidRPr="006E5888">
        <w:rPr>
          <w:noProof/>
          <w:szCs w:val="24"/>
          <w:lang w:eastAsia="lv-LV"/>
        </w:rPr>
        <w:t>6</w:t>
      </w:r>
      <w:r w:rsidR="00437F30" w:rsidRPr="006E5888">
        <w:rPr>
          <w:noProof/>
          <w:szCs w:val="24"/>
          <w:lang w:eastAsia="lv-LV"/>
        </w:rPr>
        <w:t xml:space="preserve"> uzskatāmi parāda, ka nozaru min</w:t>
      </w:r>
      <w:r w:rsidR="00153406" w:rsidRPr="006E5888">
        <w:rPr>
          <w:noProof/>
          <w:szCs w:val="24"/>
          <w:lang w:eastAsia="lv-LV"/>
        </w:rPr>
        <w:t>istriju kompetences pārklājas</w:t>
      </w:r>
      <w:r w:rsidR="00437F30" w:rsidRPr="006E5888">
        <w:rPr>
          <w:noProof/>
          <w:szCs w:val="24"/>
          <w:lang w:eastAsia="lv-LV"/>
        </w:rPr>
        <w:t>, piemēram, izglītības funkcija sadalās starp 5 ministrijām un 62.resoru.</w:t>
      </w:r>
      <w:r w:rsidR="001C6740" w:rsidRPr="006E5888">
        <w:rPr>
          <w:noProof/>
          <w:szCs w:val="24"/>
          <w:lang w:eastAsia="lv-LV"/>
        </w:rPr>
        <w:t xml:space="preserve"> Tāpat līdzīga tendence vērojama arī atpūtas, kultūras un reliģijas funkcijā, </w:t>
      </w:r>
      <w:r w:rsidR="00153406" w:rsidRPr="006E5888">
        <w:rPr>
          <w:noProof/>
          <w:szCs w:val="24"/>
          <w:lang w:eastAsia="lv-LV"/>
        </w:rPr>
        <w:t>kas</w:t>
      </w:r>
      <w:r w:rsidR="001C6740" w:rsidRPr="006E5888">
        <w:rPr>
          <w:noProof/>
          <w:szCs w:val="24"/>
          <w:lang w:eastAsia="lv-LV"/>
        </w:rPr>
        <w:t xml:space="preserve"> sadalās starp 5 ministrijām un 62.resoru.</w:t>
      </w:r>
      <w:r w:rsidR="00437F30" w:rsidRPr="006E5888">
        <w:rPr>
          <w:noProof/>
          <w:szCs w:val="24"/>
          <w:lang w:eastAsia="lv-LV"/>
        </w:rPr>
        <w:t xml:space="preserve"> </w:t>
      </w:r>
    </w:p>
    <w:p w:rsidR="003C4EF5" w:rsidRPr="006E5888" w:rsidRDefault="003C4EF5" w:rsidP="000E1E6C">
      <w:pPr>
        <w:tabs>
          <w:tab w:val="left" w:pos="1010"/>
        </w:tabs>
        <w:spacing w:after="120"/>
        <w:jc w:val="right"/>
        <w:rPr>
          <w:szCs w:val="24"/>
        </w:rPr>
      </w:pPr>
      <w:r w:rsidRPr="006E5888">
        <w:rPr>
          <w:szCs w:val="24"/>
        </w:rPr>
        <w:t>T</w:t>
      </w:r>
      <w:r w:rsidR="000E1E6C" w:rsidRPr="006E5888">
        <w:rPr>
          <w:szCs w:val="24"/>
        </w:rPr>
        <w:t>abula Nr.7</w:t>
      </w:r>
    </w:p>
    <w:p w:rsidR="00F11911" w:rsidRPr="006E5888" w:rsidRDefault="00985F09" w:rsidP="000E1E6C">
      <w:pPr>
        <w:tabs>
          <w:tab w:val="left" w:pos="1010"/>
        </w:tabs>
        <w:spacing w:after="120"/>
        <w:jc w:val="center"/>
        <w:rPr>
          <w:szCs w:val="24"/>
        </w:rPr>
      </w:pPr>
      <w:r w:rsidRPr="006E5888">
        <w:rPr>
          <w:szCs w:val="24"/>
        </w:rPr>
        <w:t>2016.gada valsts konsolidētā budžeta  programmu/apakšprogrammu skaits funkcionālā sadalījumā</w:t>
      </w:r>
    </w:p>
    <w:tbl>
      <w:tblPr>
        <w:tblW w:w="9238" w:type="dxa"/>
        <w:tblCellMar>
          <w:left w:w="0" w:type="dxa"/>
          <w:right w:w="0" w:type="dxa"/>
        </w:tblCellMar>
        <w:tblLook w:val="0600" w:firstRow="0" w:lastRow="0" w:firstColumn="0" w:lastColumn="0" w:noHBand="1" w:noVBand="1"/>
      </w:tblPr>
      <w:tblGrid>
        <w:gridCol w:w="1098"/>
        <w:gridCol w:w="695"/>
        <w:gridCol w:w="691"/>
        <w:gridCol w:w="826"/>
        <w:gridCol w:w="690"/>
        <w:gridCol w:w="690"/>
        <w:gridCol w:w="826"/>
        <w:gridCol w:w="690"/>
        <w:gridCol w:w="690"/>
        <w:gridCol w:w="689"/>
        <w:gridCol w:w="690"/>
        <w:gridCol w:w="963"/>
      </w:tblGrid>
      <w:tr w:rsidR="00791C25" w:rsidRPr="006E5888" w:rsidTr="000E1E6C">
        <w:trPr>
          <w:cantSplit/>
          <w:trHeight w:val="1460"/>
          <w:tblHeader/>
        </w:trPr>
        <w:tc>
          <w:tcPr>
            <w:tcW w:w="108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rsidR="0089517E" w:rsidRPr="006E5888" w:rsidRDefault="0089517E" w:rsidP="0089517E">
            <w:pPr>
              <w:rPr>
                <w:rFonts w:eastAsia="Times New Roman" w:cs="Times New Roman"/>
                <w:sz w:val="20"/>
                <w:szCs w:val="20"/>
                <w:lang w:eastAsia="lv-LV"/>
              </w:rPr>
            </w:pPr>
          </w:p>
        </w:tc>
        <w:tc>
          <w:tcPr>
            <w:tcW w:w="697" w:type="dxa"/>
            <w:tcBorders>
              <w:top w:val="single" w:sz="8" w:space="0" w:color="000000"/>
              <w:left w:val="single" w:sz="8" w:space="0" w:color="000000"/>
              <w:bottom w:val="single" w:sz="8" w:space="0" w:color="000000"/>
              <w:right w:val="single" w:sz="8" w:space="0" w:color="000000"/>
            </w:tcBorders>
            <w:shd w:val="clear" w:color="auto" w:fill="F2F2F2"/>
            <w:tcMar>
              <w:top w:w="10" w:type="dxa"/>
              <w:left w:w="10" w:type="dxa"/>
              <w:bottom w:w="0" w:type="dxa"/>
              <w:right w:w="10" w:type="dxa"/>
            </w:tcMar>
            <w:textDirection w:val="btL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Cs/>
                <w:color w:val="000000" w:themeColor="dark1"/>
                <w:kern w:val="24"/>
                <w:sz w:val="20"/>
                <w:szCs w:val="20"/>
                <w:lang w:eastAsia="lv-LV"/>
              </w:rPr>
              <w:t>Vispārējie valdības dienesti</w:t>
            </w:r>
          </w:p>
        </w:tc>
        <w:tc>
          <w:tcPr>
            <w:tcW w:w="692" w:type="dxa"/>
            <w:tcBorders>
              <w:top w:val="single" w:sz="8" w:space="0" w:color="000000"/>
              <w:left w:val="single" w:sz="8" w:space="0" w:color="000000"/>
              <w:bottom w:val="single" w:sz="8" w:space="0" w:color="000000"/>
              <w:right w:val="single" w:sz="8" w:space="0" w:color="000000"/>
            </w:tcBorders>
            <w:shd w:val="clear" w:color="auto" w:fill="F2F2F2"/>
            <w:tcMar>
              <w:top w:w="10" w:type="dxa"/>
              <w:left w:w="10" w:type="dxa"/>
              <w:bottom w:w="0" w:type="dxa"/>
              <w:right w:w="10" w:type="dxa"/>
            </w:tcMar>
            <w:textDirection w:val="btL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Cs/>
                <w:color w:val="000000" w:themeColor="dark1"/>
                <w:kern w:val="24"/>
                <w:sz w:val="20"/>
                <w:szCs w:val="20"/>
                <w:lang w:eastAsia="lv-LV"/>
              </w:rPr>
              <w:t>Aizsardzība</w:t>
            </w:r>
          </w:p>
        </w:tc>
        <w:tc>
          <w:tcPr>
            <w:tcW w:w="827" w:type="dxa"/>
            <w:tcBorders>
              <w:top w:val="single" w:sz="8" w:space="0" w:color="000000"/>
              <w:left w:val="single" w:sz="8" w:space="0" w:color="000000"/>
              <w:bottom w:val="single" w:sz="8" w:space="0" w:color="000000"/>
              <w:right w:val="single" w:sz="8" w:space="0" w:color="000000"/>
            </w:tcBorders>
            <w:shd w:val="clear" w:color="auto" w:fill="F2F2F2"/>
            <w:tcMar>
              <w:top w:w="10" w:type="dxa"/>
              <w:left w:w="10" w:type="dxa"/>
              <w:bottom w:w="0" w:type="dxa"/>
              <w:right w:w="10" w:type="dxa"/>
            </w:tcMar>
            <w:textDirection w:val="btL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Cs/>
                <w:color w:val="000000" w:themeColor="dark1"/>
                <w:kern w:val="24"/>
                <w:sz w:val="20"/>
                <w:szCs w:val="20"/>
                <w:lang w:eastAsia="lv-LV"/>
              </w:rPr>
              <w:t>Sabiedriskā kārtība un drošība</w:t>
            </w:r>
          </w:p>
        </w:tc>
        <w:tc>
          <w:tcPr>
            <w:tcW w:w="691" w:type="dxa"/>
            <w:tcBorders>
              <w:top w:val="single" w:sz="8" w:space="0" w:color="000000"/>
              <w:left w:val="single" w:sz="8" w:space="0" w:color="000000"/>
              <w:bottom w:val="single" w:sz="8" w:space="0" w:color="000000"/>
              <w:right w:val="single" w:sz="8" w:space="0" w:color="000000"/>
            </w:tcBorders>
            <w:shd w:val="clear" w:color="auto" w:fill="D9D9D9"/>
            <w:tcMar>
              <w:top w:w="10" w:type="dxa"/>
              <w:left w:w="10" w:type="dxa"/>
              <w:bottom w:w="0" w:type="dxa"/>
              <w:right w:w="10" w:type="dxa"/>
            </w:tcMar>
            <w:textDirection w:val="btL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Cs/>
                <w:color w:val="000000" w:themeColor="dark1"/>
                <w:kern w:val="24"/>
                <w:sz w:val="20"/>
                <w:szCs w:val="20"/>
                <w:lang w:eastAsia="lv-LV"/>
              </w:rPr>
              <w:t>Ekonomiskā darbība</w:t>
            </w:r>
          </w:p>
        </w:tc>
        <w:tc>
          <w:tcPr>
            <w:tcW w:w="691" w:type="dxa"/>
            <w:tcBorders>
              <w:top w:val="single" w:sz="8" w:space="0" w:color="000000"/>
              <w:left w:val="single" w:sz="8" w:space="0" w:color="000000"/>
              <w:bottom w:val="single" w:sz="8" w:space="0" w:color="000000"/>
              <w:right w:val="single" w:sz="8" w:space="0" w:color="000000"/>
            </w:tcBorders>
            <w:shd w:val="clear" w:color="auto" w:fill="D9D9D9"/>
            <w:tcMar>
              <w:top w:w="10" w:type="dxa"/>
              <w:left w:w="10" w:type="dxa"/>
              <w:bottom w:w="0" w:type="dxa"/>
              <w:right w:w="10" w:type="dxa"/>
            </w:tcMar>
            <w:textDirection w:val="btL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Cs/>
                <w:color w:val="000000" w:themeColor="dark1"/>
                <w:kern w:val="24"/>
                <w:sz w:val="20"/>
                <w:szCs w:val="20"/>
                <w:lang w:eastAsia="lv-LV"/>
              </w:rPr>
              <w:t>Vides aizsardzība</w:t>
            </w:r>
          </w:p>
        </w:tc>
        <w:tc>
          <w:tcPr>
            <w:tcW w:w="827" w:type="dxa"/>
            <w:tcBorders>
              <w:top w:val="single" w:sz="8" w:space="0" w:color="000000"/>
              <w:left w:val="single" w:sz="8" w:space="0" w:color="000000"/>
              <w:bottom w:val="single" w:sz="8" w:space="0" w:color="000000"/>
              <w:right w:val="single" w:sz="8" w:space="0" w:color="000000"/>
            </w:tcBorders>
            <w:shd w:val="clear" w:color="auto" w:fill="D9D9D9"/>
            <w:tcMar>
              <w:top w:w="10" w:type="dxa"/>
              <w:left w:w="10" w:type="dxa"/>
              <w:bottom w:w="0" w:type="dxa"/>
              <w:right w:w="10" w:type="dxa"/>
            </w:tcMar>
            <w:textDirection w:val="btL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Cs/>
                <w:color w:val="000000" w:themeColor="dark1"/>
                <w:kern w:val="24"/>
                <w:sz w:val="20"/>
                <w:szCs w:val="20"/>
                <w:lang w:eastAsia="lv-LV"/>
              </w:rPr>
              <w:t>Teritoriju un mājokļu apsaimniekošana</w:t>
            </w:r>
          </w:p>
        </w:tc>
        <w:tc>
          <w:tcPr>
            <w:tcW w:w="691" w:type="dxa"/>
            <w:tcBorders>
              <w:top w:val="single" w:sz="8" w:space="0" w:color="000000"/>
              <w:left w:val="single" w:sz="8" w:space="0" w:color="000000"/>
              <w:bottom w:val="single" w:sz="8" w:space="0" w:color="000000"/>
              <w:right w:val="single" w:sz="8" w:space="0" w:color="000000"/>
            </w:tcBorders>
            <w:shd w:val="clear" w:color="auto" w:fill="BFBFBF"/>
            <w:tcMar>
              <w:top w:w="10" w:type="dxa"/>
              <w:left w:w="10" w:type="dxa"/>
              <w:bottom w:w="0" w:type="dxa"/>
              <w:right w:w="10" w:type="dxa"/>
            </w:tcMar>
            <w:textDirection w:val="btL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Cs/>
                <w:color w:val="000000" w:themeColor="dark1"/>
                <w:kern w:val="24"/>
                <w:sz w:val="20"/>
                <w:szCs w:val="20"/>
                <w:lang w:eastAsia="lv-LV"/>
              </w:rPr>
              <w:t>Veselība</w:t>
            </w:r>
          </w:p>
        </w:tc>
        <w:tc>
          <w:tcPr>
            <w:tcW w:w="691" w:type="dxa"/>
            <w:tcBorders>
              <w:top w:val="single" w:sz="8" w:space="0" w:color="000000"/>
              <w:left w:val="single" w:sz="8" w:space="0" w:color="000000"/>
              <w:bottom w:val="single" w:sz="8" w:space="0" w:color="000000"/>
              <w:right w:val="single" w:sz="8" w:space="0" w:color="000000"/>
            </w:tcBorders>
            <w:shd w:val="clear" w:color="auto" w:fill="BFBFBF"/>
            <w:tcMar>
              <w:top w:w="10" w:type="dxa"/>
              <w:left w:w="10" w:type="dxa"/>
              <w:bottom w:w="0" w:type="dxa"/>
              <w:right w:w="10" w:type="dxa"/>
            </w:tcMar>
            <w:textDirection w:val="btL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Cs/>
                <w:color w:val="000000" w:themeColor="dark1"/>
                <w:kern w:val="24"/>
                <w:sz w:val="20"/>
                <w:szCs w:val="20"/>
                <w:lang w:eastAsia="lv-LV"/>
              </w:rPr>
              <w:t>Atpūta, kultūra un reliģija</w:t>
            </w:r>
          </w:p>
        </w:tc>
        <w:tc>
          <w:tcPr>
            <w:tcW w:w="690" w:type="dxa"/>
            <w:tcBorders>
              <w:top w:val="single" w:sz="8" w:space="0" w:color="000000"/>
              <w:left w:val="single" w:sz="8" w:space="0" w:color="000000"/>
              <w:bottom w:val="single" w:sz="8" w:space="0" w:color="000000"/>
              <w:right w:val="single" w:sz="8" w:space="0" w:color="000000"/>
            </w:tcBorders>
            <w:shd w:val="clear" w:color="auto" w:fill="A6A6A6"/>
            <w:tcMar>
              <w:top w:w="10" w:type="dxa"/>
              <w:left w:w="10" w:type="dxa"/>
              <w:bottom w:w="0" w:type="dxa"/>
              <w:right w:w="10" w:type="dxa"/>
            </w:tcMar>
            <w:textDirection w:val="btL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Cs/>
                <w:color w:val="000000" w:themeColor="dark1"/>
                <w:kern w:val="24"/>
                <w:sz w:val="20"/>
                <w:szCs w:val="20"/>
                <w:lang w:eastAsia="lv-LV"/>
              </w:rPr>
              <w:t xml:space="preserve"> Izglītība</w:t>
            </w:r>
          </w:p>
        </w:tc>
        <w:tc>
          <w:tcPr>
            <w:tcW w:w="691" w:type="dxa"/>
            <w:tcBorders>
              <w:top w:val="single" w:sz="8" w:space="0" w:color="000000"/>
              <w:left w:val="single" w:sz="8" w:space="0" w:color="000000"/>
              <w:bottom w:val="single" w:sz="8" w:space="0" w:color="000000"/>
              <w:right w:val="single" w:sz="8" w:space="0" w:color="000000"/>
            </w:tcBorders>
            <w:shd w:val="clear" w:color="auto" w:fill="A6A6A6"/>
            <w:tcMar>
              <w:top w:w="10" w:type="dxa"/>
              <w:left w:w="10" w:type="dxa"/>
              <w:bottom w:w="0" w:type="dxa"/>
              <w:right w:w="10" w:type="dxa"/>
            </w:tcMar>
            <w:textDirection w:val="btL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Cs/>
                <w:color w:val="000000" w:themeColor="dark1"/>
                <w:kern w:val="24"/>
                <w:sz w:val="20"/>
                <w:szCs w:val="20"/>
                <w:lang w:eastAsia="lv-LV"/>
              </w:rPr>
              <w:t>Sociālā aizsardzība</w:t>
            </w:r>
          </w:p>
        </w:tc>
        <w:tc>
          <w:tcPr>
            <w:tcW w:w="964" w:type="dxa"/>
            <w:tcBorders>
              <w:top w:val="single" w:sz="8" w:space="0" w:color="000000"/>
              <w:left w:val="single" w:sz="8" w:space="0" w:color="000000"/>
              <w:bottom w:val="single" w:sz="8" w:space="0" w:color="000000"/>
              <w:right w:val="single" w:sz="8" w:space="0" w:color="000000"/>
            </w:tcBorders>
            <w:shd w:val="clear" w:color="auto" w:fill="7F7F7F"/>
            <w:tcMar>
              <w:top w:w="10" w:type="dxa"/>
              <w:left w:w="10" w:type="dxa"/>
              <w:bottom w:w="0" w:type="dxa"/>
              <w:right w:w="10" w:type="dxa"/>
            </w:tcMar>
            <w:textDirection w:val="btL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KOPĀ</w:t>
            </w:r>
          </w:p>
        </w:tc>
      </w:tr>
      <w:tr w:rsidR="0089517E" w:rsidRPr="006E5888" w:rsidTr="00791C25">
        <w:trPr>
          <w:cantSplit/>
          <w:trHeight w:val="20"/>
        </w:trPr>
        <w:tc>
          <w:tcPr>
            <w:tcW w:w="108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rsidR="0089517E" w:rsidRPr="006E5888" w:rsidRDefault="0089517E" w:rsidP="0089517E">
            <w:pP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IZM</w:t>
            </w:r>
          </w:p>
        </w:tc>
        <w:tc>
          <w:tcPr>
            <w:tcW w:w="697" w:type="dxa"/>
            <w:tcBorders>
              <w:top w:val="single" w:sz="8" w:space="0" w:color="000000"/>
              <w:left w:val="single" w:sz="8" w:space="0" w:color="000000"/>
              <w:bottom w:val="single" w:sz="8" w:space="0" w:color="000000"/>
              <w:right w:val="single" w:sz="8" w:space="0" w:color="000000"/>
            </w:tcBorders>
            <w:shd w:val="clear" w:color="auto" w:fill="F2F2F2"/>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7</w:t>
            </w:r>
          </w:p>
        </w:tc>
        <w:tc>
          <w:tcPr>
            <w:tcW w:w="69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BFBFB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9</w:t>
            </w:r>
          </w:p>
        </w:tc>
        <w:tc>
          <w:tcPr>
            <w:tcW w:w="690" w:type="dxa"/>
            <w:tcBorders>
              <w:top w:val="single" w:sz="8" w:space="0" w:color="000000"/>
              <w:left w:val="single" w:sz="8" w:space="0" w:color="000000"/>
              <w:bottom w:val="single" w:sz="8" w:space="0" w:color="000000"/>
              <w:right w:val="single" w:sz="8" w:space="0" w:color="000000"/>
            </w:tcBorders>
            <w:shd w:val="clear" w:color="auto" w:fill="A6A6A6"/>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42</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964" w:type="dxa"/>
            <w:tcBorders>
              <w:top w:val="single" w:sz="8" w:space="0" w:color="000000"/>
              <w:left w:val="single" w:sz="8" w:space="0" w:color="000000"/>
              <w:bottom w:val="single" w:sz="8" w:space="0" w:color="000000"/>
              <w:right w:val="single" w:sz="8" w:space="0" w:color="000000"/>
            </w:tcBorders>
            <w:shd w:val="clear" w:color="auto" w:fill="7F7F7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58</w:t>
            </w:r>
          </w:p>
        </w:tc>
      </w:tr>
      <w:tr w:rsidR="0089517E" w:rsidRPr="006E5888" w:rsidTr="00791C25">
        <w:trPr>
          <w:cantSplit/>
          <w:trHeight w:val="20"/>
        </w:trPr>
        <w:tc>
          <w:tcPr>
            <w:tcW w:w="108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rsidR="0089517E" w:rsidRPr="006E5888" w:rsidRDefault="0089517E" w:rsidP="0089517E">
            <w:pP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Pārējie resori*</w:t>
            </w:r>
          </w:p>
        </w:tc>
        <w:tc>
          <w:tcPr>
            <w:tcW w:w="697" w:type="dxa"/>
            <w:tcBorders>
              <w:top w:val="single" w:sz="8" w:space="0" w:color="000000"/>
              <w:left w:val="single" w:sz="8" w:space="0" w:color="000000"/>
              <w:bottom w:val="single" w:sz="8" w:space="0" w:color="000000"/>
              <w:right w:val="single" w:sz="8" w:space="0" w:color="000000"/>
            </w:tcBorders>
            <w:shd w:val="clear" w:color="auto" w:fill="F2F2F2"/>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18</w:t>
            </w:r>
          </w:p>
        </w:tc>
        <w:tc>
          <w:tcPr>
            <w:tcW w:w="69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F2F2F2"/>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7</w:t>
            </w:r>
          </w:p>
        </w:tc>
        <w:tc>
          <w:tcPr>
            <w:tcW w:w="691" w:type="dxa"/>
            <w:tcBorders>
              <w:top w:val="single" w:sz="8" w:space="0" w:color="000000"/>
              <w:left w:val="single" w:sz="8" w:space="0" w:color="000000"/>
              <w:bottom w:val="single" w:sz="8" w:space="0" w:color="000000"/>
              <w:right w:val="single" w:sz="8" w:space="0" w:color="000000"/>
            </w:tcBorders>
            <w:shd w:val="clear" w:color="auto" w:fill="D9D9D9"/>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2</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BFBFB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5</w:t>
            </w:r>
          </w:p>
        </w:tc>
        <w:tc>
          <w:tcPr>
            <w:tcW w:w="690" w:type="dxa"/>
            <w:tcBorders>
              <w:top w:val="single" w:sz="8" w:space="0" w:color="000000"/>
              <w:left w:val="single" w:sz="8" w:space="0" w:color="000000"/>
              <w:bottom w:val="single" w:sz="8" w:space="0" w:color="000000"/>
              <w:right w:val="single" w:sz="8" w:space="0" w:color="000000"/>
            </w:tcBorders>
            <w:shd w:val="clear" w:color="auto" w:fill="A6A6A6"/>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4</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964" w:type="dxa"/>
            <w:tcBorders>
              <w:top w:val="single" w:sz="8" w:space="0" w:color="000000"/>
              <w:left w:val="single" w:sz="8" w:space="0" w:color="000000"/>
              <w:bottom w:val="single" w:sz="8" w:space="0" w:color="000000"/>
              <w:right w:val="single" w:sz="8" w:space="0" w:color="000000"/>
            </w:tcBorders>
            <w:shd w:val="clear" w:color="auto" w:fill="7F7F7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36</w:t>
            </w:r>
          </w:p>
        </w:tc>
      </w:tr>
      <w:tr w:rsidR="0089517E" w:rsidRPr="006E5888" w:rsidTr="00791C25">
        <w:trPr>
          <w:cantSplit/>
          <w:trHeight w:val="20"/>
        </w:trPr>
        <w:tc>
          <w:tcPr>
            <w:tcW w:w="108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rsidR="0089517E" w:rsidRPr="006E5888" w:rsidRDefault="0089517E" w:rsidP="0089517E">
            <w:pP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FM</w:t>
            </w:r>
          </w:p>
        </w:tc>
        <w:tc>
          <w:tcPr>
            <w:tcW w:w="697" w:type="dxa"/>
            <w:tcBorders>
              <w:top w:val="single" w:sz="8" w:space="0" w:color="000000"/>
              <w:left w:val="single" w:sz="8" w:space="0" w:color="000000"/>
              <w:bottom w:val="single" w:sz="8" w:space="0" w:color="000000"/>
              <w:right w:val="single" w:sz="8" w:space="0" w:color="000000"/>
            </w:tcBorders>
            <w:shd w:val="clear" w:color="auto" w:fill="F2F2F2"/>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30</w:t>
            </w:r>
          </w:p>
        </w:tc>
        <w:tc>
          <w:tcPr>
            <w:tcW w:w="69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D9D9D9"/>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2</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964" w:type="dxa"/>
            <w:tcBorders>
              <w:top w:val="single" w:sz="8" w:space="0" w:color="000000"/>
              <w:left w:val="single" w:sz="8" w:space="0" w:color="000000"/>
              <w:bottom w:val="single" w:sz="8" w:space="0" w:color="000000"/>
              <w:right w:val="single" w:sz="8" w:space="0" w:color="000000"/>
            </w:tcBorders>
            <w:shd w:val="clear" w:color="auto" w:fill="7F7F7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32</w:t>
            </w:r>
          </w:p>
        </w:tc>
      </w:tr>
      <w:tr w:rsidR="0089517E" w:rsidRPr="006E5888" w:rsidTr="00791C25">
        <w:trPr>
          <w:cantSplit/>
          <w:trHeight w:val="20"/>
        </w:trPr>
        <w:tc>
          <w:tcPr>
            <w:tcW w:w="108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rsidR="0089517E" w:rsidRPr="006E5888" w:rsidRDefault="0089517E" w:rsidP="0089517E">
            <w:pP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VARAM</w:t>
            </w:r>
          </w:p>
        </w:tc>
        <w:tc>
          <w:tcPr>
            <w:tcW w:w="69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D9D9D9"/>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2</w:t>
            </w:r>
          </w:p>
        </w:tc>
        <w:tc>
          <w:tcPr>
            <w:tcW w:w="691" w:type="dxa"/>
            <w:tcBorders>
              <w:top w:val="single" w:sz="8" w:space="0" w:color="000000"/>
              <w:left w:val="single" w:sz="8" w:space="0" w:color="000000"/>
              <w:bottom w:val="single" w:sz="8" w:space="0" w:color="000000"/>
              <w:right w:val="single" w:sz="8" w:space="0" w:color="000000"/>
            </w:tcBorders>
            <w:shd w:val="clear" w:color="auto" w:fill="D9D9D9"/>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26</w:t>
            </w:r>
          </w:p>
        </w:tc>
        <w:tc>
          <w:tcPr>
            <w:tcW w:w="827" w:type="dxa"/>
            <w:tcBorders>
              <w:top w:val="single" w:sz="8" w:space="0" w:color="000000"/>
              <w:left w:val="single" w:sz="8" w:space="0" w:color="000000"/>
              <w:bottom w:val="single" w:sz="8" w:space="0" w:color="000000"/>
              <w:right w:val="single" w:sz="8" w:space="0" w:color="000000"/>
            </w:tcBorders>
            <w:shd w:val="clear" w:color="auto" w:fill="D9D9D9"/>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3</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BFBFB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1</w:t>
            </w: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964" w:type="dxa"/>
            <w:tcBorders>
              <w:top w:val="single" w:sz="8" w:space="0" w:color="000000"/>
              <w:left w:val="single" w:sz="8" w:space="0" w:color="000000"/>
              <w:bottom w:val="single" w:sz="8" w:space="0" w:color="000000"/>
              <w:right w:val="single" w:sz="8" w:space="0" w:color="000000"/>
            </w:tcBorders>
            <w:shd w:val="clear" w:color="auto" w:fill="7F7F7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32</w:t>
            </w:r>
          </w:p>
        </w:tc>
      </w:tr>
      <w:tr w:rsidR="0089517E" w:rsidRPr="006E5888" w:rsidTr="00791C25">
        <w:trPr>
          <w:cantSplit/>
          <w:trHeight w:val="20"/>
        </w:trPr>
        <w:tc>
          <w:tcPr>
            <w:tcW w:w="108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rsidR="0089517E" w:rsidRPr="006E5888" w:rsidRDefault="0089517E" w:rsidP="0089517E">
            <w:pP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TM</w:t>
            </w:r>
          </w:p>
        </w:tc>
        <w:tc>
          <w:tcPr>
            <w:tcW w:w="69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2" w:type="dxa"/>
            <w:tcBorders>
              <w:top w:val="single" w:sz="8" w:space="0" w:color="000000"/>
              <w:left w:val="single" w:sz="8" w:space="0" w:color="000000"/>
              <w:bottom w:val="single" w:sz="8" w:space="0" w:color="000000"/>
              <w:right w:val="single" w:sz="8" w:space="0" w:color="000000"/>
            </w:tcBorders>
            <w:shd w:val="clear" w:color="auto" w:fill="F2F2F2"/>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1</w:t>
            </w:r>
          </w:p>
        </w:tc>
        <w:tc>
          <w:tcPr>
            <w:tcW w:w="827" w:type="dxa"/>
            <w:tcBorders>
              <w:top w:val="single" w:sz="8" w:space="0" w:color="000000"/>
              <w:left w:val="single" w:sz="8" w:space="0" w:color="000000"/>
              <w:bottom w:val="single" w:sz="8" w:space="0" w:color="000000"/>
              <w:right w:val="single" w:sz="8" w:space="0" w:color="000000"/>
            </w:tcBorders>
            <w:shd w:val="clear" w:color="auto" w:fill="F2F2F2"/>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20</w:t>
            </w:r>
          </w:p>
        </w:tc>
        <w:tc>
          <w:tcPr>
            <w:tcW w:w="691" w:type="dxa"/>
            <w:tcBorders>
              <w:top w:val="single" w:sz="8" w:space="0" w:color="000000"/>
              <w:left w:val="single" w:sz="8" w:space="0" w:color="000000"/>
              <w:bottom w:val="single" w:sz="8" w:space="0" w:color="000000"/>
              <w:right w:val="single" w:sz="8" w:space="0" w:color="000000"/>
            </w:tcBorders>
            <w:shd w:val="clear" w:color="auto" w:fill="D9D9D9"/>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4</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BFBFB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3</w:t>
            </w: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6A6A6"/>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2</w:t>
            </w:r>
          </w:p>
        </w:tc>
        <w:tc>
          <w:tcPr>
            <w:tcW w:w="964" w:type="dxa"/>
            <w:tcBorders>
              <w:top w:val="single" w:sz="8" w:space="0" w:color="000000"/>
              <w:left w:val="single" w:sz="8" w:space="0" w:color="000000"/>
              <w:bottom w:val="single" w:sz="8" w:space="0" w:color="000000"/>
              <w:right w:val="single" w:sz="8" w:space="0" w:color="000000"/>
            </w:tcBorders>
            <w:shd w:val="clear" w:color="auto" w:fill="7F7F7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30</w:t>
            </w:r>
          </w:p>
        </w:tc>
      </w:tr>
      <w:tr w:rsidR="0089517E" w:rsidRPr="006E5888" w:rsidTr="00791C25">
        <w:trPr>
          <w:cantSplit/>
          <w:trHeight w:val="20"/>
        </w:trPr>
        <w:tc>
          <w:tcPr>
            <w:tcW w:w="108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rsidR="0089517E" w:rsidRPr="006E5888" w:rsidRDefault="0089517E" w:rsidP="0089517E">
            <w:pP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IeM</w:t>
            </w:r>
          </w:p>
        </w:tc>
        <w:tc>
          <w:tcPr>
            <w:tcW w:w="69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F2F2F2"/>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25</w:t>
            </w:r>
          </w:p>
        </w:tc>
        <w:tc>
          <w:tcPr>
            <w:tcW w:w="691" w:type="dxa"/>
            <w:tcBorders>
              <w:top w:val="single" w:sz="8" w:space="0" w:color="000000"/>
              <w:left w:val="single" w:sz="8" w:space="0" w:color="000000"/>
              <w:bottom w:val="single" w:sz="8" w:space="0" w:color="000000"/>
              <w:right w:val="single" w:sz="8" w:space="0" w:color="000000"/>
            </w:tcBorders>
            <w:shd w:val="clear" w:color="auto" w:fill="D9D9D9"/>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BFBFB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1</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6A6A6"/>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1</w:t>
            </w:r>
          </w:p>
        </w:tc>
        <w:tc>
          <w:tcPr>
            <w:tcW w:w="964" w:type="dxa"/>
            <w:tcBorders>
              <w:top w:val="single" w:sz="8" w:space="0" w:color="000000"/>
              <w:left w:val="single" w:sz="8" w:space="0" w:color="000000"/>
              <w:bottom w:val="single" w:sz="8" w:space="0" w:color="000000"/>
              <w:right w:val="single" w:sz="8" w:space="0" w:color="000000"/>
            </w:tcBorders>
            <w:shd w:val="clear" w:color="auto" w:fill="7F7F7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27</w:t>
            </w:r>
          </w:p>
        </w:tc>
      </w:tr>
      <w:tr w:rsidR="0089517E" w:rsidRPr="006E5888" w:rsidTr="00791C25">
        <w:trPr>
          <w:cantSplit/>
          <w:trHeight w:val="20"/>
        </w:trPr>
        <w:tc>
          <w:tcPr>
            <w:tcW w:w="108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rsidR="0089517E" w:rsidRPr="006E5888" w:rsidRDefault="0089517E" w:rsidP="0089517E">
            <w:pP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ZM</w:t>
            </w:r>
          </w:p>
        </w:tc>
        <w:tc>
          <w:tcPr>
            <w:tcW w:w="69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D9D9D9"/>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23</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0" w:type="dxa"/>
            <w:tcBorders>
              <w:top w:val="single" w:sz="8" w:space="0" w:color="000000"/>
              <w:left w:val="single" w:sz="8" w:space="0" w:color="000000"/>
              <w:bottom w:val="single" w:sz="8" w:space="0" w:color="000000"/>
              <w:right w:val="single" w:sz="8" w:space="0" w:color="000000"/>
            </w:tcBorders>
            <w:shd w:val="clear" w:color="auto" w:fill="A6A6A6"/>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2</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964" w:type="dxa"/>
            <w:tcBorders>
              <w:top w:val="single" w:sz="8" w:space="0" w:color="000000"/>
              <w:left w:val="single" w:sz="8" w:space="0" w:color="000000"/>
              <w:bottom w:val="single" w:sz="8" w:space="0" w:color="000000"/>
              <w:right w:val="single" w:sz="8" w:space="0" w:color="000000"/>
            </w:tcBorders>
            <w:shd w:val="clear" w:color="auto" w:fill="7F7F7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25</w:t>
            </w:r>
          </w:p>
        </w:tc>
      </w:tr>
      <w:tr w:rsidR="0089517E" w:rsidRPr="006E5888" w:rsidTr="00791C25">
        <w:trPr>
          <w:cantSplit/>
          <w:trHeight w:val="20"/>
        </w:trPr>
        <w:tc>
          <w:tcPr>
            <w:tcW w:w="108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rsidR="0089517E" w:rsidRPr="006E5888" w:rsidRDefault="0089517E" w:rsidP="0089517E">
            <w:pP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LM</w:t>
            </w:r>
          </w:p>
        </w:tc>
        <w:tc>
          <w:tcPr>
            <w:tcW w:w="69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D9D9D9"/>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4</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6A6A6"/>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21</w:t>
            </w:r>
          </w:p>
        </w:tc>
        <w:tc>
          <w:tcPr>
            <w:tcW w:w="964" w:type="dxa"/>
            <w:tcBorders>
              <w:top w:val="single" w:sz="8" w:space="0" w:color="000000"/>
              <w:left w:val="single" w:sz="8" w:space="0" w:color="000000"/>
              <w:bottom w:val="single" w:sz="8" w:space="0" w:color="000000"/>
              <w:right w:val="single" w:sz="8" w:space="0" w:color="000000"/>
            </w:tcBorders>
            <w:shd w:val="clear" w:color="auto" w:fill="7F7F7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25</w:t>
            </w:r>
          </w:p>
        </w:tc>
      </w:tr>
      <w:tr w:rsidR="0089517E" w:rsidRPr="006E5888" w:rsidTr="00791C25">
        <w:trPr>
          <w:cantSplit/>
          <w:trHeight w:val="20"/>
        </w:trPr>
        <w:tc>
          <w:tcPr>
            <w:tcW w:w="108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rsidR="0089517E" w:rsidRPr="006E5888" w:rsidRDefault="0089517E" w:rsidP="0089517E">
            <w:pP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VM</w:t>
            </w:r>
          </w:p>
        </w:tc>
        <w:tc>
          <w:tcPr>
            <w:tcW w:w="697" w:type="dxa"/>
            <w:tcBorders>
              <w:top w:val="single" w:sz="8" w:space="0" w:color="000000"/>
              <w:left w:val="single" w:sz="8" w:space="0" w:color="000000"/>
              <w:bottom w:val="single" w:sz="8" w:space="0" w:color="000000"/>
              <w:right w:val="single" w:sz="8" w:space="0" w:color="000000"/>
            </w:tcBorders>
            <w:shd w:val="clear" w:color="auto" w:fill="F2F2F2"/>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1</w:t>
            </w:r>
          </w:p>
        </w:tc>
        <w:tc>
          <w:tcPr>
            <w:tcW w:w="69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BFBFB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21</w:t>
            </w:r>
          </w:p>
        </w:tc>
        <w:tc>
          <w:tcPr>
            <w:tcW w:w="691" w:type="dxa"/>
            <w:tcBorders>
              <w:top w:val="single" w:sz="8" w:space="0" w:color="000000"/>
              <w:left w:val="single" w:sz="8" w:space="0" w:color="000000"/>
              <w:bottom w:val="single" w:sz="8" w:space="0" w:color="000000"/>
              <w:right w:val="single" w:sz="8" w:space="0" w:color="000000"/>
            </w:tcBorders>
            <w:shd w:val="clear" w:color="auto" w:fill="BFBFB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1</w:t>
            </w:r>
          </w:p>
        </w:tc>
        <w:tc>
          <w:tcPr>
            <w:tcW w:w="690" w:type="dxa"/>
            <w:tcBorders>
              <w:top w:val="single" w:sz="8" w:space="0" w:color="000000"/>
              <w:left w:val="single" w:sz="8" w:space="0" w:color="000000"/>
              <w:bottom w:val="single" w:sz="8" w:space="0" w:color="000000"/>
              <w:right w:val="single" w:sz="8" w:space="0" w:color="000000"/>
            </w:tcBorders>
            <w:shd w:val="clear" w:color="auto" w:fill="A6A6A6"/>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2</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964" w:type="dxa"/>
            <w:tcBorders>
              <w:top w:val="single" w:sz="8" w:space="0" w:color="000000"/>
              <w:left w:val="single" w:sz="8" w:space="0" w:color="000000"/>
              <w:bottom w:val="single" w:sz="8" w:space="0" w:color="000000"/>
              <w:right w:val="single" w:sz="8" w:space="0" w:color="000000"/>
            </w:tcBorders>
            <w:shd w:val="clear" w:color="auto" w:fill="7F7F7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25</w:t>
            </w:r>
          </w:p>
        </w:tc>
      </w:tr>
      <w:tr w:rsidR="0089517E" w:rsidRPr="006E5888" w:rsidTr="00791C25">
        <w:trPr>
          <w:cantSplit/>
          <w:trHeight w:val="20"/>
        </w:trPr>
        <w:tc>
          <w:tcPr>
            <w:tcW w:w="108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rsidR="0089517E" w:rsidRPr="006E5888" w:rsidRDefault="0089517E" w:rsidP="0089517E">
            <w:pP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EM</w:t>
            </w:r>
          </w:p>
        </w:tc>
        <w:tc>
          <w:tcPr>
            <w:tcW w:w="697" w:type="dxa"/>
            <w:tcBorders>
              <w:top w:val="single" w:sz="8" w:space="0" w:color="000000"/>
              <w:left w:val="single" w:sz="8" w:space="0" w:color="000000"/>
              <w:bottom w:val="single" w:sz="8" w:space="0" w:color="000000"/>
              <w:right w:val="single" w:sz="8" w:space="0" w:color="000000"/>
            </w:tcBorders>
            <w:shd w:val="clear" w:color="auto" w:fill="F2F2F2"/>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2</w:t>
            </w:r>
          </w:p>
        </w:tc>
        <w:tc>
          <w:tcPr>
            <w:tcW w:w="69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D9D9D9"/>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22</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964" w:type="dxa"/>
            <w:tcBorders>
              <w:top w:val="single" w:sz="8" w:space="0" w:color="000000"/>
              <w:left w:val="single" w:sz="8" w:space="0" w:color="000000"/>
              <w:bottom w:val="single" w:sz="8" w:space="0" w:color="000000"/>
              <w:right w:val="single" w:sz="8" w:space="0" w:color="000000"/>
            </w:tcBorders>
            <w:shd w:val="clear" w:color="auto" w:fill="7F7F7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24</w:t>
            </w:r>
          </w:p>
        </w:tc>
      </w:tr>
      <w:tr w:rsidR="0089517E" w:rsidRPr="006E5888" w:rsidTr="00791C25">
        <w:trPr>
          <w:cantSplit/>
          <w:trHeight w:val="20"/>
        </w:trPr>
        <w:tc>
          <w:tcPr>
            <w:tcW w:w="108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rsidR="0089517E" w:rsidRPr="006E5888" w:rsidRDefault="0089517E" w:rsidP="0089517E">
            <w:pP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lastRenderedPageBreak/>
              <w:t>SM</w:t>
            </w:r>
          </w:p>
        </w:tc>
        <w:tc>
          <w:tcPr>
            <w:tcW w:w="697" w:type="dxa"/>
            <w:tcBorders>
              <w:top w:val="single" w:sz="8" w:space="0" w:color="000000"/>
              <w:left w:val="single" w:sz="8" w:space="0" w:color="000000"/>
              <w:bottom w:val="single" w:sz="8" w:space="0" w:color="000000"/>
              <w:right w:val="single" w:sz="8" w:space="0" w:color="000000"/>
            </w:tcBorders>
            <w:shd w:val="clear" w:color="auto" w:fill="F2F2F2"/>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1</w:t>
            </w:r>
          </w:p>
        </w:tc>
        <w:tc>
          <w:tcPr>
            <w:tcW w:w="69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D9D9D9"/>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21</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964" w:type="dxa"/>
            <w:tcBorders>
              <w:top w:val="single" w:sz="8" w:space="0" w:color="000000"/>
              <w:left w:val="single" w:sz="8" w:space="0" w:color="000000"/>
              <w:bottom w:val="single" w:sz="8" w:space="0" w:color="000000"/>
              <w:right w:val="single" w:sz="8" w:space="0" w:color="000000"/>
            </w:tcBorders>
            <w:shd w:val="clear" w:color="auto" w:fill="7F7F7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22</w:t>
            </w:r>
          </w:p>
        </w:tc>
      </w:tr>
      <w:tr w:rsidR="0089517E" w:rsidRPr="006E5888" w:rsidTr="00791C25">
        <w:trPr>
          <w:cantSplit/>
          <w:trHeight w:val="20"/>
        </w:trPr>
        <w:tc>
          <w:tcPr>
            <w:tcW w:w="108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rsidR="0089517E" w:rsidRPr="006E5888" w:rsidRDefault="0089517E" w:rsidP="0089517E">
            <w:pP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KM</w:t>
            </w:r>
          </w:p>
        </w:tc>
        <w:tc>
          <w:tcPr>
            <w:tcW w:w="69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F2F2F2"/>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2</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BFBFB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16</w:t>
            </w:r>
          </w:p>
        </w:tc>
        <w:tc>
          <w:tcPr>
            <w:tcW w:w="690" w:type="dxa"/>
            <w:tcBorders>
              <w:top w:val="single" w:sz="8" w:space="0" w:color="000000"/>
              <w:left w:val="single" w:sz="8" w:space="0" w:color="000000"/>
              <w:bottom w:val="single" w:sz="8" w:space="0" w:color="000000"/>
              <w:right w:val="single" w:sz="8" w:space="0" w:color="000000"/>
            </w:tcBorders>
            <w:shd w:val="clear" w:color="auto" w:fill="A6A6A6"/>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2</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964" w:type="dxa"/>
            <w:tcBorders>
              <w:top w:val="single" w:sz="8" w:space="0" w:color="000000"/>
              <w:left w:val="single" w:sz="8" w:space="0" w:color="000000"/>
              <w:bottom w:val="single" w:sz="8" w:space="0" w:color="000000"/>
              <w:right w:val="single" w:sz="8" w:space="0" w:color="000000"/>
            </w:tcBorders>
            <w:shd w:val="clear" w:color="auto" w:fill="7F7F7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20</w:t>
            </w:r>
          </w:p>
        </w:tc>
      </w:tr>
      <w:tr w:rsidR="0089517E" w:rsidRPr="006E5888" w:rsidTr="00791C25">
        <w:trPr>
          <w:cantSplit/>
          <w:trHeight w:val="20"/>
        </w:trPr>
        <w:tc>
          <w:tcPr>
            <w:tcW w:w="108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rsidR="0089517E" w:rsidRPr="006E5888" w:rsidRDefault="0089517E" w:rsidP="0089517E">
            <w:pPr>
              <w:textAlignment w:val="bottom"/>
              <w:rPr>
                <w:rFonts w:eastAsia="Times New Roman" w:cs="Times New Roman"/>
                <w:sz w:val="20"/>
                <w:szCs w:val="20"/>
                <w:lang w:eastAsia="lv-LV"/>
              </w:rPr>
            </w:pPr>
            <w:proofErr w:type="spellStart"/>
            <w:r w:rsidRPr="006E5888">
              <w:rPr>
                <w:rFonts w:eastAsia="Times New Roman" w:cs="Times New Roman"/>
                <w:b/>
                <w:bCs/>
                <w:color w:val="000000" w:themeColor="dark1"/>
                <w:kern w:val="24"/>
                <w:sz w:val="20"/>
                <w:szCs w:val="20"/>
                <w:lang w:eastAsia="lv-LV"/>
              </w:rPr>
              <w:t>AiM</w:t>
            </w:r>
            <w:proofErr w:type="spellEnd"/>
          </w:p>
        </w:tc>
        <w:tc>
          <w:tcPr>
            <w:tcW w:w="69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2" w:type="dxa"/>
            <w:tcBorders>
              <w:top w:val="single" w:sz="8" w:space="0" w:color="000000"/>
              <w:left w:val="single" w:sz="8" w:space="0" w:color="000000"/>
              <w:bottom w:val="single" w:sz="8" w:space="0" w:color="000000"/>
              <w:right w:val="single" w:sz="8" w:space="0" w:color="000000"/>
            </w:tcBorders>
            <w:shd w:val="clear" w:color="auto" w:fill="F2F2F2"/>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12</w:t>
            </w:r>
          </w:p>
        </w:tc>
        <w:tc>
          <w:tcPr>
            <w:tcW w:w="827" w:type="dxa"/>
            <w:tcBorders>
              <w:top w:val="single" w:sz="8" w:space="0" w:color="000000"/>
              <w:left w:val="single" w:sz="8" w:space="0" w:color="000000"/>
              <w:bottom w:val="single" w:sz="8" w:space="0" w:color="000000"/>
              <w:right w:val="single" w:sz="8" w:space="0" w:color="000000"/>
            </w:tcBorders>
            <w:shd w:val="clear" w:color="auto" w:fill="F2F2F2"/>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1</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6A6A6"/>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1</w:t>
            </w:r>
          </w:p>
        </w:tc>
        <w:tc>
          <w:tcPr>
            <w:tcW w:w="964" w:type="dxa"/>
            <w:tcBorders>
              <w:top w:val="single" w:sz="8" w:space="0" w:color="000000"/>
              <w:left w:val="single" w:sz="8" w:space="0" w:color="000000"/>
              <w:bottom w:val="single" w:sz="8" w:space="0" w:color="000000"/>
              <w:right w:val="single" w:sz="8" w:space="0" w:color="000000"/>
            </w:tcBorders>
            <w:shd w:val="clear" w:color="auto" w:fill="7F7F7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14</w:t>
            </w:r>
          </w:p>
        </w:tc>
      </w:tr>
      <w:tr w:rsidR="0089517E" w:rsidRPr="006E5888" w:rsidTr="00791C25">
        <w:trPr>
          <w:cantSplit/>
          <w:trHeight w:val="20"/>
        </w:trPr>
        <w:tc>
          <w:tcPr>
            <w:tcW w:w="108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rsidR="0089517E" w:rsidRPr="006E5888" w:rsidRDefault="0089517E" w:rsidP="0089517E">
            <w:pP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ĀM</w:t>
            </w:r>
          </w:p>
        </w:tc>
        <w:tc>
          <w:tcPr>
            <w:tcW w:w="697" w:type="dxa"/>
            <w:tcBorders>
              <w:top w:val="single" w:sz="8" w:space="0" w:color="000000"/>
              <w:left w:val="single" w:sz="8" w:space="0" w:color="000000"/>
              <w:bottom w:val="single" w:sz="8" w:space="0" w:color="000000"/>
              <w:right w:val="single" w:sz="8" w:space="0" w:color="000000"/>
            </w:tcBorders>
            <w:shd w:val="clear" w:color="auto" w:fill="F2F2F2"/>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8</w:t>
            </w:r>
          </w:p>
        </w:tc>
        <w:tc>
          <w:tcPr>
            <w:tcW w:w="69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964" w:type="dxa"/>
            <w:tcBorders>
              <w:top w:val="single" w:sz="8" w:space="0" w:color="000000"/>
              <w:left w:val="single" w:sz="8" w:space="0" w:color="000000"/>
              <w:bottom w:val="single" w:sz="8" w:space="0" w:color="000000"/>
              <w:right w:val="single" w:sz="8" w:space="0" w:color="000000"/>
            </w:tcBorders>
            <w:shd w:val="clear" w:color="auto" w:fill="7F7F7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8</w:t>
            </w:r>
          </w:p>
        </w:tc>
      </w:tr>
      <w:tr w:rsidR="0089517E" w:rsidRPr="006E5888" w:rsidTr="00791C25">
        <w:trPr>
          <w:cantSplit/>
          <w:trHeight w:val="20"/>
        </w:trPr>
        <w:tc>
          <w:tcPr>
            <w:tcW w:w="108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rsidR="0089517E" w:rsidRPr="006E5888" w:rsidRDefault="0089517E" w:rsidP="0089517E">
            <w:pP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Pārdalāmais finansējums</w:t>
            </w:r>
          </w:p>
        </w:tc>
        <w:tc>
          <w:tcPr>
            <w:tcW w:w="697" w:type="dxa"/>
            <w:tcBorders>
              <w:top w:val="single" w:sz="8" w:space="0" w:color="000000"/>
              <w:left w:val="single" w:sz="8" w:space="0" w:color="000000"/>
              <w:bottom w:val="single" w:sz="8" w:space="0" w:color="000000"/>
              <w:right w:val="single" w:sz="8" w:space="0" w:color="000000"/>
            </w:tcBorders>
            <w:shd w:val="clear" w:color="auto" w:fill="F2F2F2"/>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2</w:t>
            </w:r>
          </w:p>
        </w:tc>
        <w:tc>
          <w:tcPr>
            <w:tcW w:w="69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D9D9D9"/>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1</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82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690" w:type="dxa"/>
            <w:tcBorders>
              <w:top w:val="single" w:sz="8" w:space="0" w:color="000000"/>
              <w:left w:val="single" w:sz="8" w:space="0" w:color="000000"/>
              <w:bottom w:val="single" w:sz="8" w:space="0" w:color="000000"/>
              <w:right w:val="single" w:sz="8" w:space="0" w:color="000000"/>
            </w:tcBorders>
            <w:shd w:val="clear" w:color="auto" w:fill="A6A6A6"/>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color w:val="000000" w:themeColor="dark1"/>
                <w:kern w:val="24"/>
                <w:sz w:val="20"/>
                <w:szCs w:val="20"/>
                <w:lang w:eastAsia="lv-LV"/>
              </w:rPr>
              <w:t>1</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rsidR="0089517E" w:rsidRPr="006E5888" w:rsidRDefault="0089517E" w:rsidP="0089517E">
            <w:pPr>
              <w:rPr>
                <w:rFonts w:eastAsia="Times New Roman" w:cs="Times New Roman"/>
                <w:sz w:val="20"/>
                <w:szCs w:val="20"/>
                <w:lang w:eastAsia="lv-LV"/>
              </w:rPr>
            </w:pPr>
          </w:p>
        </w:tc>
        <w:tc>
          <w:tcPr>
            <w:tcW w:w="964" w:type="dxa"/>
            <w:tcBorders>
              <w:top w:val="single" w:sz="8" w:space="0" w:color="000000"/>
              <w:left w:val="single" w:sz="8" w:space="0" w:color="000000"/>
              <w:bottom w:val="single" w:sz="8" w:space="0" w:color="000000"/>
              <w:right w:val="single" w:sz="8" w:space="0" w:color="000000"/>
            </w:tcBorders>
            <w:shd w:val="clear" w:color="auto" w:fill="7F7F7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4</w:t>
            </w:r>
          </w:p>
        </w:tc>
      </w:tr>
      <w:tr w:rsidR="00791C25" w:rsidRPr="006E5888" w:rsidTr="00791C25">
        <w:trPr>
          <w:cantSplit/>
          <w:trHeight w:val="20"/>
        </w:trPr>
        <w:tc>
          <w:tcPr>
            <w:tcW w:w="108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rsidR="0089517E" w:rsidRPr="006E5888" w:rsidRDefault="0089517E" w:rsidP="0089517E">
            <w:pP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KOPĀ:</w:t>
            </w:r>
          </w:p>
        </w:tc>
        <w:tc>
          <w:tcPr>
            <w:tcW w:w="697" w:type="dxa"/>
            <w:tcBorders>
              <w:top w:val="single" w:sz="8" w:space="0" w:color="000000"/>
              <w:left w:val="single" w:sz="8" w:space="0" w:color="000000"/>
              <w:bottom w:val="single" w:sz="8" w:space="0" w:color="000000"/>
              <w:right w:val="single" w:sz="8" w:space="0" w:color="000000"/>
            </w:tcBorders>
            <w:shd w:val="clear" w:color="auto" w:fill="F2F2F2"/>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69</w:t>
            </w:r>
          </w:p>
        </w:tc>
        <w:tc>
          <w:tcPr>
            <w:tcW w:w="692" w:type="dxa"/>
            <w:tcBorders>
              <w:top w:val="single" w:sz="8" w:space="0" w:color="000000"/>
              <w:left w:val="single" w:sz="8" w:space="0" w:color="000000"/>
              <w:bottom w:val="single" w:sz="8" w:space="0" w:color="000000"/>
              <w:right w:val="single" w:sz="8" w:space="0" w:color="000000"/>
            </w:tcBorders>
            <w:shd w:val="clear" w:color="auto" w:fill="F2F2F2"/>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13</w:t>
            </w:r>
          </w:p>
        </w:tc>
        <w:tc>
          <w:tcPr>
            <w:tcW w:w="827" w:type="dxa"/>
            <w:tcBorders>
              <w:top w:val="single" w:sz="8" w:space="0" w:color="000000"/>
              <w:left w:val="single" w:sz="8" w:space="0" w:color="000000"/>
              <w:bottom w:val="single" w:sz="8" w:space="0" w:color="000000"/>
              <w:right w:val="single" w:sz="8" w:space="0" w:color="000000"/>
            </w:tcBorders>
            <w:shd w:val="clear" w:color="auto" w:fill="F2F2F2"/>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55</w:t>
            </w:r>
          </w:p>
        </w:tc>
        <w:tc>
          <w:tcPr>
            <w:tcW w:w="691" w:type="dxa"/>
            <w:tcBorders>
              <w:top w:val="single" w:sz="8" w:space="0" w:color="000000"/>
              <w:left w:val="single" w:sz="8" w:space="0" w:color="000000"/>
              <w:bottom w:val="single" w:sz="8" w:space="0" w:color="000000"/>
              <w:right w:val="single" w:sz="8" w:space="0" w:color="000000"/>
            </w:tcBorders>
            <w:shd w:val="clear" w:color="auto" w:fill="D9D9D9"/>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81</w:t>
            </w:r>
          </w:p>
        </w:tc>
        <w:tc>
          <w:tcPr>
            <w:tcW w:w="691" w:type="dxa"/>
            <w:tcBorders>
              <w:top w:val="single" w:sz="8" w:space="0" w:color="000000"/>
              <w:left w:val="single" w:sz="8" w:space="0" w:color="000000"/>
              <w:bottom w:val="single" w:sz="8" w:space="0" w:color="000000"/>
              <w:right w:val="single" w:sz="8" w:space="0" w:color="000000"/>
            </w:tcBorders>
            <w:shd w:val="clear" w:color="auto" w:fill="D9D9D9"/>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26</w:t>
            </w:r>
          </w:p>
        </w:tc>
        <w:tc>
          <w:tcPr>
            <w:tcW w:w="827" w:type="dxa"/>
            <w:tcBorders>
              <w:top w:val="single" w:sz="8" w:space="0" w:color="000000"/>
              <w:left w:val="single" w:sz="8" w:space="0" w:color="000000"/>
              <w:bottom w:val="single" w:sz="8" w:space="0" w:color="000000"/>
              <w:right w:val="single" w:sz="8" w:space="0" w:color="000000"/>
            </w:tcBorders>
            <w:shd w:val="clear" w:color="auto" w:fill="D9D9D9"/>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3</w:t>
            </w:r>
          </w:p>
        </w:tc>
        <w:tc>
          <w:tcPr>
            <w:tcW w:w="691" w:type="dxa"/>
            <w:tcBorders>
              <w:top w:val="single" w:sz="8" w:space="0" w:color="000000"/>
              <w:left w:val="single" w:sz="8" w:space="0" w:color="000000"/>
              <w:bottom w:val="single" w:sz="8" w:space="0" w:color="000000"/>
              <w:right w:val="single" w:sz="8" w:space="0" w:color="000000"/>
            </w:tcBorders>
            <w:shd w:val="clear" w:color="auto" w:fill="BFBFB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22</w:t>
            </w:r>
          </w:p>
        </w:tc>
        <w:tc>
          <w:tcPr>
            <w:tcW w:w="691" w:type="dxa"/>
            <w:tcBorders>
              <w:top w:val="single" w:sz="8" w:space="0" w:color="000000"/>
              <w:left w:val="single" w:sz="8" w:space="0" w:color="000000"/>
              <w:bottom w:val="single" w:sz="8" w:space="0" w:color="000000"/>
              <w:right w:val="single" w:sz="8" w:space="0" w:color="000000"/>
            </w:tcBorders>
            <w:shd w:val="clear" w:color="auto" w:fill="BFBFB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35</w:t>
            </w:r>
          </w:p>
        </w:tc>
        <w:tc>
          <w:tcPr>
            <w:tcW w:w="690" w:type="dxa"/>
            <w:tcBorders>
              <w:top w:val="single" w:sz="8" w:space="0" w:color="000000"/>
              <w:left w:val="single" w:sz="8" w:space="0" w:color="000000"/>
              <w:bottom w:val="single" w:sz="8" w:space="0" w:color="000000"/>
              <w:right w:val="single" w:sz="8" w:space="0" w:color="000000"/>
            </w:tcBorders>
            <w:shd w:val="clear" w:color="auto" w:fill="A6A6A6"/>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53</w:t>
            </w:r>
          </w:p>
        </w:tc>
        <w:tc>
          <w:tcPr>
            <w:tcW w:w="691" w:type="dxa"/>
            <w:tcBorders>
              <w:top w:val="single" w:sz="8" w:space="0" w:color="000000"/>
              <w:left w:val="single" w:sz="8" w:space="0" w:color="000000"/>
              <w:bottom w:val="single" w:sz="8" w:space="0" w:color="000000"/>
              <w:right w:val="single" w:sz="8" w:space="0" w:color="000000"/>
            </w:tcBorders>
            <w:shd w:val="clear" w:color="auto" w:fill="A6A6A6"/>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25</w:t>
            </w:r>
          </w:p>
        </w:tc>
        <w:tc>
          <w:tcPr>
            <w:tcW w:w="964" w:type="dxa"/>
            <w:tcBorders>
              <w:top w:val="single" w:sz="8" w:space="0" w:color="000000"/>
              <w:left w:val="single" w:sz="8" w:space="0" w:color="000000"/>
              <w:bottom w:val="single" w:sz="8" w:space="0" w:color="000000"/>
              <w:right w:val="single" w:sz="8" w:space="0" w:color="000000"/>
            </w:tcBorders>
            <w:shd w:val="clear" w:color="auto" w:fill="7F7F7F"/>
            <w:tcMar>
              <w:top w:w="10" w:type="dxa"/>
              <w:left w:w="10" w:type="dxa"/>
              <w:bottom w:w="0" w:type="dxa"/>
              <w:right w:w="10" w:type="dxa"/>
            </w:tcMar>
            <w:vAlign w:val="center"/>
            <w:hideMark/>
          </w:tcPr>
          <w:p w:rsidR="0089517E" w:rsidRPr="006E5888" w:rsidRDefault="0089517E" w:rsidP="0089517E">
            <w:pPr>
              <w:jc w:val="center"/>
              <w:textAlignment w:val="bottom"/>
              <w:rPr>
                <w:rFonts w:eastAsia="Times New Roman" w:cs="Times New Roman"/>
                <w:sz w:val="20"/>
                <w:szCs w:val="20"/>
                <w:lang w:eastAsia="lv-LV"/>
              </w:rPr>
            </w:pPr>
            <w:r w:rsidRPr="006E5888">
              <w:rPr>
                <w:rFonts w:eastAsia="Times New Roman" w:cs="Times New Roman"/>
                <w:b/>
                <w:bCs/>
                <w:color w:val="000000" w:themeColor="dark1"/>
                <w:kern w:val="24"/>
                <w:sz w:val="20"/>
                <w:szCs w:val="20"/>
                <w:lang w:eastAsia="lv-LV"/>
              </w:rPr>
              <w:t>382</w:t>
            </w:r>
          </w:p>
        </w:tc>
      </w:tr>
    </w:tbl>
    <w:p w:rsidR="00985F09" w:rsidRPr="006E5888" w:rsidRDefault="00791C25" w:rsidP="00791C25">
      <w:pPr>
        <w:pStyle w:val="ListParagraph"/>
        <w:tabs>
          <w:tab w:val="left" w:pos="1010"/>
        </w:tabs>
        <w:spacing w:before="120" w:after="120"/>
        <w:ind w:left="0"/>
        <w:jc w:val="both"/>
        <w:rPr>
          <w:b/>
          <w:noProof/>
          <w:sz w:val="20"/>
          <w:szCs w:val="20"/>
          <w:lang w:eastAsia="lv-LV"/>
        </w:rPr>
      </w:pPr>
      <w:r w:rsidRPr="006E5888">
        <w:rPr>
          <w:b/>
          <w:noProof/>
          <w:sz w:val="20"/>
          <w:szCs w:val="20"/>
          <w:lang w:eastAsia="lv-LV"/>
        </w:rPr>
        <w:t>*</w:t>
      </w:r>
      <w:r w:rsidRPr="006E5888">
        <w:rPr>
          <w:noProof/>
          <w:sz w:val="20"/>
          <w:szCs w:val="20"/>
          <w:lang w:eastAsia="lv-LV"/>
        </w:rPr>
        <w:t>VPK, Saeima, MK, KNAB, Tiesībsarga birojs, SIF, SPRK, VK, PKC,  AT ST, Prokuratūra, CVK, CZK, RTV, 62.resors, 64.resors</w:t>
      </w:r>
    </w:p>
    <w:p w:rsidR="00793547" w:rsidRPr="006E5888" w:rsidRDefault="00BE4D15" w:rsidP="00444F67">
      <w:pPr>
        <w:tabs>
          <w:tab w:val="left" w:pos="1010"/>
        </w:tabs>
        <w:spacing w:after="120"/>
        <w:ind w:firstLine="709"/>
        <w:jc w:val="both"/>
        <w:rPr>
          <w:szCs w:val="24"/>
        </w:rPr>
      </w:pPr>
      <w:r w:rsidRPr="006E5888">
        <w:rPr>
          <w:szCs w:val="24"/>
        </w:rPr>
        <w:t>Tabulā</w:t>
      </w:r>
      <w:r w:rsidR="00153B8E" w:rsidRPr="006E5888">
        <w:rPr>
          <w:szCs w:val="24"/>
        </w:rPr>
        <w:t xml:space="preserve"> Nr.</w:t>
      </w:r>
      <w:r w:rsidRPr="006E5888">
        <w:rPr>
          <w:szCs w:val="24"/>
        </w:rPr>
        <w:t>7</w:t>
      </w:r>
      <w:r w:rsidR="00153B8E" w:rsidRPr="006E5888">
        <w:rPr>
          <w:szCs w:val="24"/>
        </w:rPr>
        <w:t xml:space="preserve"> redzams 2016.gada valsts konsolidētā budžeta programmu/apakšprogrammu skaits funkcionālajā sadalījumā. No attēla var secināt, ka funkcija izglītība ar kopējo finansējumu 2016.gadā 667,40 milj. </w:t>
      </w:r>
      <w:proofErr w:type="spellStart"/>
      <w:r w:rsidR="00153B8E" w:rsidRPr="006E5888">
        <w:rPr>
          <w:i/>
          <w:szCs w:val="24"/>
        </w:rPr>
        <w:t>euro</w:t>
      </w:r>
      <w:proofErr w:type="spellEnd"/>
      <w:r w:rsidR="00153B8E" w:rsidRPr="006E5888">
        <w:rPr>
          <w:szCs w:val="24"/>
        </w:rPr>
        <w:t xml:space="preserve"> tiek plānota 53 budžeta programmās/apakšprogrammās. Savukārt funkcija sociālā aizsardzība ar kopējo finansējumu 2016.gadā 2 648,34 milj. </w:t>
      </w:r>
      <w:proofErr w:type="spellStart"/>
      <w:r w:rsidR="00153B8E" w:rsidRPr="006E5888">
        <w:rPr>
          <w:i/>
          <w:szCs w:val="24"/>
        </w:rPr>
        <w:t>euro</w:t>
      </w:r>
      <w:proofErr w:type="spellEnd"/>
      <w:r w:rsidR="00153B8E" w:rsidRPr="006E5888">
        <w:rPr>
          <w:szCs w:val="24"/>
        </w:rPr>
        <w:t xml:space="preserve"> tiek plānota 25 budžeta programmās/apakšprogrammās. Salīdzinot abas iepriekš minētās funkcijas var secināt, ka </w:t>
      </w:r>
      <w:r w:rsidR="0053206D" w:rsidRPr="006E5888">
        <w:rPr>
          <w:szCs w:val="24"/>
        </w:rPr>
        <w:t>če</w:t>
      </w:r>
      <w:r w:rsidR="001E5238" w:rsidRPr="006E5888">
        <w:rPr>
          <w:szCs w:val="24"/>
        </w:rPr>
        <w:t xml:space="preserve">tras </w:t>
      </w:r>
      <w:r w:rsidR="00153B8E" w:rsidRPr="006E5888">
        <w:rPr>
          <w:szCs w:val="24"/>
        </w:rPr>
        <w:t xml:space="preserve">reizes lielāks finansējums tiek plānots </w:t>
      </w:r>
      <w:r w:rsidR="001E5238" w:rsidRPr="006E5888">
        <w:rPr>
          <w:szCs w:val="24"/>
        </w:rPr>
        <w:t>divas</w:t>
      </w:r>
      <w:r w:rsidR="00153B8E" w:rsidRPr="006E5888">
        <w:rPr>
          <w:szCs w:val="24"/>
        </w:rPr>
        <w:t xml:space="preserve"> reizes mazākā budžeta programmu/apakšprogrammu skaitā, kas liecina par atsevišķu funkciju sadrumstalotību – plānojot šīs funk</w:t>
      </w:r>
      <w:r w:rsidR="00DF340C" w:rsidRPr="006E5888">
        <w:rPr>
          <w:szCs w:val="24"/>
        </w:rPr>
        <w:t>cijas vairākās budžeta programmās/apakšprogrammās</w:t>
      </w:r>
      <w:r w:rsidR="00153B8E" w:rsidRPr="006E5888">
        <w:rPr>
          <w:szCs w:val="24"/>
        </w:rPr>
        <w:t>.</w:t>
      </w:r>
    </w:p>
    <w:p w:rsidR="00444F67" w:rsidRPr="006E5888" w:rsidRDefault="00492FD8" w:rsidP="00444F67">
      <w:pPr>
        <w:tabs>
          <w:tab w:val="left" w:pos="1010"/>
        </w:tabs>
        <w:jc w:val="center"/>
        <w:rPr>
          <w:szCs w:val="24"/>
        </w:rPr>
      </w:pPr>
      <w:r w:rsidRPr="006E5888">
        <w:rPr>
          <w:noProof/>
          <w:szCs w:val="24"/>
          <w:lang w:eastAsia="lv-LV"/>
        </w:rPr>
        <w:drawing>
          <wp:inline distT="0" distB="0" distL="0" distR="0" wp14:anchorId="41F9CB68" wp14:editId="26FD31C5">
            <wp:extent cx="5539996" cy="3321101"/>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94660" cy="3353871"/>
                    </a:xfrm>
                    <a:prstGeom prst="rect">
                      <a:avLst/>
                    </a:prstGeom>
                    <a:noFill/>
                  </pic:spPr>
                </pic:pic>
              </a:graphicData>
            </a:graphic>
          </wp:inline>
        </w:drawing>
      </w:r>
    </w:p>
    <w:p w:rsidR="00F41EA0" w:rsidRPr="006E5888" w:rsidRDefault="00F41EA0" w:rsidP="00111BAC">
      <w:pPr>
        <w:tabs>
          <w:tab w:val="left" w:pos="1010"/>
        </w:tabs>
        <w:ind w:firstLine="709"/>
        <w:jc w:val="both"/>
        <w:rPr>
          <w:sz w:val="8"/>
          <w:szCs w:val="8"/>
        </w:rPr>
      </w:pPr>
    </w:p>
    <w:p w:rsidR="00870DB6" w:rsidRPr="006E5888" w:rsidRDefault="00791C25" w:rsidP="00444F67">
      <w:pPr>
        <w:tabs>
          <w:tab w:val="left" w:pos="1010"/>
        </w:tabs>
        <w:spacing w:before="60"/>
        <w:jc w:val="center"/>
        <w:rPr>
          <w:sz w:val="22"/>
        </w:rPr>
      </w:pPr>
      <w:r w:rsidRPr="006E5888">
        <w:rPr>
          <w:sz w:val="22"/>
        </w:rPr>
        <w:t>4</w:t>
      </w:r>
      <w:r w:rsidR="00F266AD" w:rsidRPr="006E5888">
        <w:rPr>
          <w:sz w:val="22"/>
        </w:rPr>
        <w:t>.</w:t>
      </w:r>
      <w:r w:rsidR="00F266AD" w:rsidRPr="006E5888">
        <w:rPr>
          <w:i/>
          <w:sz w:val="22"/>
        </w:rPr>
        <w:t xml:space="preserve">att. </w:t>
      </w:r>
      <w:r w:rsidR="00F266AD" w:rsidRPr="006E5888">
        <w:rPr>
          <w:b/>
          <w:sz w:val="22"/>
        </w:rPr>
        <w:t>Amata vietu skaits ministrijā</w:t>
      </w:r>
      <w:r w:rsidR="00101CB3" w:rsidRPr="006E5888">
        <w:rPr>
          <w:b/>
          <w:sz w:val="22"/>
        </w:rPr>
        <w:t>s</w:t>
      </w:r>
      <w:r w:rsidR="00F266AD" w:rsidRPr="006E5888">
        <w:rPr>
          <w:b/>
          <w:sz w:val="22"/>
        </w:rPr>
        <w:t xml:space="preserve"> 2016.gadā</w:t>
      </w:r>
    </w:p>
    <w:p w:rsidR="00F41EA0" w:rsidRPr="006E5888" w:rsidRDefault="00F41EA0" w:rsidP="000E1E6C">
      <w:pPr>
        <w:tabs>
          <w:tab w:val="left" w:pos="2472"/>
        </w:tabs>
        <w:jc w:val="both"/>
        <w:rPr>
          <w:sz w:val="8"/>
          <w:szCs w:val="8"/>
        </w:rPr>
      </w:pPr>
    </w:p>
    <w:p w:rsidR="00791C25" w:rsidRPr="006E5888" w:rsidRDefault="00791C25" w:rsidP="000E1E6C">
      <w:pPr>
        <w:spacing w:before="120"/>
        <w:ind w:firstLine="709"/>
        <w:jc w:val="both"/>
      </w:pPr>
      <w:r w:rsidRPr="006E5888">
        <w:rPr>
          <w:szCs w:val="24"/>
        </w:rPr>
        <w:t xml:space="preserve">Attēlā Nr.4 atspoguļots amata vietu skaits ministrijās 2016.gadā. Attēls uzskatāmi parāda, ka 2016.gadā lielākais amata vietu skaits plānots IeM, savukārt mazākais plānots SM, </w:t>
      </w:r>
      <w:r w:rsidRPr="006E5888">
        <w:t>jo lielākā nodarbināto daļa ir koncentrēta SM kapitālsabiedrībās.</w:t>
      </w:r>
    </w:p>
    <w:p w:rsidR="00576478" w:rsidRPr="006E5888" w:rsidRDefault="00576478" w:rsidP="00DF340C">
      <w:pPr>
        <w:spacing w:before="120"/>
        <w:ind w:firstLine="709"/>
        <w:jc w:val="both"/>
        <w:rPr>
          <w:szCs w:val="24"/>
        </w:rPr>
      </w:pPr>
      <w:r w:rsidRPr="006E5888">
        <w:rPr>
          <w:szCs w:val="24"/>
        </w:rPr>
        <w:t xml:space="preserve">Lai sagatavotu priekšlikumus valsts budžeta izdevumu pārskatīšanai atbilstoši valdības noteiktajam izdevumu pārskatīšanas tvērumam tika noteiktas </w:t>
      </w:r>
      <w:r w:rsidR="00DF340C" w:rsidRPr="006E5888">
        <w:rPr>
          <w:szCs w:val="24"/>
        </w:rPr>
        <w:t xml:space="preserve">šādas </w:t>
      </w:r>
      <w:r w:rsidRPr="006E5888">
        <w:rPr>
          <w:szCs w:val="24"/>
        </w:rPr>
        <w:t>izdevumu pārskatīšanas metodes:</w:t>
      </w:r>
    </w:p>
    <w:p w:rsidR="00E42FD7" w:rsidRPr="006E5888" w:rsidRDefault="00E42FD7" w:rsidP="00E42FD7">
      <w:pPr>
        <w:numPr>
          <w:ilvl w:val="0"/>
          <w:numId w:val="18"/>
        </w:numPr>
        <w:ind w:left="714" w:hanging="357"/>
        <w:jc w:val="both"/>
      </w:pPr>
      <w:r w:rsidRPr="006E5888">
        <w:rPr>
          <w:b/>
          <w:bCs/>
        </w:rPr>
        <w:lastRenderedPageBreak/>
        <w:t>Apstākļu aktualizācija</w:t>
      </w:r>
    </w:p>
    <w:p w:rsidR="00E42FD7" w:rsidRPr="006E5888" w:rsidRDefault="00E42FD7" w:rsidP="00E42FD7">
      <w:pPr>
        <w:jc w:val="both"/>
      </w:pPr>
      <w:r w:rsidRPr="006E5888">
        <w:t>Tika veikta analīze par normatīvo aktu terminētu pasākumu finansēšanas pārtraukšanu, izdevumu precizēšanu atbilstoši aktualizētajām iekšzemes kopprodukta prognozēm, kā arī izdevumu precizēšanu, pārskatot procentu likmes u.c.</w:t>
      </w:r>
    </w:p>
    <w:p w:rsidR="00E42FD7" w:rsidRPr="006E5888" w:rsidRDefault="00E42FD7" w:rsidP="00E42FD7">
      <w:pPr>
        <w:numPr>
          <w:ilvl w:val="0"/>
          <w:numId w:val="18"/>
        </w:numPr>
        <w:jc w:val="both"/>
      </w:pPr>
      <w:r w:rsidRPr="006E5888">
        <w:rPr>
          <w:b/>
          <w:bCs/>
        </w:rPr>
        <w:t>Izdevumu pārdales</w:t>
      </w:r>
    </w:p>
    <w:p w:rsidR="00E42FD7" w:rsidRPr="006E5888" w:rsidRDefault="00E42FD7" w:rsidP="00E42FD7">
      <w:pPr>
        <w:jc w:val="both"/>
      </w:pPr>
      <w:r w:rsidRPr="006E5888">
        <w:t>Tika analizētas sistemātiskas un resursietilpīgas no 2013.gada līdz 2015.gadam veiktās pārdales no vienas budžeta programmas uz citām budžeta programmām.</w:t>
      </w:r>
    </w:p>
    <w:p w:rsidR="00E42FD7" w:rsidRPr="006E5888" w:rsidRDefault="00E42FD7" w:rsidP="00E42FD7">
      <w:pPr>
        <w:numPr>
          <w:ilvl w:val="0"/>
          <w:numId w:val="18"/>
        </w:numPr>
        <w:jc w:val="both"/>
      </w:pPr>
      <w:r w:rsidRPr="006E5888">
        <w:rPr>
          <w:b/>
          <w:bCs/>
        </w:rPr>
        <w:t>Ieņēmumu neizpilde</w:t>
      </w:r>
    </w:p>
    <w:p w:rsidR="00E42FD7" w:rsidRPr="006E5888" w:rsidRDefault="00E42FD7" w:rsidP="00E42FD7">
      <w:pPr>
        <w:jc w:val="both"/>
      </w:pPr>
      <w:r w:rsidRPr="006E5888">
        <w:t>Tika analizēts sistemātiska mērķfinansējuma neiekasēšana izdevumu segšanai, piemēram, atsevišķu plānoto ieņēmumu no nodevām neiekasēšana.</w:t>
      </w:r>
    </w:p>
    <w:p w:rsidR="00E42FD7" w:rsidRPr="006E5888" w:rsidRDefault="00E42FD7" w:rsidP="00E42FD7">
      <w:pPr>
        <w:numPr>
          <w:ilvl w:val="0"/>
          <w:numId w:val="18"/>
        </w:numPr>
        <w:jc w:val="both"/>
      </w:pPr>
      <w:r w:rsidRPr="006E5888">
        <w:rPr>
          <w:b/>
          <w:bCs/>
        </w:rPr>
        <w:t>Apkures un degvielas izdevumi</w:t>
      </w:r>
    </w:p>
    <w:p w:rsidR="00E42FD7" w:rsidRPr="006E5888" w:rsidRDefault="00E42FD7" w:rsidP="00E42FD7">
      <w:pPr>
        <w:jc w:val="both"/>
      </w:pPr>
      <w:r w:rsidRPr="006E5888">
        <w:t>Tika analizēta izdevumu tendence salīdzinājumā ar tirgus cenām.</w:t>
      </w:r>
    </w:p>
    <w:p w:rsidR="00E42FD7" w:rsidRPr="006E5888" w:rsidRDefault="00E42FD7" w:rsidP="00E42FD7">
      <w:pPr>
        <w:pStyle w:val="ListParagraph"/>
        <w:numPr>
          <w:ilvl w:val="0"/>
          <w:numId w:val="18"/>
        </w:numPr>
        <w:jc w:val="both"/>
      </w:pPr>
      <w:r w:rsidRPr="006E5888">
        <w:rPr>
          <w:b/>
          <w:bCs/>
        </w:rPr>
        <w:t>Politikas maiņa</w:t>
      </w:r>
    </w:p>
    <w:p w:rsidR="00E42FD7" w:rsidRPr="006E5888" w:rsidRDefault="00E42FD7" w:rsidP="00E42FD7">
      <w:pPr>
        <w:jc w:val="both"/>
      </w:pPr>
      <w:r w:rsidRPr="006E5888">
        <w:t>Tika analizēta nepieciešamība veikt tiesību aktos noteiktās politikas izmaiņas, kam ir ietekme uz ieņēmumiem un izdevumiem.</w:t>
      </w:r>
    </w:p>
    <w:p w:rsidR="00E42FD7" w:rsidRPr="006E5888" w:rsidRDefault="00E42FD7" w:rsidP="00E42FD7">
      <w:pPr>
        <w:numPr>
          <w:ilvl w:val="0"/>
          <w:numId w:val="18"/>
        </w:numPr>
        <w:jc w:val="both"/>
      </w:pPr>
      <w:r w:rsidRPr="006E5888">
        <w:rPr>
          <w:b/>
          <w:bCs/>
        </w:rPr>
        <w:t>Izdevumu neizpildes</w:t>
      </w:r>
    </w:p>
    <w:p w:rsidR="00E42FD7" w:rsidRPr="006E5888" w:rsidRDefault="00E42FD7" w:rsidP="00E42FD7">
      <w:pPr>
        <w:jc w:val="both"/>
      </w:pPr>
      <w:r w:rsidRPr="006E5888">
        <w:t>Tika analizēti regulāri līdzekļu atlikumi no 2013.gada līdz 2015.gadam.</w:t>
      </w:r>
    </w:p>
    <w:p w:rsidR="00E42FD7" w:rsidRPr="006E5888" w:rsidRDefault="00E42FD7" w:rsidP="00E42FD7">
      <w:pPr>
        <w:numPr>
          <w:ilvl w:val="0"/>
          <w:numId w:val="18"/>
        </w:numPr>
        <w:jc w:val="both"/>
      </w:pPr>
      <w:r w:rsidRPr="006E5888">
        <w:rPr>
          <w:b/>
          <w:bCs/>
        </w:rPr>
        <w:t>Sasaiste ar rezultātiem</w:t>
      </w:r>
    </w:p>
    <w:p w:rsidR="00E42FD7" w:rsidRPr="006E5888" w:rsidRDefault="00E42FD7" w:rsidP="00E42FD7">
      <w:pPr>
        <w:jc w:val="both"/>
      </w:pPr>
      <w:r w:rsidRPr="006E5888">
        <w:t>Tika analizēta izdevumu salāgošana ar tiešajiem darbības rezultātiem, piemēram, darbības rezultāta rezultatīvais rādītājs samazinās, bet finansējums pieaug u.tml.</w:t>
      </w:r>
    </w:p>
    <w:p w:rsidR="00E42FD7" w:rsidRPr="006E5888" w:rsidRDefault="00E42FD7" w:rsidP="00E42FD7">
      <w:pPr>
        <w:numPr>
          <w:ilvl w:val="0"/>
          <w:numId w:val="18"/>
        </w:numPr>
        <w:jc w:val="both"/>
      </w:pPr>
      <w:r w:rsidRPr="006E5888">
        <w:rPr>
          <w:b/>
          <w:bCs/>
        </w:rPr>
        <w:t xml:space="preserve">Pārdales no jaunajām politikas iniciatīvām </w:t>
      </w:r>
      <w:r w:rsidRPr="006E5888">
        <w:rPr>
          <w:bCs/>
        </w:rPr>
        <w:t>(turpmāk – JPI)</w:t>
      </w:r>
    </w:p>
    <w:p w:rsidR="00576478" w:rsidRPr="006E5888" w:rsidRDefault="00E42FD7" w:rsidP="001F29C4">
      <w:pPr>
        <w:jc w:val="both"/>
      </w:pPr>
      <w:r w:rsidRPr="006E5888">
        <w:t>Tika veikta analīze par pēdējo trīs gadu laikā veiktajām pārdalēm (no 2013.gada līdz 2015.gadam) no JPI piešķīruma.</w:t>
      </w:r>
    </w:p>
    <w:p w:rsidR="00E7532F" w:rsidRPr="006E5888" w:rsidRDefault="00E7532F" w:rsidP="00E7532F">
      <w:pPr>
        <w:spacing w:before="120" w:after="120"/>
        <w:ind w:firstLine="709"/>
        <w:jc w:val="right"/>
      </w:pPr>
      <w:r w:rsidRPr="006E5888">
        <w:t>Tabula Nr.</w:t>
      </w:r>
      <w:r w:rsidR="00791C25" w:rsidRPr="006E5888">
        <w:t>8</w:t>
      </w:r>
    </w:p>
    <w:p w:rsidR="00E7532F" w:rsidRPr="006E5888" w:rsidRDefault="00E7532F" w:rsidP="00E7532F">
      <w:pPr>
        <w:spacing w:before="120" w:after="120"/>
        <w:ind w:firstLine="709"/>
        <w:jc w:val="center"/>
        <w:rPr>
          <w:i/>
        </w:rPr>
      </w:pPr>
      <w:r w:rsidRPr="006E5888">
        <w:t>Kopsavilkum</w:t>
      </w:r>
      <w:r w:rsidR="00714F04" w:rsidRPr="006E5888">
        <w:t>s</w:t>
      </w:r>
      <w:r w:rsidRPr="006E5888">
        <w:t xml:space="preserve"> ar rezultātiem </w:t>
      </w:r>
      <w:r w:rsidR="00160C47" w:rsidRPr="006E5888">
        <w:t>atbilstoši finansējuma pielietojumam un sadalījumā pa izmantotajām metodēm,</w:t>
      </w:r>
      <w:r w:rsidRPr="006E5888">
        <w:t xml:space="preserve"> </w:t>
      </w:r>
      <w:proofErr w:type="spellStart"/>
      <w:r w:rsidRPr="006E5888">
        <w:rPr>
          <w:i/>
        </w:rPr>
        <w:t>euro</w:t>
      </w:r>
      <w:proofErr w:type="spellEnd"/>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268"/>
        <w:gridCol w:w="1984"/>
      </w:tblGrid>
      <w:tr w:rsidR="000E1E6C" w:rsidRPr="006E5888" w:rsidTr="000E1E6C">
        <w:trPr>
          <w:trHeight w:val="20"/>
          <w:jc w:val="center"/>
        </w:trPr>
        <w:tc>
          <w:tcPr>
            <w:tcW w:w="5098" w:type="dxa"/>
            <w:shd w:val="clear" w:color="auto" w:fill="D9D9D9" w:themeFill="background1" w:themeFillShade="D9"/>
            <w:noWrap/>
            <w:vAlign w:val="center"/>
            <w:hideMark/>
          </w:tcPr>
          <w:p w:rsidR="000E1E6C" w:rsidRPr="006E5888" w:rsidRDefault="000E1E6C" w:rsidP="000E1E6C">
            <w:pPr>
              <w:rPr>
                <w:rFonts w:eastAsia="Times New Roman" w:cs="Times New Roman"/>
                <w:b/>
                <w:bCs/>
                <w:color w:val="000000"/>
                <w:szCs w:val="24"/>
                <w:lang w:eastAsia="lv-LV"/>
              </w:rPr>
            </w:pPr>
          </w:p>
        </w:tc>
        <w:tc>
          <w:tcPr>
            <w:tcW w:w="2268" w:type="dxa"/>
            <w:shd w:val="clear" w:color="auto" w:fill="D9D9D9" w:themeFill="background1" w:themeFillShade="D9"/>
            <w:noWrap/>
            <w:vAlign w:val="center"/>
            <w:hideMark/>
          </w:tcPr>
          <w:p w:rsidR="000E1E6C" w:rsidRPr="006E5888" w:rsidRDefault="000E1E6C" w:rsidP="000E1E6C">
            <w:pPr>
              <w:jc w:val="center"/>
              <w:rPr>
                <w:rFonts w:eastAsia="Times New Roman" w:cs="Times New Roman"/>
                <w:b/>
                <w:bCs/>
                <w:color w:val="000000"/>
                <w:szCs w:val="24"/>
                <w:lang w:eastAsia="lv-LV"/>
              </w:rPr>
            </w:pPr>
            <w:r w:rsidRPr="006E5888">
              <w:rPr>
                <w:rFonts w:eastAsia="Times New Roman" w:cs="Times New Roman"/>
                <w:b/>
                <w:bCs/>
                <w:color w:val="000000"/>
                <w:szCs w:val="24"/>
                <w:lang w:eastAsia="lv-LV"/>
              </w:rPr>
              <w:t>2017</w:t>
            </w:r>
          </w:p>
        </w:tc>
        <w:tc>
          <w:tcPr>
            <w:tcW w:w="1984" w:type="dxa"/>
            <w:shd w:val="clear" w:color="auto" w:fill="D9D9D9" w:themeFill="background1" w:themeFillShade="D9"/>
            <w:noWrap/>
            <w:vAlign w:val="center"/>
            <w:hideMark/>
          </w:tcPr>
          <w:p w:rsidR="000E1E6C" w:rsidRPr="006E5888" w:rsidRDefault="000E1E6C" w:rsidP="000E1E6C">
            <w:pPr>
              <w:jc w:val="center"/>
              <w:rPr>
                <w:rFonts w:eastAsia="Times New Roman" w:cs="Times New Roman"/>
                <w:b/>
                <w:bCs/>
                <w:color w:val="000000"/>
                <w:szCs w:val="24"/>
                <w:lang w:eastAsia="lv-LV"/>
              </w:rPr>
            </w:pPr>
            <w:r w:rsidRPr="006E5888">
              <w:rPr>
                <w:rFonts w:eastAsia="Times New Roman" w:cs="Times New Roman"/>
                <w:b/>
                <w:bCs/>
                <w:color w:val="000000"/>
                <w:szCs w:val="24"/>
                <w:lang w:eastAsia="lv-LV"/>
              </w:rPr>
              <w:t>2018</w:t>
            </w:r>
          </w:p>
        </w:tc>
      </w:tr>
      <w:tr w:rsidR="000E1E6C" w:rsidRPr="006E5888" w:rsidTr="000E1E6C">
        <w:trPr>
          <w:trHeight w:val="20"/>
          <w:jc w:val="center"/>
        </w:trPr>
        <w:tc>
          <w:tcPr>
            <w:tcW w:w="5098" w:type="dxa"/>
            <w:shd w:val="clear" w:color="auto" w:fill="auto"/>
            <w:noWrap/>
            <w:vAlign w:val="bottom"/>
            <w:hideMark/>
          </w:tcPr>
          <w:p w:rsidR="000E1E6C" w:rsidRPr="006E5888" w:rsidRDefault="000E1E6C" w:rsidP="000E1E6C">
            <w:pPr>
              <w:rPr>
                <w:rFonts w:eastAsia="Times New Roman" w:cs="Times New Roman"/>
                <w:b/>
                <w:bCs/>
                <w:color w:val="000000"/>
                <w:szCs w:val="24"/>
                <w:lang w:eastAsia="lv-LV"/>
              </w:rPr>
            </w:pPr>
            <w:r w:rsidRPr="006E5888">
              <w:rPr>
                <w:rFonts w:eastAsia="Times New Roman" w:cs="Times New Roman"/>
                <w:b/>
                <w:bCs/>
                <w:color w:val="000000"/>
                <w:szCs w:val="24"/>
                <w:lang w:eastAsia="lv-LV"/>
              </w:rPr>
              <w:t>Uz nesadalīto finansējumu</w:t>
            </w:r>
          </w:p>
        </w:tc>
        <w:tc>
          <w:tcPr>
            <w:tcW w:w="2268" w:type="dxa"/>
            <w:shd w:val="clear" w:color="auto" w:fill="auto"/>
            <w:noWrap/>
            <w:vAlign w:val="bottom"/>
            <w:hideMark/>
          </w:tcPr>
          <w:p w:rsidR="000E1E6C" w:rsidRPr="006E5888" w:rsidRDefault="000E1E6C" w:rsidP="000E1E6C">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32 656 007</w:t>
            </w:r>
          </w:p>
        </w:tc>
        <w:tc>
          <w:tcPr>
            <w:tcW w:w="1984" w:type="dxa"/>
            <w:shd w:val="clear" w:color="auto" w:fill="auto"/>
            <w:noWrap/>
            <w:vAlign w:val="bottom"/>
            <w:hideMark/>
          </w:tcPr>
          <w:p w:rsidR="000E1E6C" w:rsidRPr="006E5888" w:rsidRDefault="000E1E6C" w:rsidP="000E1E6C">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32 085 875</w:t>
            </w:r>
          </w:p>
        </w:tc>
      </w:tr>
      <w:tr w:rsidR="000E1E6C" w:rsidRPr="006E5888" w:rsidTr="000E1E6C">
        <w:trPr>
          <w:trHeight w:val="20"/>
          <w:jc w:val="center"/>
        </w:trPr>
        <w:tc>
          <w:tcPr>
            <w:tcW w:w="5098" w:type="dxa"/>
            <w:shd w:val="clear" w:color="auto" w:fill="auto"/>
            <w:noWrap/>
            <w:vAlign w:val="bottom"/>
            <w:hideMark/>
          </w:tcPr>
          <w:p w:rsidR="000E1E6C" w:rsidRPr="006E5888" w:rsidRDefault="000E1E6C" w:rsidP="000E1E6C">
            <w:pPr>
              <w:rPr>
                <w:rFonts w:eastAsia="Times New Roman" w:cs="Times New Roman"/>
                <w:color w:val="000000"/>
                <w:szCs w:val="24"/>
                <w:lang w:eastAsia="lv-LV"/>
              </w:rPr>
            </w:pPr>
            <w:r w:rsidRPr="006E5888">
              <w:rPr>
                <w:rFonts w:eastAsia="Times New Roman" w:cs="Times New Roman"/>
                <w:color w:val="000000"/>
                <w:szCs w:val="24"/>
                <w:lang w:eastAsia="lv-LV"/>
              </w:rPr>
              <w:t>Apstākļu aktualizācija</w:t>
            </w:r>
          </w:p>
        </w:tc>
        <w:tc>
          <w:tcPr>
            <w:tcW w:w="2268"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18 878 368</w:t>
            </w:r>
          </w:p>
        </w:tc>
        <w:tc>
          <w:tcPr>
            <w:tcW w:w="1984"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18 313 000</w:t>
            </w:r>
          </w:p>
        </w:tc>
      </w:tr>
      <w:tr w:rsidR="000E1E6C" w:rsidRPr="006E5888" w:rsidTr="000E1E6C">
        <w:trPr>
          <w:trHeight w:val="20"/>
          <w:jc w:val="center"/>
        </w:trPr>
        <w:tc>
          <w:tcPr>
            <w:tcW w:w="5098" w:type="dxa"/>
            <w:shd w:val="clear" w:color="auto" w:fill="auto"/>
            <w:noWrap/>
            <w:vAlign w:val="bottom"/>
            <w:hideMark/>
          </w:tcPr>
          <w:p w:rsidR="000E1E6C" w:rsidRPr="006E5888" w:rsidRDefault="000E1E6C" w:rsidP="000E1E6C">
            <w:pPr>
              <w:rPr>
                <w:rFonts w:eastAsia="Times New Roman" w:cs="Times New Roman"/>
                <w:color w:val="000000"/>
                <w:szCs w:val="24"/>
                <w:lang w:eastAsia="lv-LV"/>
              </w:rPr>
            </w:pPr>
            <w:r w:rsidRPr="006E5888">
              <w:rPr>
                <w:rFonts w:eastAsia="Times New Roman" w:cs="Times New Roman"/>
                <w:color w:val="000000"/>
                <w:szCs w:val="24"/>
                <w:lang w:eastAsia="lv-LV"/>
              </w:rPr>
              <w:t>Izdevumu pārdales</w:t>
            </w:r>
          </w:p>
        </w:tc>
        <w:tc>
          <w:tcPr>
            <w:tcW w:w="2268"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13 050 000</w:t>
            </w:r>
          </w:p>
        </w:tc>
        <w:tc>
          <w:tcPr>
            <w:tcW w:w="1984"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13 050 000</w:t>
            </w:r>
          </w:p>
        </w:tc>
      </w:tr>
      <w:tr w:rsidR="000E1E6C" w:rsidRPr="006E5888" w:rsidTr="000E1E6C">
        <w:trPr>
          <w:trHeight w:val="20"/>
          <w:jc w:val="center"/>
        </w:trPr>
        <w:tc>
          <w:tcPr>
            <w:tcW w:w="5098" w:type="dxa"/>
            <w:shd w:val="clear" w:color="auto" w:fill="auto"/>
            <w:noWrap/>
            <w:vAlign w:val="bottom"/>
            <w:hideMark/>
          </w:tcPr>
          <w:p w:rsidR="000E1E6C" w:rsidRPr="006E5888" w:rsidRDefault="000E1E6C" w:rsidP="000E1E6C">
            <w:pPr>
              <w:rPr>
                <w:rFonts w:eastAsia="Times New Roman" w:cs="Times New Roman"/>
                <w:color w:val="000000"/>
                <w:szCs w:val="24"/>
                <w:lang w:eastAsia="lv-LV"/>
              </w:rPr>
            </w:pPr>
            <w:r w:rsidRPr="006E5888">
              <w:rPr>
                <w:rFonts w:eastAsia="Times New Roman" w:cs="Times New Roman"/>
                <w:color w:val="000000"/>
                <w:szCs w:val="24"/>
                <w:lang w:eastAsia="lv-LV"/>
              </w:rPr>
              <w:t>Sasaiste ar rezultātiem</w:t>
            </w:r>
          </w:p>
        </w:tc>
        <w:tc>
          <w:tcPr>
            <w:tcW w:w="2268"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445 000</w:t>
            </w:r>
          </w:p>
        </w:tc>
        <w:tc>
          <w:tcPr>
            <w:tcW w:w="1984"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445 000</w:t>
            </w:r>
          </w:p>
        </w:tc>
      </w:tr>
      <w:tr w:rsidR="000E1E6C" w:rsidRPr="006E5888" w:rsidTr="000E1E6C">
        <w:trPr>
          <w:trHeight w:val="20"/>
          <w:jc w:val="center"/>
        </w:trPr>
        <w:tc>
          <w:tcPr>
            <w:tcW w:w="5098" w:type="dxa"/>
            <w:shd w:val="clear" w:color="auto" w:fill="auto"/>
            <w:noWrap/>
            <w:vAlign w:val="bottom"/>
            <w:hideMark/>
          </w:tcPr>
          <w:p w:rsidR="000E1E6C" w:rsidRPr="006E5888" w:rsidRDefault="000E1E6C" w:rsidP="000E1E6C">
            <w:pPr>
              <w:rPr>
                <w:rFonts w:eastAsia="Times New Roman" w:cs="Times New Roman"/>
                <w:color w:val="000000"/>
                <w:szCs w:val="24"/>
                <w:lang w:eastAsia="lv-LV"/>
              </w:rPr>
            </w:pPr>
            <w:r w:rsidRPr="006E5888">
              <w:rPr>
                <w:rFonts w:eastAsia="Times New Roman" w:cs="Times New Roman"/>
                <w:color w:val="000000"/>
                <w:szCs w:val="24"/>
                <w:lang w:eastAsia="lv-LV"/>
              </w:rPr>
              <w:t>Politikas maiņa</w:t>
            </w:r>
          </w:p>
        </w:tc>
        <w:tc>
          <w:tcPr>
            <w:tcW w:w="2268"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282 639</w:t>
            </w:r>
          </w:p>
        </w:tc>
        <w:tc>
          <w:tcPr>
            <w:tcW w:w="1984"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277 875</w:t>
            </w:r>
          </w:p>
        </w:tc>
      </w:tr>
      <w:tr w:rsidR="000E1E6C" w:rsidRPr="006E5888" w:rsidTr="000E1E6C">
        <w:trPr>
          <w:trHeight w:val="20"/>
          <w:jc w:val="center"/>
        </w:trPr>
        <w:tc>
          <w:tcPr>
            <w:tcW w:w="5098" w:type="dxa"/>
            <w:shd w:val="clear" w:color="auto" w:fill="auto"/>
            <w:noWrap/>
            <w:vAlign w:val="bottom"/>
            <w:hideMark/>
          </w:tcPr>
          <w:p w:rsidR="000E1E6C" w:rsidRPr="006E5888" w:rsidRDefault="000E1E6C" w:rsidP="000E1E6C">
            <w:pPr>
              <w:rPr>
                <w:rFonts w:eastAsia="Times New Roman" w:cs="Times New Roman"/>
                <w:b/>
                <w:bCs/>
                <w:color w:val="000000"/>
                <w:szCs w:val="24"/>
                <w:lang w:eastAsia="lv-LV"/>
              </w:rPr>
            </w:pPr>
            <w:r w:rsidRPr="006E5888">
              <w:rPr>
                <w:rFonts w:eastAsia="Times New Roman" w:cs="Times New Roman"/>
                <w:b/>
                <w:bCs/>
                <w:color w:val="000000"/>
                <w:szCs w:val="24"/>
                <w:lang w:eastAsia="lv-LV"/>
              </w:rPr>
              <w:t>Finansējums JPI</w:t>
            </w:r>
          </w:p>
        </w:tc>
        <w:tc>
          <w:tcPr>
            <w:tcW w:w="2268" w:type="dxa"/>
            <w:shd w:val="clear" w:color="auto" w:fill="auto"/>
            <w:noWrap/>
            <w:vAlign w:val="bottom"/>
            <w:hideMark/>
          </w:tcPr>
          <w:p w:rsidR="000E1E6C" w:rsidRPr="006E5888" w:rsidRDefault="000E1E6C" w:rsidP="000E1E6C">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23 542 131</w:t>
            </w:r>
          </w:p>
        </w:tc>
        <w:tc>
          <w:tcPr>
            <w:tcW w:w="1984" w:type="dxa"/>
            <w:shd w:val="clear" w:color="auto" w:fill="auto"/>
            <w:noWrap/>
            <w:vAlign w:val="bottom"/>
            <w:hideMark/>
          </w:tcPr>
          <w:p w:rsidR="000E1E6C" w:rsidRPr="006E5888" w:rsidRDefault="000E1E6C" w:rsidP="000E1E6C">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22 106 632</w:t>
            </w:r>
          </w:p>
        </w:tc>
      </w:tr>
      <w:tr w:rsidR="000E1E6C" w:rsidRPr="006E5888" w:rsidTr="000E1E6C">
        <w:trPr>
          <w:trHeight w:val="20"/>
          <w:jc w:val="center"/>
        </w:trPr>
        <w:tc>
          <w:tcPr>
            <w:tcW w:w="5098" w:type="dxa"/>
            <w:shd w:val="clear" w:color="auto" w:fill="auto"/>
            <w:noWrap/>
            <w:vAlign w:val="bottom"/>
            <w:hideMark/>
          </w:tcPr>
          <w:p w:rsidR="000E1E6C" w:rsidRPr="006E5888" w:rsidRDefault="000E1E6C" w:rsidP="000E1E6C">
            <w:pPr>
              <w:rPr>
                <w:rFonts w:eastAsia="Times New Roman" w:cs="Times New Roman"/>
                <w:color w:val="000000"/>
                <w:szCs w:val="24"/>
                <w:lang w:eastAsia="lv-LV"/>
              </w:rPr>
            </w:pPr>
            <w:r w:rsidRPr="006E5888">
              <w:rPr>
                <w:rFonts w:eastAsia="Times New Roman" w:cs="Times New Roman"/>
                <w:color w:val="000000"/>
                <w:szCs w:val="24"/>
                <w:lang w:eastAsia="lv-LV"/>
              </w:rPr>
              <w:t>Izdevumu pārdales</w:t>
            </w:r>
          </w:p>
        </w:tc>
        <w:tc>
          <w:tcPr>
            <w:tcW w:w="2268"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7 015 043</w:t>
            </w:r>
          </w:p>
        </w:tc>
        <w:tc>
          <w:tcPr>
            <w:tcW w:w="1984"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6 754 170</w:t>
            </w:r>
          </w:p>
        </w:tc>
      </w:tr>
      <w:tr w:rsidR="000E1E6C" w:rsidRPr="006E5888" w:rsidTr="000E1E6C">
        <w:trPr>
          <w:trHeight w:val="20"/>
          <w:jc w:val="center"/>
        </w:trPr>
        <w:tc>
          <w:tcPr>
            <w:tcW w:w="5098" w:type="dxa"/>
            <w:shd w:val="clear" w:color="auto" w:fill="auto"/>
            <w:noWrap/>
            <w:vAlign w:val="bottom"/>
            <w:hideMark/>
          </w:tcPr>
          <w:p w:rsidR="000E1E6C" w:rsidRPr="006E5888" w:rsidRDefault="000E1E6C" w:rsidP="000E1E6C">
            <w:pPr>
              <w:rPr>
                <w:rFonts w:eastAsia="Times New Roman" w:cs="Times New Roman"/>
                <w:color w:val="000000"/>
                <w:szCs w:val="24"/>
                <w:lang w:eastAsia="lv-LV"/>
              </w:rPr>
            </w:pPr>
            <w:r w:rsidRPr="006E5888">
              <w:rPr>
                <w:rFonts w:eastAsia="Times New Roman" w:cs="Times New Roman"/>
                <w:color w:val="000000"/>
                <w:szCs w:val="24"/>
                <w:lang w:eastAsia="lv-LV"/>
              </w:rPr>
              <w:t>Apkure un degviela</w:t>
            </w:r>
          </w:p>
        </w:tc>
        <w:tc>
          <w:tcPr>
            <w:tcW w:w="2268"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4 871 541</w:t>
            </w:r>
          </w:p>
        </w:tc>
        <w:tc>
          <w:tcPr>
            <w:tcW w:w="1984"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4 727 386</w:t>
            </w:r>
          </w:p>
        </w:tc>
      </w:tr>
      <w:tr w:rsidR="000E1E6C" w:rsidRPr="006E5888" w:rsidTr="000E1E6C">
        <w:trPr>
          <w:trHeight w:val="20"/>
          <w:jc w:val="center"/>
        </w:trPr>
        <w:tc>
          <w:tcPr>
            <w:tcW w:w="5098" w:type="dxa"/>
            <w:shd w:val="clear" w:color="auto" w:fill="auto"/>
            <w:noWrap/>
            <w:vAlign w:val="bottom"/>
            <w:hideMark/>
          </w:tcPr>
          <w:p w:rsidR="000E1E6C" w:rsidRPr="006E5888" w:rsidRDefault="000E1E6C" w:rsidP="000E1E6C">
            <w:pPr>
              <w:rPr>
                <w:rFonts w:eastAsia="Times New Roman" w:cs="Times New Roman"/>
                <w:color w:val="000000"/>
                <w:szCs w:val="24"/>
                <w:lang w:eastAsia="lv-LV"/>
              </w:rPr>
            </w:pPr>
            <w:r w:rsidRPr="006E5888">
              <w:rPr>
                <w:rFonts w:eastAsia="Times New Roman" w:cs="Times New Roman"/>
                <w:color w:val="000000"/>
                <w:szCs w:val="24"/>
                <w:lang w:eastAsia="lv-LV"/>
              </w:rPr>
              <w:t>Politikas maiņa</w:t>
            </w:r>
          </w:p>
        </w:tc>
        <w:tc>
          <w:tcPr>
            <w:tcW w:w="2268"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3 970 834</w:t>
            </w:r>
          </w:p>
        </w:tc>
        <w:tc>
          <w:tcPr>
            <w:tcW w:w="1984"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3 970 834</w:t>
            </w:r>
          </w:p>
        </w:tc>
      </w:tr>
      <w:tr w:rsidR="000E1E6C" w:rsidRPr="006E5888" w:rsidTr="000E1E6C">
        <w:trPr>
          <w:trHeight w:val="20"/>
          <w:jc w:val="center"/>
        </w:trPr>
        <w:tc>
          <w:tcPr>
            <w:tcW w:w="5098" w:type="dxa"/>
            <w:shd w:val="clear" w:color="auto" w:fill="auto"/>
            <w:noWrap/>
            <w:vAlign w:val="bottom"/>
            <w:hideMark/>
          </w:tcPr>
          <w:p w:rsidR="000E1E6C" w:rsidRPr="006E5888" w:rsidRDefault="000E1E6C" w:rsidP="000E1E6C">
            <w:pPr>
              <w:rPr>
                <w:rFonts w:eastAsia="Times New Roman" w:cs="Times New Roman"/>
                <w:color w:val="000000"/>
                <w:szCs w:val="24"/>
                <w:lang w:eastAsia="lv-LV"/>
              </w:rPr>
            </w:pPr>
            <w:r w:rsidRPr="006E5888">
              <w:rPr>
                <w:rFonts w:eastAsia="Times New Roman" w:cs="Times New Roman"/>
                <w:color w:val="000000"/>
                <w:szCs w:val="24"/>
                <w:lang w:eastAsia="lv-LV"/>
              </w:rPr>
              <w:t>Izdevumu neizpildes</w:t>
            </w:r>
          </w:p>
        </w:tc>
        <w:tc>
          <w:tcPr>
            <w:tcW w:w="2268"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2 964 628</w:t>
            </w:r>
          </w:p>
        </w:tc>
        <w:tc>
          <w:tcPr>
            <w:tcW w:w="1984"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2 964 628</w:t>
            </w:r>
          </w:p>
        </w:tc>
      </w:tr>
      <w:tr w:rsidR="000E1E6C" w:rsidRPr="006E5888" w:rsidTr="000E1E6C">
        <w:trPr>
          <w:trHeight w:val="20"/>
          <w:jc w:val="center"/>
        </w:trPr>
        <w:tc>
          <w:tcPr>
            <w:tcW w:w="5098" w:type="dxa"/>
            <w:shd w:val="clear" w:color="auto" w:fill="auto"/>
            <w:noWrap/>
            <w:vAlign w:val="bottom"/>
            <w:hideMark/>
          </w:tcPr>
          <w:p w:rsidR="000E1E6C" w:rsidRPr="006E5888" w:rsidRDefault="000E1E6C" w:rsidP="000E1E6C">
            <w:pPr>
              <w:rPr>
                <w:rFonts w:eastAsia="Times New Roman" w:cs="Times New Roman"/>
                <w:color w:val="000000"/>
                <w:szCs w:val="24"/>
                <w:lang w:eastAsia="lv-LV"/>
              </w:rPr>
            </w:pPr>
            <w:r w:rsidRPr="006E5888">
              <w:rPr>
                <w:rFonts w:eastAsia="Times New Roman" w:cs="Times New Roman"/>
                <w:color w:val="000000"/>
                <w:szCs w:val="24"/>
                <w:lang w:eastAsia="lv-LV"/>
              </w:rPr>
              <w:t>Apstākļu aktualizācija</w:t>
            </w:r>
          </w:p>
        </w:tc>
        <w:tc>
          <w:tcPr>
            <w:tcW w:w="2268"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2 805 996</w:t>
            </w:r>
          </w:p>
        </w:tc>
        <w:tc>
          <w:tcPr>
            <w:tcW w:w="1984"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1 869 112</w:t>
            </w:r>
          </w:p>
        </w:tc>
      </w:tr>
      <w:tr w:rsidR="000E1E6C" w:rsidRPr="006E5888" w:rsidTr="000E1E6C">
        <w:trPr>
          <w:trHeight w:val="20"/>
          <w:jc w:val="center"/>
        </w:trPr>
        <w:tc>
          <w:tcPr>
            <w:tcW w:w="5098" w:type="dxa"/>
            <w:shd w:val="clear" w:color="auto" w:fill="auto"/>
            <w:noWrap/>
            <w:vAlign w:val="bottom"/>
            <w:hideMark/>
          </w:tcPr>
          <w:p w:rsidR="000E1E6C" w:rsidRPr="006E5888" w:rsidRDefault="000E1E6C" w:rsidP="000E1E6C">
            <w:pPr>
              <w:rPr>
                <w:rFonts w:eastAsia="Times New Roman" w:cs="Times New Roman"/>
                <w:color w:val="000000"/>
                <w:szCs w:val="24"/>
                <w:lang w:eastAsia="lv-LV"/>
              </w:rPr>
            </w:pPr>
            <w:r w:rsidRPr="006E5888">
              <w:rPr>
                <w:rFonts w:eastAsia="Times New Roman" w:cs="Times New Roman"/>
                <w:color w:val="000000"/>
                <w:szCs w:val="24"/>
                <w:lang w:eastAsia="lv-LV"/>
              </w:rPr>
              <w:t>Sasaiste ar rezultātiem</w:t>
            </w:r>
          </w:p>
        </w:tc>
        <w:tc>
          <w:tcPr>
            <w:tcW w:w="2268"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1 094 442</w:t>
            </w:r>
          </w:p>
        </w:tc>
        <w:tc>
          <w:tcPr>
            <w:tcW w:w="1984"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1 000 855</w:t>
            </w:r>
          </w:p>
        </w:tc>
      </w:tr>
      <w:tr w:rsidR="000E1E6C" w:rsidRPr="006E5888" w:rsidTr="000E1E6C">
        <w:trPr>
          <w:trHeight w:val="20"/>
          <w:jc w:val="center"/>
        </w:trPr>
        <w:tc>
          <w:tcPr>
            <w:tcW w:w="5098" w:type="dxa"/>
            <w:shd w:val="clear" w:color="auto" w:fill="auto"/>
            <w:noWrap/>
            <w:vAlign w:val="bottom"/>
            <w:hideMark/>
          </w:tcPr>
          <w:p w:rsidR="000E1E6C" w:rsidRPr="006E5888" w:rsidRDefault="000E1E6C" w:rsidP="000E1E6C">
            <w:pPr>
              <w:rPr>
                <w:rFonts w:eastAsia="Times New Roman" w:cs="Times New Roman"/>
                <w:color w:val="000000"/>
                <w:szCs w:val="24"/>
                <w:lang w:eastAsia="lv-LV"/>
              </w:rPr>
            </w:pPr>
            <w:r w:rsidRPr="006E5888">
              <w:rPr>
                <w:rFonts w:eastAsia="Times New Roman" w:cs="Times New Roman"/>
                <w:color w:val="000000"/>
                <w:szCs w:val="24"/>
                <w:lang w:eastAsia="lv-LV"/>
              </w:rPr>
              <w:t>Pārdales no JPI</w:t>
            </w:r>
          </w:p>
        </w:tc>
        <w:tc>
          <w:tcPr>
            <w:tcW w:w="2268"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819 647</w:t>
            </w:r>
          </w:p>
        </w:tc>
        <w:tc>
          <w:tcPr>
            <w:tcW w:w="1984"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819 647</w:t>
            </w:r>
          </w:p>
        </w:tc>
      </w:tr>
      <w:tr w:rsidR="000E1E6C" w:rsidRPr="006E5888" w:rsidTr="000E1E6C">
        <w:trPr>
          <w:trHeight w:val="20"/>
          <w:jc w:val="center"/>
        </w:trPr>
        <w:tc>
          <w:tcPr>
            <w:tcW w:w="5098" w:type="dxa"/>
            <w:shd w:val="clear" w:color="auto" w:fill="auto"/>
            <w:noWrap/>
            <w:vAlign w:val="bottom"/>
            <w:hideMark/>
          </w:tcPr>
          <w:p w:rsidR="000E1E6C" w:rsidRPr="006E5888" w:rsidRDefault="000E1E6C" w:rsidP="000E1E6C">
            <w:pPr>
              <w:rPr>
                <w:rFonts w:eastAsia="Times New Roman" w:cs="Times New Roman"/>
                <w:b/>
                <w:bCs/>
                <w:color w:val="000000"/>
                <w:szCs w:val="24"/>
                <w:lang w:eastAsia="lv-LV"/>
              </w:rPr>
            </w:pPr>
            <w:r w:rsidRPr="006E5888">
              <w:rPr>
                <w:rFonts w:eastAsia="Times New Roman" w:cs="Times New Roman"/>
                <w:b/>
                <w:bCs/>
                <w:color w:val="000000"/>
                <w:szCs w:val="24"/>
                <w:lang w:eastAsia="lv-LV"/>
              </w:rPr>
              <w:t>Neiekasēts mērķfinansējums</w:t>
            </w:r>
          </w:p>
        </w:tc>
        <w:tc>
          <w:tcPr>
            <w:tcW w:w="2268" w:type="dxa"/>
            <w:shd w:val="clear" w:color="auto" w:fill="auto"/>
            <w:noWrap/>
            <w:vAlign w:val="bottom"/>
            <w:hideMark/>
          </w:tcPr>
          <w:p w:rsidR="000E1E6C" w:rsidRPr="006E5888" w:rsidRDefault="000E1E6C" w:rsidP="000E1E6C">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8 046 552</w:t>
            </w:r>
          </w:p>
        </w:tc>
        <w:tc>
          <w:tcPr>
            <w:tcW w:w="1984" w:type="dxa"/>
            <w:shd w:val="clear" w:color="auto" w:fill="auto"/>
            <w:noWrap/>
            <w:vAlign w:val="bottom"/>
            <w:hideMark/>
          </w:tcPr>
          <w:p w:rsidR="000E1E6C" w:rsidRPr="006E5888" w:rsidRDefault="000E1E6C" w:rsidP="000E1E6C">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8 046 552</w:t>
            </w:r>
          </w:p>
        </w:tc>
      </w:tr>
      <w:tr w:rsidR="000E1E6C" w:rsidRPr="006E5888" w:rsidTr="000E1E6C">
        <w:trPr>
          <w:trHeight w:val="20"/>
          <w:jc w:val="center"/>
        </w:trPr>
        <w:tc>
          <w:tcPr>
            <w:tcW w:w="5098" w:type="dxa"/>
            <w:shd w:val="clear" w:color="auto" w:fill="auto"/>
            <w:noWrap/>
            <w:vAlign w:val="bottom"/>
            <w:hideMark/>
          </w:tcPr>
          <w:p w:rsidR="000E1E6C" w:rsidRPr="006E5888" w:rsidRDefault="000E1E6C" w:rsidP="000E1E6C">
            <w:pPr>
              <w:rPr>
                <w:rFonts w:eastAsia="Times New Roman" w:cs="Times New Roman"/>
                <w:color w:val="000000"/>
                <w:szCs w:val="24"/>
                <w:lang w:eastAsia="lv-LV"/>
              </w:rPr>
            </w:pPr>
            <w:r w:rsidRPr="006E5888">
              <w:rPr>
                <w:rFonts w:eastAsia="Times New Roman" w:cs="Times New Roman"/>
                <w:color w:val="000000"/>
                <w:szCs w:val="24"/>
                <w:lang w:eastAsia="lv-LV"/>
              </w:rPr>
              <w:t>Ieņēmumu neizpilde</w:t>
            </w:r>
          </w:p>
        </w:tc>
        <w:tc>
          <w:tcPr>
            <w:tcW w:w="2268"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8 046 552</w:t>
            </w:r>
          </w:p>
        </w:tc>
        <w:tc>
          <w:tcPr>
            <w:tcW w:w="1984" w:type="dxa"/>
            <w:shd w:val="clear" w:color="auto" w:fill="auto"/>
            <w:noWrap/>
            <w:vAlign w:val="bottom"/>
            <w:hideMark/>
          </w:tcPr>
          <w:p w:rsidR="000E1E6C" w:rsidRPr="006E5888" w:rsidRDefault="000E1E6C" w:rsidP="000E1E6C">
            <w:pPr>
              <w:jc w:val="right"/>
              <w:rPr>
                <w:rFonts w:eastAsia="Times New Roman" w:cs="Times New Roman"/>
                <w:color w:val="000000"/>
                <w:szCs w:val="24"/>
                <w:lang w:eastAsia="lv-LV"/>
              </w:rPr>
            </w:pPr>
            <w:r w:rsidRPr="006E5888">
              <w:rPr>
                <w:rFonts w:eastAsia="Times New Roman" w:cs="Times New Roman"/>
                <w:color w:val="000000"/>
                <w:szCs w:val="24"/>
                <w:lang w:eastAsia="lv-LV"/>
              </w:rPr>
              <w:t>8 046 552</w:t>
            </w:r>
          </w:p>
        </w:tc>
      </w:tr>
      <w:tr w:rsidR="000E1E6C" w:rsidRPr="006E5888" w:rsidTr="000E1E6C">
        <w:trPr>
          <w:trHeight w:val="20"/>
          <w:jc w:val="center"/>
        </w:trPr>
        <w:tc>
          <w:tcPr>
            <w:tcW w:w="5098" w:type="dxa"/>
            <w:shd w:val="clear" w:color="auto" w:fill="D9D9D9" w:themeFill="background1" w:themeFillShade="D9"/>
            <w:noWrap/>
            <w:vAlign w:val="bottom"/>
            <w:hideMark/>
          </w:tcPr>
          <w:p w:rsidR="000E1E6C" w:rsidRPr="006E5888" w:rsidRDefault="000E1E6C" w:rsidP="000E1E6C">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KOPĀ:</w:t>
            </w:r>
          </w:p>
        </w:tc>
        <w:tc>
          <w:tcPr>
            <w:tcW w:w="2268" w:type="dxa"/>
            <w:shd w:val="clear" w:color="auto" w:fill="D9D9D9" w:themeFill="background1" w:themeFillShade="D9"/>
            <w:noWrap/>
            <w:vAlign w:val="bottom"/>
            <w:hideMark/>
          </w:tcPr>
          <w:p w:rsidR="000E1E6C" w:rsidRPr="006E5888" w:rsidRDefault="000E1E6C" w:rsidP="000E1E6C">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64 244 690</w:t>
            </w:r>
          </w:p>
        </w:tc>
        <w:tc>
          <w:tcPr>
            <w:tcW w:w="1984" w:type="dxa"/>
            <w:shd w:val="clear" w:color="auto" w:fill="D9D9D9" w:themeFill="background1" w:themeFillShade="D9"/>
            <w:noWrap/>
            <w:vAlign w:val="bottom"/>
            <w:hideMark/>
          </w:tcPr>
          <w:p w:rsidR="000E1E6C" w:rsidRPr="006E5888" w:rsidRDefault="000E1E6C" w:rsidP="000E1E6C">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62 239 059</w:t>
            </w:r>
          </w:p>
        </w:tc>
      </w:tr>
    </w:tbl>
    <w:p w:rsidR="000E1E6C" w:rsidRPr="006E5888" w:rsidRDefault="000E1E6C" w:rsidP="000E1E6C">
      <w:pPr>
        <w:spacing w:before="240" w:after="120"/>
      </w:pPr>
    </w:p>
    <w:p w:rsidR="0034713C" w:rsidRPr="006E5888" w:rsidRDefault="0034713C" w:rsidP="00282F79">
      <w:pPr>
        <w:spacing w:before="240" w:after="120"/>
        <w:jc w:val="right"/>
      </w:pPr>
    </w:p>
    <w:p w:rsidR="0034713C" w:rsidRPr="006E5888" w:rsidRDefault="0034713C" w:rsidP="00282F79">
      <w:pPr>
        <w:spacing w:before="240" w:after="120"/>
        <w:jc w:val="right"/>
      </w:pPr>
    </w:p>
    <w:p w:rsidR="00E7532F" w:rsidRPr="006E5888" w:rsidRDefault="00E7532F" w:rsidP="00282F79">
      <w:pPr>
        <w:spacing w:before="240" w:after="120"/>
        <w:jc w:val="right"/>
      </w:pPr>
      <w:r w:rsidRPr="006E5888">
        <w:lastRenderedPageBreak/>
        <w:t>Tabula Nr.</w:t>
      </w:r>
      <w:r w:rsidR="00791C25" w:rsidRPr="006E5888">
        <w:t>9</w:t>
      </w:r>
    </w:p>
    <w:p w:rsidR="000E1E6C" w:rsidRPr="006E5888" w:rsidRDefault="00E7532F" w:rsidP="000E1E6C">
      <w:pPr>
        <w:spacing w:after="120"/>
        <w:jc w:val="center"/>
      </w:pPr>
      <w:r w:rsidRPr="006E5888">
        <w:t>Kopsavilkum</w:t>
      </w:r>
      <w:r w:rsidR="00714F04" w:rsidRPr="006E5888">
        <w:t>s</w:t>
      </w:r>
      <w:r w:rsidRPr="006E5888">
        <w:t xml:space="preserve"> ar rezultātiem pa ministrijām un pielietojuma metodēm, </w:t>
      </w:r>
      <w:proofErr w:type="spellStart"/>
      <w:r w:rsidRPr="006E5888">
        <w:rPr>
          <w:i/>
        </w:rPr>
        <w:t>euro</w:t>
      </w:r>
      <w:proofErr w:type="spellEnd"/>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984"/>
        <w:gridCol w:w="1701"/>
      </w:tblGrid>
      <w:tr w:rsidR="000E1E6C" w:rsidRPr="006E5888" w:rsidTr="00BE39AF">
        <w:trPr>
          <w:trHeight w:val="20"/>
          <w:tblHeader/>
          <w:jc w:val="center"/>
        </w:trPr>
        <w:tc>
          <w:tcPr>
            <w:tcW w:w="5665" w:type="dxa"/>
            <w:shd w:val="clear" w:color="auto" w:fill="D9D9D9" w:themeFill="background1" w:themeFillShade="D9"/>
            <w:noWrap/>
            <w:vAlign w:val="bottom"/>
            <w:hideMark/>
          </w:tcPr>
          <w:p w:rsidR="000E1E6C" w:rsidRPr="006E5888" w:rsidRDefault="000E1E6C" w:rsidP="00BE39AF">
            <w:pPr>
              <w:rPr>
                <w:rFonts w:eastAsia="Times New Roman" w:cs="Times New Roman"/>
                <w:b/>
                <w:bCs/>
                <w:color w:val="000000"/>
                <w:szCs w:val="24"/>
                <w:lang w:eastAsia="lv-LV"/>
              </w:rPr>
            </w:pPr>
          </w:p>
        </w:tc>
        <w:tc>
          <w:tcPr>
            <w:tcW w:w="1984" w:type="dxa"/>
            <w:shd w:val="clear" w:color="auto" w:fill="D9D9D9" w:themeFill="background1" w:themeFillShade="D9"/>
            <w:noWrap/>
            <w:vAlign w:val="bottom"/>
            <w:hideMark/>
          </w:tcPr>
          <w:p w:rsidR="000E1E6C" w:rsidRPr="006E5888" w:rsidRDefault="000E1E6C" w:rsidP="00BE39AF">
            <w:pPr>
              <w:jc w:val="center"/>
              <w:rPr>
                <w:rFonts w:eastAsia="Times New Roman" w:cs="Times New Roman"/>
                <w:b/>
                <w:bCs/>
                <w:color w:val="000000"/>
                <w:szCs w:val="24"/>
                <w:lang w:eastAsia="lv-LV"/>
              </w:rPr>
            </w:pPr>
            <w:r w:rsidRPr="006E5888">
              <w:rPr>
                <w:rFonts w:eastAsia="Times New Roman" w:cs="Times New Roman"/>
                <w:b/>
                <w:bCs/>
                <w:color w:val="000000"/>
                <w:szCs w:val="24"/>
                <w:lang w:eastAsia="lv-LV"/>
              </w:rPr>
              <w:t>2017</w:t>
            </w:r>
          </w:p>
        </w:tc>
        <w:tc>
          <w:tcPr>
            <w:tcW w:w="1701" w:type="dxa"/>
            <w:shd w:val="clear" w:color="auto" w:fill="D9D9D9" w:themeFill="background1" w:themeFillShade="D9"/>
            <w:noWrap/>
            <w:vAlign w:val="bottom"/>
            <w:hideMark/>
          </w:tcPr>
          <w:p w:rsidR="000E1E6C" w:rsidRPr="006E5888" w:rsidRDefault="000E1E6C" w:rsidP="00BE39AF">
            <w:pPr>
              <w:jc w:val="center"/>
              <w:rPr>
                <w:rFonts w:eastAsia="Times New Roman" w:cs="Times New Roman"/>
                <w:b/>
                <w:bCs/>
                <w:color w:val="000000"/>
                <w:szCs w:val="24"/>
                <w:lang w:eastAsia="lv-LV"/>
              </w:rPr>
            </w:pPr>
            <w:r w:rsidRPr="006E5888">
              <w:rPr>
                <w:rFonts w:eastAsia="Times New Roman" w:cs="Times New Roman"/>
                <w:b/>
                <w:bCs/>
                <w:color w:val="000000"/>
                <w:szCs w:val="24"/>
                <w:lang w:eastAsia="lv-LV"/>
              </w:rPr>
              <w:t>2018</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rPr>
                <w:rFonts w:eastAsia="Times New Roman" w:cs="Times New Roman"/>
                <w:b/>
                <w:bCs/>
                <w:color w:val="000000"/>
                <w:szCs w:val="24"/>
                <w:lang w:eastAsia="lv-LV"/>
              </w:rPr>
            </w:pPr>
            <w:proofErr w:type="spellStart"/>
            <w:r w:rsidRPr="006E5888">
              <w:rPr>
                <w:rFonts w:eastAsia="Times New Roman" w:cs="Times New Roman"/>
                <w:b/>
                <w:bCs/>
                <w:color w:val="000000"/>
                <w:szCs w:val="24"/>
                <w:lang w:eastAsia="lv-LV"/>
              </w:rPr>
              <w:t>A</w:t>
            </w:r>
            <w:r w:rsidR="00BE39AF" w:rsidRPr="006E5888">
              <w:rPr>
                <w:rFonts w:eastAsia="Times New Roman" w:cs="Times New Roman"/>
                <w:b/>
                <w:bCs/>
                <w:color w:val="000000"/>
                <w:szCs w:val="24"/>
                <w:lang w:eastAsia="lv-LV"/>
              </w:rPr>
              <w:t>i</w:t>
            </w:r>
            <w:r w:rsidRPr="006E5888">
              <w:rPr>
                <w:rFonts w:eastAsia="Times New Roman" w:cs="Times New Roman"/>
                <w:b/>
                <w:bCs/>
                <w:color w:val="000000"/>
                <w:szCs w:val="24"/>
                <w:lang w:eastAsia="lv-LV"/>
              </w:rPr>
              <w:t>M</w:t>
            </w:r>
            <w:proofErr w:type="spellEnd"/>
          </w:p>
        </w:tc>
        <w:tc>
          <w:tcPr>
            <w:tcW w:w="1984"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17 490 708</w:t>
            </w:r>
          </w:p>
        </w:tc>
        <w:tc>
          <w:tcPr>
            <w:tcW w:w="1701"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20 070 830</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Apstākļu aktualizācija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15 732 878</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18 313 000</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Izdevumu neizpildes</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1 757 830</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1 757 830</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rPr>
                <w:rFonts w:eastAsia="Times New Roman" w:cs="Times New Roman"/>
                <w:b/>
                <w:bCs/>
                <w:color w:val="000000"/>
                <w:szCs w:val="24"/>
                <w:lang w:eastAsia="lv-LV"/>
              </w:rPr>
            </w:pPr>
            <w:r w:rsidRPr="006E5888">
              <w:rPr>
                <w:rFonts w:eastAsia="Times New Roman" w:cs="Times New Roman"/>
                <w:b/>
                <w:bCs/>
                <w:color w:val="000000"/>
                <w:szCs w:val="24"/>
                <w:lang w:eastAsia="lv-LV"/>
              </w:rPr>
              <w:t>VARAM</w:t>
            </w:r>
          </w:p>
        </w:tc>
        <w:tc>
          <w:tcPr>
            <w:tcW w:w="1984"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14 929 737</w:t>
            </w:r>
          </w:p>
        </w:tc>
        <w:tc>
          <w:tcPr>
            <w:tcW w:w="1701"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14 139 012</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Izdevumu pārdales</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13 050 000</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13 050 000</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Apstākļu aktualizācija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790 493</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Politikas maiņa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451 015</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451 015</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Sasaiste ar rezultātiem</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445 000</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445 000</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Apkure un degviela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193 229</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192 997</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rPr>
                <w:rFonts w:eastAsia="Times New Roman" w:cs="Times New Roman"/>
                <w:b/>
                <w:bCs/>
                <w:color w:val="000000"/>
                <w:szCs w:val="24"/>
                <w:lang w:eastAsia="lv-LV"/>
              </w:rPr>
            </w:pPr>
            <w:r w:rsidRPr="006E5888">
              <w:rPr>
                <w:rFonts w:eastAsia="Times New Roman" w:cs="Times New Roman"/>
                <w:b/>
                <w:bCs/>
                <w:color w:val="000000"/>
                <w:szCs w:val="24"/>
                <w:lang w:eastAsia="lv-LV"/>
              </w:rPr>
              <w:t>IZM</w:t>
            </w:r>
          </w:p>
        </w:tc>
        <w:tc>
          <w:tcPr>
            <w:tcW w:w="1984"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10 094 430</w:t>
            </w:r>
          </w:p>
        </w:tc>
        <w:tc>
          <w:tcPr>
            <w:tcW w:w="1701"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8 896 673</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Izdevumu pārdales</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7 015 043</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6 754 170</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Apstākļu aktualizācija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2 785 996</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1 849 112</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Apkure un degviela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293 391</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293 391</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rPr>
                <w:rFonts w:eastAsia="Times New Roman" w:cs="Times New Roman"/>
                <w:b/>
                <w:bCs/>
                <w:color w:val="000000"/>
                <w:szCs w:val="24"/>
                <w:lang w:eastAsia="lv-LV"/>
              </w:rPr>
            </w:pPr>
            <w:r w:rsidRPr="006E5888">
              <w:rPr>
                <w:rFonts w:eastAsia="Times New Roman" w:cs="Times New Roman"/>
                <w:b/>
                <w:bCs/>
                <w:color w:val="000000"/>
                <w:szCs w:val="24"/>
                <w:lang w:eastAsia="lv-LV"/>
              </w:rPr>
              <w:t>SM</w:t>
            </w:r>
          </w:p>
        </w:tc>
        <w:tc>
          <w:tcPr>
            <w:tcW w:w="1984"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9 389 714</w:t>
            </w:r>
          </w:p>
        </w:tc>
        <w:tc>
          <w:tcPr>
            <w:tcW w:w="1701"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9 389 714</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Ieņēmumu neizpilde</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7 143 757</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7 143 757</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Politikas maiņa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2 199 819</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2 199 819</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Apkure un degviela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46 138</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46 138</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rPr>
                <w:rFonts w:eastAsia="Times New Roman" w:cs="Times New Roman"/>
                <w:b/>
                <w:bCs/>
                <w:color w:val="000000"/>
                <w:szCs w:val="24"/>
                <w:lang w:eastAsia="lv-LV"/>
              </w:rPr>
            </w:pPr>
            <w:r w:rsidRPr="006E5888">
              <w:rPr>
                <w:rFonts w:eastAsia="Times New Roman" w:cs="Times New Roman"/>
                <w:b/>
                <w:bCs/>
                <w:color w:val="000000"/>
                <w:szCs w:val="24"/>
                <w:lang w:eastAsia="lv-LV"/>
              </w:rPr>
              <w:t>FM</w:t>
            </w:r>
          </w:p>
        </w:tc>
        <w:tc>
          <w:tcPr>
            <w:tcW w:w="1984"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3 398 890</w:t>
            </w:r>
          </w:p>
        </w:tc>
        <w:tc>
          <w:tcPr>
            <w:tcW w:w="1701"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1 052 023</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Apstākļu aktualizācija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2 354 997</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Apkure un degviela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587 152</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595 282</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Politikas maiņa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232 607</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232 607</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Izdevumu neizpildes</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224 134</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224 134</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rPr>
                <w:rFonts w:eastAsia="Times New Roman" w:cs="Times New Roman"/>
                <w:b/>
                <w:bCs/>
                <w:color w:val="000000"/>
                <w:szCs w:val="24"/>
                <w:lang w:eastAsia="lv-LV"/>
              </w:rPr>
            </w:pPr>
            <w:r w:rsidRPr="006E5888">
              <w:rPr>
                <w:rFonts w:eastAsia="Times New Roman" w:cs="Times New Roman"/>
                <w:b/>
                <w:bCs/>
                <w:color w:val="000000"/>
                <w:szCs w:val="24"/>
                <w:lang w:eastAsia="lv-LV"/>
              </w:rPr>
              <w:t>IeM</w:t>
            </w:r>
          </w:p>
        </w:tc>
        <w:tc>
          <w:tcPr>
            <w:tcW w:w="1984"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2 397 956</w:t>
            </w:r>
          </w:p>
        </w:tc>
        <w:tc>
          <w:tcPr>
            <w:tcW w:w="1701"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2 304 369</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Apkure un degviela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1 517 076</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1 517 076</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Sasaiste ar rezultātiem</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880 880</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787 293</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rPr>
                <w:rFonts w:eastAsia="Times New Roman" w:cs="Times New Roman"/>
                <w:b/>
                <w:bCs/>
                <w:color w:val="000000"/>
                <w:szCs w:val="24"/>
                <w:lang w:eastAsia="lv-LV"/>
              </w:rPr>
            </w:pPr>
            <w:r w:rsidRPr="006E5888">
              <w:rPr>
                <w:rFonts w:eastAsia="Times New Roman" w:cs="Times New Roman"/>
                <w:b/>
                <w:bCs/>
                <w:color w:val="000000"/>
                <w:szCs w:val="24"/>
                <w:lang w:eastAsia="lv-LV"/>
              </w:rPr>
              <w:t>KM</w:t>
            </w:r>
          </w:p>
        </w:tc>
        <w:tc>
          <w:tcPr>
            <w:tcW w:w="1984"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1 873 694</w:t>
            </w:r>
          </w:p>
        </w:tc>
        <w:tc>
          <w:tcPr>
            <w:tcW w:w="1701"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1 873 694</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Politikas maiņa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1 020 000</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1 020 000</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Apkure un degviela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607 787</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607 787</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Ieņēmumu neizpilde</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245 907</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245 907</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rPr>
                <w:rFonts w:eastAsia="Times New Roman" w:cs="Times New Roman"/>
                <w:b/>
                <w:bCs/>
                <w:color w:val="000000"/>
                <w:szCs w:val="24"/>
                <w:lang w:eastAsia="lv-LV"/>
              </w:rPr>
            </w:pPr>
            <w:r w:rsidRPr="006E5888">
              <w:rPr>
                <w:rFonts w:eastAsia="Times New Roman" w:cs="Times New Roman"/>
                <w:b/>
                <w:bCs/>
                <w:color w:val="000000"/>
                <w:szCs w:val="24"/>
                <w:lang w:eastAsia="lv-LV"/>
              </w:rPr>
              <w:t>TM</w:t>
            </w:r>
          </w:p>
        </w:tc>
        <w:tc>
          <w:tcPr>
            <w:tcW w:w="1984"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1 678 475</w:t>
            </w:r>
          </w:p>
        </w:tc>
        <w:tc>
          <w:tcPr>
            <w:tcW w:w="1701"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1 680 296</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Pārdales no JPI</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819 647</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819 647</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Apkure un degviela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808 828</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810 649</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Politikas maiņa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50 000</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50 000</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rPr>
                <w:rFonts w:eastAsia="Times New Roman" w:cs="Times New Roman"/>
                <w:b/>
                <w:bCs/>
                <w:color w:val="000000"/>
                <w:szCs w:val="24"/>
                <w:lang w:eastAsia="lv-LV"/>
              </w:rPr>
            </w:pPr>
            <w:r w:rsidRPr="006E5888">
              <w:rPr>
                <w:rFonts w:eastAsia="Times New Roman" w:cs="Times New Roman"/>
                <w:b/>
                <w:bCs/>
                <w:color w:val="000000"/>
                <w:szCs w:val="24"/>
                <w:lang w:eastAsia="lv-LV"/>
              </w:rPr>
              <w:t>EM</w:t>
            </w:r>
          </w:p>
        </w:tc>
        <w:tc>
          <w:tcPr>
            <w:tcW w:w="1984"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1 237 417</w:t>
            </w:r>
          </w:p>
        </w:tc>
        <w:tc>
          <w:tcPr>
            <w:tcW w:w="1701"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1 236 700</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Ieņēmumu neizpilde</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656 888</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656 888</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Izdevumu neizpildes</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460 237</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460 237</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Apkure un degviela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120 292</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119 575</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rPr>
                <w:rFonts w:eastAsia="Times New Roman" w:cs="Times New Roman"/>
                <w:b/>
                <w:bCs/>
                <w:color w:val="000000"/>
                <w:szCs w:val="24"/>
                <w:lang w:eastAsia="lv-LV"/>
              </w:rPr>
            </w:pPr>
            <w:r w:rsidRPr="006E5888">
              <w:rPr>
                <w:rFonts w:eastAsia="Times New Roman" w:cs="Times New Roman"/>
                <w:b/>
                <w:bCs/>
                <w:color w:val="000000"/>
                <w:szCs w:val="24"/>
                <w:lang w:eastAsia="lv-LV"/>
              </w:rPr>
              <w:t>ZM</w:t>
            </w:r>
          </w:p>
        </w:tc>
        <w:tc>
          <w:tcPr>
            <w:tcW w:w="1984"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602 383</w:t>
            </w:r>
          </w:p>
        </w:tc>
        <w:tc>
          <w:tcPr>
            <w:tcW w:w="1701"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449 966</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Apkure un degviela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532 351</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384 698</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Politikas maiņa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50 032</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45 268</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Apstākļu aktualizācija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20 000</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20 000</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rPr>
                <w:rFonts w:eastAsia="Times New Roman" w:cs="Times New Roman"/>
                <w:b/>
                <w:bCs/>
                <w:color w:val="000000"/>
                <w:szCs w:val="24"/>
                <w:lang w:eastAsia="lv-LV"/>
              </w:rPr>
            </w:pPr>
            <w:r w:rsidRPr="006E5888">
              <w:rPr>
                <w:rFonts w:eastAsia="Times New Roman" w:cs="Times New Roman"/>
                <w:b/>
                <w:bCs/>
                <w:color w:val="000000"/>
                <w:szCs w:val="24"/>
                <w:lang w:eastAsia="lv-LV"/>
              </w:rPr>
              <w:t>VM</w:t>
            </w:r>
          </w:p>
        </w:tc>
        <w:tc>
          <w:tcPr>
            <w:tcW w:w="1984"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531 626</w:t>
            </w:r>
          </w:p>
        </w:tc>
        <w:tc>
          <w:tcPr>
            <w:tcW w:w="1701"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531 626</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Izdevumu neizpildes</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462 427</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462 427</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Apkure un degviela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69 199</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69 199</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rPr>
                <w:rFonts w:eastAsia="Times New Roman" w:cs="Times New Roman"/>
                <w:b/>
                <w:bCs/>
                <w:color w:val="000000"/>
                <w:szCs w:val="24"/>
                <w:lang w:eastAsia="lv-LV"/>
              </w:rPr>
            </w:pPr>
            <w:r w:rsidRPr="006E5888">
              <w:rPr>
                <w:rFonts w:eastAsia="Times New Roman" w:cs="Times New Roman"/>
                <w:b/>
                <w:bCs/>
                <w:color w:val="000000"/>
                <w:szCs w:val="24"/>
                <w:lang w:eastAsia="lv-LV"/>
              </w:rPr>
              <w:t>ĀM</w:t>
            </w:r>
          </w:p>
        </w:tc>
        <w:tc>
          <w:tcPr>
            <w:tcW w:w="1984"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388 370</w:t>
            </w:r>
          </w:p>
        </w:tc>
        <w:tc>
          <w:tcPr>
            <w:tcW w:w="1701"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388 370</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lastRenderedPageBreak/>
              <w:t>Politikas maiņa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250 000</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250 000</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Apkure un degviela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78 370</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78 370</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Izdevumu neizpildes</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60 000</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60 000</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rPr>
                <w:rFonts w:eastAsia="Times New Roman" w:cs="Times New Roman"/>
                <w:b/>
                <w:bCs/>
                <w:color w:val="000000"/>
                <w:szCs w:val="24"/>
                <w:lang w:eastAsia="lv-LV"/>
              </w:rPr>
            </w:pPr>
            <w:r w:rsidRPr="006E5888">
              <w:rPr>
                <w:rFonts w:eastAsia="Times New Roman" w:cs="Times New Roman"/>
                <w:b/>
                <w:bCs/>
                <w:color w:val="000000"/>
                <w:szCs w:val="24"/>
                <w:lang w:eastAsia="lv-LV"/>
              </w:rPr>
              <w:t>LM</w:t>
            </w:r>
          </w:p>
        </w:tc>
        <w:tc>
          <w:tcPr>
            <w:tcW w:w="1984"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231 290</w:t>
            </w:r>
          </w:p>
        </w:tc>
        <w:tc>
          <w:tcPr>
            <w:tcW w:w="1701" w:type="dxa"/>
            <w:shd w:val="clear" w:color="auto" w:fill="auto"/>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225 786</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Sasaiste ar rezultātiem</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213 562</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213 562</w:t>
            </w:r>
          </w:p>
        </w:tc>
      </w:tr>
      <w:tr w:rsidR="000E1E6C" w:rsidRPr="006E5888" w:rsidTr="00BE39AF">
        <w:trPr>
          <w:trHeight w:val="20"/>
          <w:jc w:val="center"/>
        </w:trPr>
        <w:tc>
          <w:tcPr>
            <w:tcW w:w="5665" w:type="dxa"/>
            <w:shd w:val="clear" w:color="auto" w:fill="auto"/>
            <w:noWrap/>
            <w:vAlign w:val="bottom"/>
            <w:hideMark/>
          </w:tcPr>
          <w:p w:rsidR="000E1E6C" w:rsidRPr="006E5888" w:rsidRDefault="000E1E6C" w:rsidP="00BE39AF">
            <w:pPr>
              <w:ind w:firstLineChars="100" w:firstLine="240"/>
              <w:rPr>
                <w:rFonts w:eastAsia="Times New Roman" w:cs="Times New Roman"/>
                <w:color w:val="000000"/>
                <w:szCs w:val="24"/>
                <w:lang w:eastAsia="lv-LV"/>
              </w:rPr>
            </w:pPr>
            <w:r w:rsidRPr="006E5888">
              <w:rPr>
                <w:rFonts w:eastAsia="Times New Roman" w:cs="Times New Roman"/>
                <w:color w:val="000000"/>
                <w:szCs w:val="24"/>
                <w:lang w:eastAsia="lv-LV"/>
              </w:rPr>
              <w:t>Apkure un degviela</w:t>
            </w:r>
          </w:p>
        </w:tc>
        <w:tc>
          <w:tcPr>
            <w:tcW w:w="1984"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17 728</w:t>
            </w:r>
          </w:p>
        </w:tc>
        <w:tc>
          <w:tcPr>
            <w:tcW w:w="1701" w:type="dxa"/>
            <w:shd w:val="clear" w:color="auto" w:fill="auto"/>
            <w:noWrap/>
            <w:vAlign w:val="bottom"/>
            <w:hideMark/>
          </w:tcPr>
          <w:p w:rsidR="000E1E6C" w:rsidRPr="006E5888" w:rsidRDefault="000E1E6C" w:rsidP="00BE39AF">
            <w:pPr>
              <w:jc w:val="right"/>
              <w:rPr>
                <w:rFonts w:eastAsia="Times New Roman" w:cs="Times New Roman"/>
                <w:color w:val="000000"/>
                <w:szCs w:val="24"/>
                <w:lang w:eastAsia="lv-LV"/>
              </w:rPr>
            </w:pPr>
            <w:r w:rsidRPr="006E5888">
              <w:rPr>
                <w:rFonts w:eastAsia="Times New Roman" w:cs="Times New Roman"/>
                <w:color w:val="000000"/>
                <w:szCs w:val="24"/>
                <w:lang w:eastAsia="lv-LV"/>
              </w:rPr>
              <w:t>12 224</w:t>
            </w:r>
          </w:p>
        </w:tc>
      </w:tr>
      <w:tr w:rsidR="000E1E6C" w:rsidRPr="006E5888" w:rsidTr="00BE39AF">
        <w:trPr>
          <w:trHeight w:val="20"/>
          <w:jc w:val="center"/>
        </w:trPr>
        <w:tc>
          <w:tcPr>
            <w:tcW w:w="5665" w:type="dxa"/>
            <w:shd w:val="clear" w:color="auto" w:fill="D9D9D9" w:themeFill="background1" w:themeFillShade="D9"/>
            <w:noWrap/>
            <w:vAlign w:val="bottom"/>
            <w:hideMark/>
          </w:tcPr>
          <w:p w:rsidR="000E1E6C" w:rsidRPr="006E5888" w:rsidRDefault="00BE39AF"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KOPĀ:</w:t>
            </w:r>
          </w:p>
        </w:tc>
        <w:tc>
          <w:tcPr>
            <w:tcW w:w="1984" w:type="dxa"/>
            <w:shd w:val="clear" w:color="auto" w:fill="D9D9D9" w:themeFill="background1" w:themeFillShade="D9"/>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64 244 690</w:t>
            </w:r>
          </w:p>
        </w:tc>
        <w:tc>
          <w:tcPr>
            <w:tcW w:w="1701" w:type="dxa"/>
            <w:shd w:val="clear" w:color="auto" w:fill="D9D9D9" w:themeFill="background1" w:themeFillShade="D9"/>
            <w:noWrap/>
            <w:vAlign w:val="bottom"/>
            <w:hideMark/>
          </w:tcPr>
          <w:p w:rsidR="000E1E6C" w:rsidRPr="006E5888" w:rsidRDefault="000E1E6C" w:rsidP="00BE39AF">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62 239 059</w:t>
            </w:r>
          </w:p>
        </w:tc>
      </w:tr>
    </w:tbl>
    <w:p w:rsidR="00CF5C8C" w:rsidRPr="006E5888" w:rsidRDefault="00573B47" w:rsidP="00BE39AF">
      <w:pPr>
        <w:spacing w:before="240" w:after="120"/>
        <w:ind w:firstLine="709"/>
        <w:jc w:val="both"/>
        <w:rPr>
          <w:szCs w:val="24"/>
        </w:rPr>
      </w:pPr>
      <w:r w:rsidRPr="006E5888">
        <w:rPr>
          <w:szCs w:val="24"/>
        </w:rPr>
        <w:t>Detalizēti izdevumu pārskatīšanas rezultāti sadalījumā pa ministrijām un ministriju programmām un apakšprogrammām pievienoti informatīvā ziņojuma pielikumā Nr.3.</w:t>
      </w:r>
    </w:p>
    <w:p w:rsidR="00F53CA4" w:rsidRPr="006E5888" w:rsidRDefault="00BB694D" w:rsidP="00E76E05">
      <w:pPr>
        <w:pStyle w:val="Heading2"/>
        <w:spacing w:before="240" w:after="120"/>
        <w:rPr>
          <w:rFonts w:ascii="Times New Roman" w:hAnsi="Times New Roman" w:cs="Times New Roman"/>
          <w:b/>
          <w:color w:val="auto"/>
          <w:sz w:val="24"/>
          <w:szCs w:val="24"/>
        </w:rPr>
      </w:pPr>
      <w:r w:rsidRPr="006E5888">
        <w:rPr>
          <w:rFonts w:ascii="Times New Roman" w:hAnsi="Times New Roman" w:cs="Times New Roman"/>
          <w:b/>
          <w:color w:val="auto"/>
          <w:sz w:val="24"/>
          <w:szCs w:val="24"/>
        </w:rPr>
        <w:t xml:space="preserve"> </w:t>
      </w:r>
      <w:bookmarkStart w:id="4" w:name="_Toc451340342"/>
      <w:r w:rsidR="00F72914" w:rsidRPr="006E5888">
        <w:rPr>
          <w:rFonts w:ascii="Times New Roman" w:hAnsi="Times New Roman" w:cs="Times New Roman"/>
          <w:b/>
          <w:color w:val="auto"/>
          <w:sz w:val="24"/>
          <w:szCs w:val="24"/>
        </w:rPr>
        <w:t xml:space="preserve">4.1. </w:t>
      </w:r>
      <w:r w:rsidRPr="006E5888">
        <w:rPr>
          <w:rFonts w:ascii="Times New Roman" w:hAnsi="Times New Roman" w:cs="Times New Roman"/>
          <w:b/>
          <w:color w:val="auto"/>
          <w:sz w:val="24"/>
          <w:szCs w:val="24"/>
        </w:rPr>
        <w:t>VALSTS BUDŽETA ELASTĪBAS INSTRUMENTU ANALĪZE</w:t>
      </w:r>
      <w:bookmarkEnd w:id="4"/>
    </w:p>
    <w:p w:rsidR="001B68FF" w:rsidRPr="006E5888" w:rsidRDefault="001B68FF" w:rsidP="00E02690">
      <w:pPr>
        <w:tabs>
          <w:tab w:val="left" w:pos="1010"/>
        </w:tabs>
        <w:spacing w:before="120"/>
        <w:ind w:firstLine="709"/>
        <w:jc w:val="both"/>
        <w:rPr>
          <w:szCs w:val="24"/>
        </w:rPr>
      </w:pPr>
      <w:r w:rsidRPr="006E5888">
        <w:rPr>
          <w:szCs w:val="24"/>
        </w:rPr>
        <w:t>Budžeta plānošanas un izpildes procesā ir svarīgi nodrošināt optimālo budž</w:t>
      </w:r>
      <w:r w:rsidR="00E76E05" w:rsidRPr="006E5888">
        <w:rPr>
          <w:szCs w:val="24"/>
        </w:rPr>
        <w:t>eta elastības pakāpi</w:t>
      </w:r>
      <w:r w:rsidRPr="006E5888">
        <w:rPr>
          <w:szCs w:val="24"/>
        </w:rPr>
        <w:t xml:space="preserve"> – spēju operatīvi reaģēt uz izmaiņām valstī un iestādes darbībā, atbilstošajā līmenī lemjot par nepieciešamajām budžeta pārdalēm. </w:t>
      </w:r>
    </w:p>
    <w:p w:rsidR="001B68FF" w:rsidRPr="006E5888" w:rsidRDefault="001B68FF" w:rsidP="00E02690">
      <w:pPr>
        <w:tabs>
          <w:tab w:val="left" w:pos="1010"/>
        </w:tabs>
        <w:ind w:firstLine="709"/>
        <w:jc w:val="both"/>
        <w:rPr>
          <w:szCs w:val="24"/>
        </w:rPr>
      </w:pPr>
      <w:r w:rsidRPr="006E5888">
        <w:rPr>
          <w:szCs w:val="24"/>
        </w:rPr>
        <w:t>Šobrīd LBFV paredz vairākus instrumentus, ar kuru palīdzību tiek nodrošināta valsts budžeta līdzekļu elastīga izmantošana un apropriāciju izmaiņas kā iestāžu operacionālajā līmenī, tā arī valsts līmenī. Valsts budžeta izpildē šobrīd izveidotā sistēma nodrošina elastību valsts budžeta līdzekļu pārdalē. Šādi budžeta elastības elementi ļauj pārdalīt līdzekļus gan vienas ministrijas budžeta ietvaros, gan starp ministrijām, ja tas nepieciešams funkciju pārdales vai strukturālo reformu gadījumā.</w:t>
      </w:r>
    </w:p>
    <w:p w:rsidR="00111BAC" w:rsidRPr="006E5888" w:rsidRDefault="00A222FB" w:rsidP="00E02690">
      <w:pPr>
        <w:tabs>
          <w:tab w:val="left" w:pos="1010"/>
        </w:tabs>
        <w:ind w:firstLine="709"/>
        <w:jc w:val="both"/>
        <w:rPr>
          <w:szCs w:val="24"/>
        </w:rPr>
      </w:pPr>
      <w:r w:rsidRPr="006E5888">
        <w:rPr>
          <w:szCs w:val="24"/>
        </w:rPr>
        <w:t>Vienlaikus b</w:t>
      </w:r>
      <w:r w:rsidR="001B68FF" w:rsidRPr="006E5888">
        <w:rPr>
          <w:szCs w:val="24"/>
        </w:rPr>
        <w:t>udžeta elastība nesamazina budžeta izpildītāju atbildību par līdzekļu racionālu izmantošanu atbilstoši noteiktajiem mērķiem. Gluži otrādi, budžeta izpildītājiem tiek nodrošināts instruments, ar kura palīdzību nepieciešamības gadījumā efektīvi var reaģēt uz izmaiņām apkārtējās vides faktoros un izmantot valsts budžeta līdzekļus maksimāli efektīvākajā veidā.</w:t>
      </w:r>
    </w:p>
    <w:p w:rsidR="00F53CA4" w:rsidRPr="006E5888" w:rsidRDefault="00F501E1" w:rsidP="00E02690">
      <w:pPr>
        <w:tabs>
          <w:tab w:val="left" w:pos="1010"/>
          <w:tab w:val="left" w:pos="8789"/>
        </w:tabs>
        <w:ind w:firstLine="709"/>
        <w:jc w:val="both"/>
      </w:pPr>
      <w:r w:rsidRPr="006E5888">
        <w:t>Attēlā Nr.</w:t>
      </w:r>
      <w:r w:rsidR="00402547" w:rsidRPr="006E5888">
        <w:t>5</w:t>
      </w:r>
      <w:r w:rsidRPr="006E5888">
        <w:t xml:space="preserve"> redzams ministriju veikto pārdaļu skaits 2015.gadā</w:t>
      </w:r>
      <w:r w:rsidR="00402547" w:rsidRPr="006E5888">
        <w:t>. P</w:t>
      </w:r>
      <w:r w:rsidRPr="006E5888">
        <w:t>iemērām, vislielākais pārdaļu skaits 2015.gadā ir bijis IZM – 2015.gada laikā veikusi</w:t>
      </w:r>
      <w:r w:rsidR="00E0105C" w:rsidRPr="006E5888">
        <w:t xml:space="preserve"> kopumā 115 pārdales (t.sk.</w:t>
      </w:r>
      <w:r w:rsidRPr="006E5888">
        <w:t xml:space="preserve"> iekšējās pārdales programmā un pārdales starp divām programmām), savukārt SM 2015.g</w:t>
      </w:r>
      <w:r w:rsidR="0029277F" w:rsidRPr="006E5888">
        <w:t xml:space="preserve">adā veikusi tikai 11 pārdales. </w:t>
      </w:r>
    </w:p>
    <w:p w:rsidR="000F7723" w:rsidRPr="006E5888" w:rsidRDefault="000F7723" w:rsidP="00054844">
      <w:pPr>
        <w:tabs>
          <w:tab w:val="left" w:pos="567"/>
          <w:tab w:val="left" w:pos="709"/>
          <w:tab w:val="left" w:pos="1010"/>
          <w:tab w:val="left" w:pos="8789"/>
        </w:tabs>
        <w:spacing w:before="120" w:after="120"/>
        <w:jc w:val="center"/>
        <w:rPr>
          <w:sz w:val="22"/>
        </w:rPr>
      </w:pPr>
      <w:r w:rsidRPr="006E5888">
        <w:rPr>
          <w:noProof/>
          <w:sz w:val="22"/>
          <w:lang w:eastAsia="lv-LV"/>
        </w:rPr>
        <w:drawing>
          <wp:inline distT="0" distB="0" distL="0" distR="0" wp14:anchorId="5A6B1600" wp14:editId="5937EA1F">
            <wp:extent cx="5097249" cy="2984602"/>
            <wp:effectExtent l="0" t="0" r="8255"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7958" cy="3037715"/>
                    </a:xfrm>
                    <a:prstGeom prst="rect">
                      <a:avLst/>
                    </a:prstGeom>
                    <a:noFill/>
                  </pic:spPr>
                </pic:pic>
              </a:graphicData>
            </a:graphic>
          </wp:inline>
        </w:drawing>
      </w:r>
    </w:p>
    <w:p w:rsidR="00111BAC" w:rsidRPr="006E5888" w:rsidRDefault="00402547" w:rsidP="00E0105C">
      <w:pPr>
        <w:tabs>
          <w:tab w:val="left" w:pos="1010"/>
        </w:tabs>
        <w:spacing w:before="240" w:after="120"/>
        <w:jc w:val="center"/>
        <w:rPr>
          <w:b/>
          <w:sz w:val="22"/>
        </w:rPr>
      </w:pPr>
      <w:r w:rsidRPr="006E5888">
        <w:rPr>
          <w:sz w:val="22"/>
        </w:rPr>
        <w:t>5</w:t>
      </w:r>
      <w:r w:rsidR="00705752" w:rsidRPr="006E5888">
        <w:rPr>
          <w:sz w:val="22"/>
        </w:rPr>
        <w:t>.</w:t>
      </w:r>
      <w:r w:rsidR="00705752" w:rsidRPr="006E5888">
        <w:rPr>
          <w:i/>
          <w:sz w:val="22"/>
        </w:rPr>
        <w:t xml:space="preserve">att. </w:t>
      </w:r>
      <w:r w:rsidR="00705752" w:rsidRPr="006E5888">
        <w:rPr>
          <w:b/>
          <w:sz w:val="22"/>
        </w:rPr>
        <w:t>Ministriju veikto pārdaļu skaits 2015.gadā (iekšējās pārdales programmā, pārdales starp divām programmām)</w:t>
      </w:r>
    </w:p>
    <w:p w:rsidR="0029277F" w:rsidRPr="006E5888" w:rsidRDefault="0029277F" w:rsidP="00BE39AF">
      <w:pPr>
        <w:tabs>
          <w:tab w:val="left" w:pos="1010"/>
          <w:tab w:val="left" w:pos="8789"/>
        </w:tabs>
        <w:spacing w:before="240" w:after="120"/>
        <w:ind w:firstLine="709"/>
        <w:jc w:val="both"/>
        <w:rPr>
          <w:szCs w:val="24"/>
        </w:rPr>
      </w:pPr>
      <w:r w:rsidRPr="006E5888">
        <w:lastRenderedPageBreak/>
        <w:t>Savukārt attēlā Nr.</w:t>
      </w:r>
      <w:r w:rsidR="00402547" w:rsidRPr="006E5888">
        <w:t>6</w:t>
      </w:r>
      <w:r w:rsidRPr="006E5888">
        <w:t xml:space="preserve"> redzamas ministriju programmas/apakšprogrammas, kurās 2015.gada laikā veikts vislielākais pārdaļu skaits. Vislielākais pār</w:t>
      </w:r>
      <w:r w:rsidR="00B640DC" w:rsidRPr="006E5888">
        <w:t>daļu skaits (14 pārdales) veikt</w:t>
      </w:r>
      <w:r w:rsidRPr="006E5888">
        <w:t>s IZM pamatbudžeta apakšprogrammā 02.01.00 “Profesionālās izglītības programmu īstenošana” savukārt vismazākais pārdaļu skaits (4 pārdales) veikts SM pamatbudžeta apakšprogrammā 23.06.00 “Valsts autoceļu pārvaldīšana, uzturēšana un atjaunošana”.</w:t>
      </w:r>
    </w:p>
    <w:p w:rsidR="003E7FCD" w:rsidRPr="006E5888" w:rsidRDefault="00386BC1" w:rsidP="00BE39AF">
      <w:pPr>
        <w:tabs>
          <w:tab w:val="left" w:pos="426"/>
          <w:tab w:val="left" w:pos="709"/>
          <w:tab w:val="left" w:pos="851"/>
          <w:tab w:val="left" w:pos="1010"/>
          <w:tab w:val="left" w:pos="8505"/>
          <w:tab w:val="left" w:pos="8647"/>
          <w:tab w:val="left" w:pos="8789"/>
          <w:tab w:val="left" w:pos="8931"/>
        </w:tabs>
        <w:spacing w:before="120"/>
        <w:jc w:val="center"/>
        <w:rPr>
          <w:szCs w:val="24"/>
        </w:rPr>
      </w:pPr>
      <w:r w:rsidRPr="006E5888">
        <w:rPr>
          <w:noProof/>
          <w:szCs w:val="24"/>
          <w:lang w:eastAsia="lv-LV"/>
        </w:rPr>
        <w:drawing>
          <wp:inline distT="0" distB="0" distL="0" distR="0" wp14:anchorId="511D8539" wp14:editId="748CAD00">
            <wp:extent cx="5010209" cy="2772461"/>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18355" cy="2887641"/>
                    </a:xfrm>
                    <a:prstGeom prst="rect">
                      <a:avLst/>
                    </a:prstGeom>
                    <a:noFill/>
                  </pic:spPr>
                </pic:pic>
              </a:graphicData>
            </a:graphic>
          </wp:inline>
        </w:drawing>
      </w:r>
    </w:p>
    <w:p w:rsidR="00FA7AF2" w:rsidRPr="006E5888" w:rsidRDefault="000A7CB0" w:rsidP="00E0105C">
      <w:pPr>
        <w:tabs>
          <w:tab w:val="left" w:pos="1010"/>
        </w:tabs>
        <w:spacing w:before="120" w:after="120"/>
        <w:jc w:val="center"/>
        <w:rPr>
          <w:b/>
          <w:sz w:val="22"/>
        </w:rPr>
      </w:pPr>
      <w:r w:rsidRPr="006E5888">
        <w:rPr>
          <w:sz w:val="22"/>
        </w:rPr>
        <w:t>6</w:t>
      </w:r>
      <w:r w:rsidR="00386BC1" w:rsidRPr="006E5888">
        <w:rPr>
          <w:sz w:val="22"/>
        </w:rPr>
        <w:t>.</w:t>
      </w:r>
      <w:r w:rsidR="00386BC1" w:rsidRPr="006E5888">
        <w:rPr>
          <w:i/>
          <w:sz w:val="22"/>
        </w:rPr>
        <w:t xml:space="preserve">att. </w:t>
      </w:r>
      <w:r w:rsidR="00386BC1" w:rsidRPr="006E5888">
        <w:rPr>
          <w:b/>
          <w:sz w:val="22"/>
        </w:rPr>
        <w:t>Ministriju programmas, kurās 2015.</w:t>
      </w:r>
      <w:r w:rsidR="00E0105C" w:rsidRPr="006E5888">
        <w:rPr>
          <w:b/>
          <w:sz w:val="22"/>
        </w:rPr>
        <w:t>gadā visvairāk veiktas pārdales</w:t>
      </w:r>
    </w:p>
    <w:p w:rsidR="00F501E1" w:rsidRPr="006E5888" w:rsidRDefault="00E720DC" w:rsidP="00921FF2">
      <w:pPr>
        <w:tabs>
          <w:tab w:val="left" w:pos="1010"/>
        </w:tabs>
        <w:spacing w:before="120"/>
        <w:ind w:firstLine="709"/>
        <w:jc w:val="both"/>
        <w:rPr>
          <w:szCs w:val="24"/>
        </w:rPr>
      </w:pPr>
      <w:r w:rsidRPr="006E5888">
        <w:rPr>
          <w:szCs w:val="24"/>
        </w:rPr>
        <w:t>Elastības instrumentu analīzes ietvaros</w:t>
      </w:r>
      <w:r w:rsidR="00036C0B" w:rsidRPr="006E5888">
        <w:rPr>
          <w:szCs w:val="24"/>
        </w:rPr>
        <w:t>,</w:t>
      </w:r>
      <w:r w:rsidR="00054844" w:rsidRPr="006E5888">
        <w:rPr>
          <w:szCs w:val="24"/>
        </w:rPr>
        <w:t xml:space="preserve"> tika veikta ministriju izdevumu pārdaļu analīze, kā arī regulāru izdevumu neizpilžu apzināšana. Tabulā Nr.</w:t>
      </w:r>
      <w:r w:rsidR="001357CA" w:rsidRPr="006E5888">
        <w:rPr>
          <w:szCs w:val="24"/>
        </w:rPr>
        <w:t>10</w:t>
      </w:r>
      <w:r w:rsidR="00054844" w:rsidRPr="006E5888">
        <w:rPr>
          <w:szCs w:val="24"/>
        </w:rPr>
        <w:t xml:space="preserve"> atspoguļot</w:t>
      </w:r>
      <w:r w:rsidR="00DC1696" w:rsidRPr="006E5888">
        <w:rPr>
          <w:szCs w:val="24"/>
        </w:rPr>
        <w:t xml:space="preserve">a informācija </w:t>
      </w:r>
      <w:r w:rsidR="00054844" w:rsidRPr="006E5888">
        <w:rPr>
          <w:szCs w:val="24"/>
        </w:rPr>
        <w:t>par valsts budžeta elastības instrumentu analīzi. Lai iegūtu tabulā norādītās summas, tika ņemta vērā konkrētā budžeta programmas/apakšprogrammas vidējā neizpilde 2013.–2015.gadam, tāpat tika analizētas konkrētajā budžeta programmā/apakšprogrammā veiktās pārdales gan viena gad</w:t>
      </w:r>
      <w:r w:rsidR="00921FF2" w:rsidRPr="006E5888">
        <w:rPr>
          <w:szCs w:val="24"/>
        </w:rPr>
        <w:t>a ietvaros, gan vidējā termiņā.</w:t>
      </w:r>
    </w:p>
    <w:p w:rsidR="00E2223A" w:rsidRPr="006E5888" w:rsidRDefault="008C28C9" w:rsidP="00BE39AF">
      <w:pPr>
        <w:tabs>
          <w:tab w:val="left" w:pos="1010"/>
          <w:tab w:val="left" w:pos="8789"/>
        </w:tabs>
        <w:spacing w:before="120"/>
        <w:jc w:val="right"/>
        <w:rPr>
          <w:szCs w:val="24"/>
        </w:rPr>
      </w:pPr>
      <w:r w:rsidRPr="006E5888">
        <w:rPr>
          <w:szCs w:val="24"/>
        </w:rPr>
        <w:t>Tabula Nr.</w:t>
      </w:r>
      <w:r w:rsidR="001357CA" w:rsidRPr="006E5888">
        <w:rPr>
          <w:szCs w:val="24"/>
        </w:rPr>
        <w:t>10</w:t>
      </w:r>
    </w:p>
    <w:p w:rsidR="00576F6B" w:rsidRPr="006E5888" w:rsidRDefault="00E2223A" w:rsidP="00315D88">
      <w:pPr>
        <w:tabs>
          <w:tab w:val="left" w:pos="1010"/>
        </w:tabs>
        <w:spacing w:before="120" w:after="120"/>
        <w:jc w:val="center"/>
        <w:rPr>
          <w:szCs w:val="24"/>
        </w:rPr>
      </w:pPr>
      <w:r w:rsidRPr="006E5888">
        <w:rPr>
          <w:szCs w:val="24"/>
        </w:rPr>
        <w:t>Kopsavilkums par valsts budžet</w:t>
      </w:r>
      <w:r w:rsidR="00054844" w:rsidRPr="006E5888">
        <w:rPr>
          <w:szCs w:val="24"/>
        </w:rPr>
        <w:t>a elastības instrumentu analīzi</w:t>
      </w:r>
      <w:r w:rsidR="000F07A6" w:rsidRPr="006E5888">
        <w:rPr>
          <w:szCs w:val="24"/>
        </w:rPr>
        <w:t xml:space="preserve">, </w:t>
      </w:r>
      <w:proofErr w:type="spellStart"/>
      <w:r w:rsidR="000F07A6" w:rsidRPr="006E5888">
        <w:rPr>
          <w:i/>
          <w:szCs w:val="24"/>
        </w:rPr>
        <w:t>euro</w:t>
      </w:r>
      <w:proofErr w:type="spellEnd"/>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4820"/>
        <w:gridCol w:w="1700"/>
        <w:gridCol w:w="1418"/>
      </w:tblGrid>
      <w:tr w:rsidR="002C30CD" w:rsidRPr="006E5888" w:rsidTr="00BE39AF">
        <w:trPr>
          <w:trHeight w:val="20"/>
          <w:tblHeader/>
          <w:jc w:val="center"/>
        </w:trPr>
        <w:tc>
          <w:tcPr>
            <w:tcW w:w="1413" w:type="dxa"/>
            <w:shd w:val="clear" w:color="auto" w:fill="D9D9D9" w:themeFill="background1" w:themeFillShade="D9"/>
            <w:vAlign w:val="center"/>
          </w:tcPr>
          <w:p w:rsidR="002C30CD" w:rsidRPr="006E5888" w:rsidRDefault="002C30CD" w:rsidP="002C30CD">
            <w:pPr>
              <w:jc w:val="center"/>
              <w:rPr>
                <w:b/>
              </w:rPr>
            </w:pPr>
            <w:r w:rsidRPr="006E5888">
              <w:rPr>
                <w:b/>
              </w:rPr>
              <w:t>Ministrija</w:t>
            </w:r>
          </w:p>
        </w:tc>
        <w:tc>
          <w:tcPr>
            <w:tcW w:w="4820" w:type="dxa"/>
            <w:shd w:val="clear" w:color="auto" w:fill="D9D9D9" w:themeFill="background1" w:themeFillShade="D9"/>
            <w:noWrap/>
            <w:vAlign w:val="center"/>
            <w:hideMark/>
          </w:tcPr>
          <w:p w:rsidR="002C30CD" w:rsidRPr="006E5888" w:rsidRDefault="002C30CD" w:rsidP="002C30CD">
            <w:pPr>
              <w:jc w:val="center"/>
              <w:rPr>
                <w:b/>
              </w:rPr>
            </w:pPr>
            <w:r w:rsidRPr="006E5888">
              <w:rPr>
                <w:b/>
              </w:rPr>
              <w:t>Budžeta programma/apakšprogramma</w:t>
            </w:r>
          </w:p>
        </w:tc>
        <w:tc>
          <w:tcPr>
            <w:tcW w:w="1700" w:type="dxa"/>
            <w:shd w:val="clear" w:color="auto" w:fill="D9D9D9" w:themeFill="background1" w:themeFillShade="D9"/>
            <w:noWrap/>
            <w:vAlign w:val="center"/>
            <w:hideMark/>
          </w:tcPr>
          <w:p w:rsidR="002C30CD" w:rsidRPr="006E5888" w:rsidRDefault="002C30CD" w:rsidP="002C30CD">
            <w:pPr>
              <w:jc w:val="center"/>
              <w:rPr>
                <w:rFonts w:eastAsia="Times New Roman" w:cs="Times New Roman"/>
                <w:b/>
                <w:bCs/>
                <w:color w:val="000000"/>
                <w:szCs w:val="24"/>
                <w:lang w:eastAsia="lv-LV"/>
              </w:rPr>
            </w:pPr>
            <w:r w:rsidRPr="006E5888">
              <w:rPr>
                <w:rFonts w:eastAsia="Times New Roman" w:cs="Times New Roman"/>
                <w:b/>
                <w:bCs/>
                <w:color w:val="000000"/>
                <w:szCs w:val="24"/>
                <w:lang w:eastAsia="lv-LV"/>
              </w:rPr>
              <w:t>2017</w:t>
            </w:r>
          </w:p>
        </w:tc>
        <w:tc>
          <w:tcPr>
            <w:tcW w:w="1418" w:type="dxa"/>
            <w:shd w:val="clear" w:color="auto" w:fill="D9D9D9" w:themeFill="background1" w:themeFillShade="D9"/>
            <w:noWrap/>
            <w:vAlign w:val="center"/>
            <w:hideMark/>
          </w:tcPr>
          <w:p w:rsidR="002C30CD" w:rsidRPr="006E5888" w:rsidRDefault="002C30CD" w:rsidP="002C30CD">
            <w:pPr>
              <w:jc w:val="center"/>
              <w:rPr>
                <w:rFonts w:eastAsia="Times New Roman" w:cs="Times New Roman"/>
                <w:b/>
                <w:bCs/>
                <w:color w:val="000000"/>
                <w:szCs w:val="24"/>
                <w:lang w:eastAsia="lv-LV"/>
              </w:rPr>
            </w:pPr>
            <w:r w:rsidRPr="006E5888">
              <w:rPr>
                <w:rFonts w:eastAsia="Times New Roman" w:cs="Times New Roman"/>
                <w:b/>
                <w:bCs/>
                <w:color w:val="000000"/>
                <w:szCs w:val="24"/>
                <w:lang w:eastAsia="lv-LV"/>
              </w:rPr>
              <w:t>2018</w:t>
            </w:r>
          </w:p>
        </w:tc>
      </w:tr>
      <w:tr w:rsidR="00315D88" w:rsidRPr="006E5888" w:rsidTr="00D907D0">
        <w:trPr>
          <w:trHeight w:val="20"/>
          <w:jc w:val="center"/>
        </w:trPr>
        <w:tc>
          <w:tcPr>
            <w:tcW w:w="6233" w:type="dxa"/>
            <w:gridSpan w:val="2"/>
          </w:tcPr>
          <w:p w:rsidR="00315D88" w:rsidRPr="006E5888" w:rsidRDefault="00315D88" w:rsidP="00E83C7E">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Izdevumu pārdales</w:t>
            </w:r>
          </w:p>
        </w:tc>
        <w:tc>
          <w:tcPr>
            <w:tcW w:w="1700" w:type="dxa"/>
            <w:shd w:val="clear" w:color="auto" w:fill="auto"/>
            <w:noWrap/>
            <w:vAlign w:val="center"/>
            <w:hideMark/>
          </w:tcPr>
          <w:p w:rsidR="00315D88" w:rsidRPr="006E5888" w:rsidRDefault="00315D88" w:rsidP="00D907D0">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20 065 043</w:t>
            </w:r>
          </w:p>
        </w:tc>
        <w:tc>
          <w:tcPr>
            <w:tcW w:w="1418" w:type="dxa"/>
            <w:shd w:val="clear" w:color="auto" w:fill="auto"/>
            <w:noWrap/>
            <w:vAlign w:val="center"/>
            <w:hideMark/>
          </w:tcPr>
          <w:p w:rsidR="00315D88" w:rsidRPr="006E5888" w:rsidRDefault="00315D88" w:rsidP="00D907D0">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19 804 170</w:t>
            </w:r>
          </w:p>
        </w:tc>
      </w:tr>
      <w:tr w:rsidR="00315D88" w:rsidRPr="006E5888" w:rsidTr="00D907D0">
        <w:trPr>
          <w:trHeight w:val="20"/>
          <w:jc w:val="center"/>
        </w:trPr>
        <w:tc>
          <w:tcPr>
            <w:tcW w:w="1413" w:type="dxa"/>
            <w:vAlign w:val="center"/>
          </w:tcPr>
          <w:p w:rsidR="00315D88" w:rsidRPr="006E5888" w:rsidRDefault="00315D88" w:rsidP="00D907D0">
            <w:pPr>
              <w:rPr>
                <w:rFonts w:eastAsia="Times New Roman" w:cs="Times New Roman"/>
                <w:b/>
                <w:bCs/>
                <w:color w:val="000000"/>
                <w:szCs w:val="24"/>
                <w:lang w:eastAsia="lv-LV"/>
              </w:rPr>
            </w:pPr>
            <w:r w:rsidRPr="006E5888">
              <w:rPr>
                <w:rFonts w:eastAsia="Times New Roman" w:cs="Times New Roman"/>
                <w:b/>
                <w:bCs/>
                <w:color w:val="000000"/>
                <w:szCs w:val="24"/>
                <w:lang w:eastAsia="lv-LV"/>
              </w:rPr>
              <w:t>VARAM</w:t>
            </w:r>
          </w:p>
        </w:tc>
        <w:tc>
          <w:tcPr>
            <w:tcW w:w="4820" w:type="dxa"/>
            <w:shd w:val="clear" w:color="auto" w:fill="auto"/>
            <w:noWrap/>
            <w:vAlign w:val="bottom"/>
            <w:hideMark/>
          </w:tcPr>
          <w:p w:rsidR="00315D88" w:rsidRPr="006E5888" w:rsidRDefault="00315D88" w:rsidP="00E83C7E">
            <w:pPr>
              <w:tabs>
                <w:tab w:val="left" w:pos="564"/>
              </w:tabs>
              <w:jc w:val="both"/>
              <w:rPr>
                <w:rFonts w:eastAsia="Times New Roman" w:cs="Times New Roman"/>
                <w:b/>
                <w:bCs/>
                <w:color w:val="000000"/>
                <w:szCs w:val="24"/>
                <w:lang w:eastAsia="lv-LV"/>
              </w:rPr>
            </w:pPr>
            <w:r w:rsidRPr="006E5888">
              <w:rPr>
                <w:rFonts w:eastAsia="Times New Roman" w:cs="Times New Roman"/>
                <w:color w:val="000000"/>
                <w:szCs w:val="24"/>
                <w:lang w:eastAsia="lv-LV"/>
              </w:rPr>
              <w:t>33.02.00 Emisijas kvotu izsolīšanas instrumenta projekti</w:t>
            </w:r>
          </w:p>
        </w:tc>
        <w:tc>
          <w:tcPr>
            <w:tcW w:w="1700" w:type="dxa"/>
            <w:shd w:val="clear" w:color="auto" w:fill="auto"/>
            <w:noWrap/>
            <w:vAlign w:val="center"/>
            <w:hideMark/>
          </w:tcPr>
          <w:p w:rsidR="00315D88" w:rsidRPr="006E5888" w:rsidRDefault="00315D88" w:rsidP="00D907D0">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13 050 000</w:t>
            </w:r>
          </w:p>
        </w:tc>
        <w:tc>
          <w:tcPr>
            <w:tcW w:w="1418" w:type="dxa"/>
            <w:shd w:val="clear" w:color="auto" w:fill="auto"/>
            <w:noWrap/>
            <w:vAlign w:val="center"/>
            <w:hideMark/>
          </w:tcPr>
          <w:p w:rsidR="00315D88" w:rsidRPr="006E5888" w:rsidRDefault="00315D88" w:rsidP="00D907D0">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13 050 000</w:t>
            </w:r>
          </w:p>
        </w:tc>
      </w:tr>
      <w:tr w:rsidR="00315D88" w:rsidRPr="006E5888" w:rsidTr="00D907D0">
        <w:trPr>
          <w:trHeight w:val="20"/>
          <w:jc w:val="center"/>
        </w:trPr>
        <w:tc>
          <w:tcPr>
            <w:tcW w:w="1413" w:type="dxa"/>
            <w:vMerge w:val="restart"/>
            <w:vAlign w:val="center"/>
          </w:tcPr>
          <w:p w:rsidR="00315D88" w:rsidRPr="006E5888" w:rsidRDefault="00315D88" w:rsidP="00D907D0">
            <w:pPr>
              <w:rPr>
                <w:rFonts w:eastAsia="Times New Roman" w:cs="Times New Roman"/>
                <w:b/>
                <w:bCs/>
                <w:color w:val="000000"/>
                <w:szCs w:val="24"/>
                <w:lang w:eastAsia="lv-LV"/>
              </w:rPr>
            </w:pPr>
            <w:r w:rsidRPr="006E5888">
              <w:rPr>
                <w:rFonts w:eastAsia="Times New Roman" w:cs="Times New Roman"/>
                <w:b/>
                <w:bCs/>
                <w:color w:val="000000"/>
                <w:szCs w:val="24"/>
                <w:lang w:eastAsia="lv-LV"/>
              </w:rPr>
              <w:t>IZM</w:t>
            </w:r>
          </w:p>
        </w:tc>
        <w:tc>
          <w:tcPr>
            <w:tcW w:w="4820" w:type="dxa"/>
            <w:shd w:val="clear" w:color="auto" w:fill="auto"/>
            <w:noWrap/>
            <w:vAlign w:val="bottom"/>
            <w:hideMark/>
          </w:tcPr>
          <w:p w:rsidR="00315D88" w:rsidRPr="006E5888" w:rsidRDefault="00315D88" w:rsidP="00E83C7E">
            <w:pPr>
              <w:jc w:val="both"/>
              <w:rPr>
                <w:rFonts w:eastAsia="Times New Roman" w:cs="Times New Roman"/>
                <w:color w:val="000000"/>
                <w:szCs w:val="24"/>
                <w:lang w:eastAsia="lv-LV"/>
              </w:rPr>
            </w:pPr>
            <w:r w:rsidRPr="006E5888">
              <w:rPr>
                <w:rFonts w:eastAsia="Times New Roman" w:cs="Times New Roman"/>
                <w:color w:val="000000"/>
                <w:szCs w:val="24"/>
                <w:lang w:eastAsia="lv-LV"/>
              </w:rPr>
              <w:t>02.01.00 Profesionālās izglītības programmu īstenošana</w:t>
            </w:r>
          </w:p>
        </w:tc>
        <w:tc>
          <w:tcPr>
            <w:tcW w:w="1700" w:type="dxa"/>
            <w:shd w:val="clear" w:color="auto" w:fill="auto"/>
            <w:noWrap/>
            <w:vAlign w:val="center"/>
            <w:hideMark/>
          </w:tcPr>
          <w:p w:rsidR="00315D88" w:rsidRPr="006E5888" w:rsidRDefault="00315D88" w:rsidP="00D907D0">
            <w:pPr>
              <w:jc w:val="right"/>
              <w:rPr>
                <w:rFonts w:eastAsia="Times New Roman" w:cs="Times New Roman"/>
                <w:color w:val="000000"/>
                <w:szCs w:val="24"/>
                <w:lang w:eastAsia="lv-LV"/>
              </w:rPr>
            </w:pPr>
            <w:r w:rsidRPr="006E5888">
              <w:rPr>
                <w:rFonts w:eastAsia="Times New Roman" w:cs="Times New Roman"/>
                <w:color w:val="000000"/>
                <w:szCs w:val="24"/>
                <w:lang w:eastAsia="lv-LV"/>
              </w:rPr>
              <w:t>4 591 312</w:t>
            </w:r>
          </w:p>
        </w:tc>
        <w:tc>
          <w:tcPr>
            <w:tcW w:w="1418" w:type="dxa"/>
            <w:shd w:val="clear" w:color="auto" w:fill="auto"/>
            <w:noWrap/>
            <w:vAlign w:val="center"/>
            <w:hideMark/>
          </w:tcPr>
          <w:p w:rsidR="00315D88" w:rsidRPr="006E5888" w:rsidRDefault="00315D88" w:rsidP="00D907D0">
            <w:pPr>
              <w:jc w:val="right"/>
              <w:rPr>
                <w:rFonts w:eastAsia="Times New Roman" w:cs="Times New Roman"/>
                <w:color w:val="000000"/>
                <w:szCs w:val="24"/>
                <w:lang w:eastAsia="lv-LV"/>
              </w:rPr>
            </w:pPr>
            <w:r w:rsidRPr="006E5888">
              <w:rPr>
                <w:rFonts w:eastAsia="Times New Roman" w:cs="Times New Roman"/>
                <w:color w:val="000000"/>
                <w:szCs w:val="24"/>
                <w:lang w:eastAsia="lv-LV"/>
              </w:rPr>
              <w:t>4 591 312</w:t>
            </w:r>
          </w:p>
        </w:tc>
      </w:tr>
      <w:tr w:rsidR="00315D88" w:rsidRPr="006E5888" w:rsidTr="00D907D0">
        <w:trPr>
          <w:trHeight w:val="20"/>
          <w:jc w:val="center"/>
        </w:trPr>
        <w:tc>
          <w:tcPr>
            <w:tcW w:w="1413" w:type="dxa"/>
            <w:vMerge/>
            <w:vAlign w:val="center"/>
          </w:tcPr>
          <w:p w:rsidR="00315D88" w:rsidRPr="006E5888" w:rsidRDefault="00315D88" w:rsidP="00D907D0">
            <w:pPr>
              <w:ind w:firstLineChars="200" w:firstLine="480"/>
              <w:rPr>
                <w:rFonts w:eastAsia="Times New Roman" w:cs="Times New Roman"/>
                <w:color w:val="000000"/>
                <w:szCs w:val="24"/>
                <w:lang w:eastAsia="lv-LV"/>
              </w:rPr>
            </w:pPr>
          </w:p>
        </w:tc>
        <w:tc>
          <w:tcPr>
            <w:tcW w:w="4820" w:type="dxa"/>
            <w:shd w:val="clear" w:color="auto" w:fill="auto"/>
            <w:noWrap/>
            <w:vAlign w:val="bottom"/>
            <w:hideMark/>
          </w:tcPr>
          <w:p w:rsidR="00315D88" w:rsidRPr="006E5888" w:rsidRDefault="00315D88" w:rsidP="00E83C7E">
            <w:pPr>
              <w:jc w:val="both"/>
              <w:rPr>
                <w:rFonts w:eastAsia="Times New Roman" w:cs="Times New Roman"/>
                <w:color w:val="000000"/>
                <w:szCs w:val="24"/>
                <w:lang w:eastAsia="lv-LV"/>
              </w:rPr>
            </w:pPr>
            <w:r w:rsidRPr="006E5888">
              <w:rPr>
                <w:rFonts w:eastAsia="Times New Roman" w:cs="Times New Roman"/>
                <w:color w:val="000000"/>
                <w:szCs w:val="24"/>
                <w:lang w:eastAsia="lv-LV"/>
              </w:rPr>
              <w:t>03.04.00 Studējošo un studiju kreditēšana</w:t>
            </w:r>
          </w:p>
        </w:tc>
        <w:tc>
          <w:tcPr>
            <w:tcW w:w="1700" w:type="dxa"/>
            <w:shd w:val="clear" w:color="auto" w:fill="auto"/>
            <w:noWrap/>
            <w:vAlign w:val="center"/>
            <w:hideMark/>
          </w:tcPr>
          <w:p w:rsidR="00315D88" w:rsidRPr="006E5888" w:rsidRDefault="00315D88" w:rsidP="00D907D0">
            <w:pPr>
              <w:jc w:val="right"/>
              <w:rPr>
                <w:rFonts w:eastAsia="Times New Roman" w:cs="Times New Roman"/>
                <w:color w:val="000000"/>
                <w:szCs w:val="24"/>
                <w:lang w:eastAsia="lv-LV"/>
              </w:rPr>
            </w:pPr>
            <w:r w:rsidRPr="006E5888">
              <w:rPr>
                <w:rFonts w:eastAsia="Times New Roman" w:cs="Times New Roman"/>
                <w:color w:val="000000"/>
                <w:szCs w:val="24"/>
                <w:lang w:eastAsia="lv-LV"/>
              </w:rPr>
              <w:t>1 400 869</w:t>
            </w:r>
          </w:p>
        </w:tc>
        <w:tc>
          <w:tcPr>
            <w:tcW w:w="1418" w:type="dxa"/>
            <w:shd w:val="clear" w:color="auto" w:fill="auto"/>
            <w:noWrap/>
            <w:vAlign w:val="center"/>
            <w:hideMark/>
          </w:tcPr>
          <w:p w:rsidR="00315D88" w:rsidRPr="006E5888" w:rsidRDefault="00315D88" w:rsidP="00D907D0">
            <w:pPr>
              <w:jc w:val="right"/>
              <w:rPr>
                <w:rFonts w:eastAsia="Times New Roman" w:cs="Times New Roman"/>
                <w:color w:val="000000"/>
                <w:szCs w:val="24"/>
                <w:lang w:eastAsia="lv-LV"/>
              </w:rPr>
            </w:pPr>
            <w:r w:rsidRPr="006E5888">
              <w:rPr>
                <w:rFonts w:eastAsia="Times New Roman" w:cs="Times New Roman"/>
                <w:color w:val="000000"/>
                <w:szCs w:val="24"/>
                <w:lang w:eastAsia="lv-LV"/>
              </w:rPr>
              <w:t>1 232 507</w:t>
            </w:r>
          </w:p>
        </w:tc>
      </w:tr>
      <w:tr w:rsidR="00315D88" w:rsidRPr="006E5888" w:rsidTr="00D907D0">
        <w:trPr>
          <w:trHeight w:val="20"/>
          <w:jc w:val="center"/>
        </w:trPr>
        <w:tc>
          <w:tcPr>
            <w:tcW w:w="1413" w:type="dxa"/>
            <w:vMerge/>
            <w:vAlign w:val="center"/>
          </w:tcPr>
          <w:p w:rsidR="00315D88" w:rsidRPr="006E5888" w:rsidRDefault="00315D88" w:rsidP="00D907D0">
            <w:pPr>
              <w:ind w:firstLineChars="200" w:firstLine="480"/>
              <w:rPr>
                <w:rFonts w:eastAsia="Times New Roman" w:cs="Times New Roman"/>
                <w:color w:val="000000"/>
                <w:szCs w:val="24"/>
                <w:lang w:eastAsia="lv-LV"/>
              </w:rPr>
            </w:pPr>
          </w:p>
        </w:tc>
        <w:tc>
          <w:tcPr>
            <w:tcW w:w="4820" w:type="dxa"/>
            <w:shd w:val="clear" w:color="auto" w:fill="auto"/>
            <w:noWrap/>
            <w:vAlign w:val="bottom"/>
            <w:hideMark/>
          </w:tcPr>
          <w:p w:rsidR="00315D88" w:rsidRPr="006E5888" w:rsidRDefault="00315D88" w:rsidP="00E83C7E">
            <w:pPr>
              <w:jc w:val="both"/>
              <w:rPr>
                <w:rFonts w:eastAsia="Times New Roman" w:cs="Times New Roman"/>
                <w:color w:val="000000"/>
                <w:szCs w:val="24"/>
                <w:lang w:eastAsia="lv-LV"/>
              </w:rPr>
            </w:pPr>
            <w:r w:rsidRPr="006E5888">
              <w:rPr>
                <w:rFonts w:eastAsia="Times New Roman" w:cs="Times New Roman"/>
                <w:color w:val="000000"/>
                <w:szCs w:val="24"/>
                <w:lang w:eastAsia="lv-LV"/>
              </w:rPr>
              <w:t>09.23.00 Valsta ilgtermiņa saistības sportā – dotācijas Latvijas Olimpiskajai komitejai (LOK) – valsts galvoto aizdevumu atmaksai</w:t>
            </w:r>
          </w:p>
        </w:tc>
        <w:tc>
          <w:tcPr>
            <w:tcW w:w="1700" w:type="dxa"/>
            <w:shd w:val="clear" w:color="auto" w:fill="auto"/>
            <w:noWrap/>
            <w:vAlign w:val="center"/>
            <w:hideMark/>
          </w:tcPr>
          <w:p w:rsidR="00315D88" w:rsidRPr="006E5888" w:rsidRDefault="00315D88" w:rsidP="00D907D0">
            <w:pPr>
              <w:jc w:val="right"/>
              <w:rPr>
                <w:rFonts w:eastAsia="Times New Roman" w:cs="Times New Roman"/>
                <w:color w:val="000000"/>
                <w:szCs w:val="24"/>
                <w:lang w:eastAsia="lv-LV"/>
              </w:rPr>
            </w:pPr>
            <w:r w:rsidRPr="006E5888">
              <w:rPr>
                <w:rFonts w:eastAsia="Times New Roman" w:cs="Times New Roman"/>
                <w:color w:val="000000"/>
                <w:szCs w:val="24"/>
                <w:lang w:eastAsia="lv-LV"/>
              </w:rPr>
              <w:t>667 915</w:t>
            </w:r>
          </w:p>
        </w:tc>
        <w:tc>
          <w:tcPr>
            <w:tcW w:w="1418" w:type="dxa"/>
            <w:shd w:val="clear" w:color="auto" w:fill="auto"/>
            <w:noWrap/>
            <w:vAlign w:val="center"/>
            <w:hideMark/>
          </w:tcPr>
          <w:p w:rsidR="00315D88" w:rsidRPr="006E5888" w:rsidRDefault="00315D88" w:rsidP="00D907D0">
            <w:pPr>
              <w:jc w:val="right"/>
              <w:rPr>
                <w:rFonts w:eastAsia="Times New Roman" w:cs="Times New Roman"/>
                <w:color w:val="000000"/>
                <w:szCs w:val="24"/>
                <w:lang w:eastAsia="lv-LV"/>
              </w:rPr>
            </w:pPr>
            <w:r w:rsidRPr="006E5888">
              <w:rPr>
                <w:rFonts w:eastAsia="Times New Roman" w:cs="Times New Roman"/>
                <w:color w:val="000000"/>
                <w:szCs w:val="24"/>
                <w:lang w:eastAsia="lv-LV"/>
              </w:rPr>
              <w:t>575 404</w:t>
            </w:r>
          </w:p>
        </w:tc>
      </w:tr>
      <w:tr w:rsidR="00315D88" w:rsidRPr="006E5888" w:rsidTr="00D907D0">
        <w:trPr>
          <w:trHeight w:val="20"/>
          <w:jc w:val="center"/>
        </w:trPr>
        <w:tc>
          <w:tcPr>
            <w:tcW w:w="1413" w:type="dxa"/>
            <w:vMerge/>
            <w:vAlign w:val="center"/>
          </w:tcPr>
          <w:p w:rsidR="00315D88" w:rsidRPr="006E5888" w:rsidRDefault="00315D88" w:rsidP="00D907D0">
            <w:pPr>
              <w:ind w:firstLineChars="200" w:firstLine="480"/>
              <w:rPr>
                <w:rFonts w:eastAsia="Times New Roman" w:cs="Times New Roman"/>
                <w:color w:val="000000"/>
                <w:szCs w:val="24"/>
                <w:lang w:eastAsia="lv-LV"/>
              </w:rPr>
            </w:pPr>
          </w:p>
        </w:tc>
        <w:tc>
          <w:tcPr>
            <w:tcW w:w="4820" w:type="dxa"/>
            <w:shd w:val="clear" w:color="auto" w:fill="auto"/>
            <w:noWrap/>
            <w:vAlign w:val="bottom"/>
            <w:hideMark/>
          </w:tcPr>
          <w:p w:rsidR="00315D88" w:rsidRPr="006E5888" w:rsidRDefault="00315D88" w:rsidP="00E83C7E">
            <w:pPr>
              <w:jc w:val="both"/>
              <w:rPr>
                <w:rFonts w:eastAsia="Times New Roman" w:cs="Times New Roman"/>
                <w:color w:val="000000"/>
                <w:szCs w:val="24"/>
                <w:lang w:eastAsia="lv-LV"/>
              </w:rPr>
            </w:pPr>
            <w:r w:rsidRPr="006E5888">
              <w:rPr>
                <w:rFonts w:eastAsia="Times New Roman" w:cs="Times New Roman"/>
                <w:color w:val="000000"/>
                <w:szCs w:val="24"/>
                <w:lang w:eastAsia="lv-LV"/>
              </w:rPr>
              <w:t>07.00.00 Informācijas tehnoloģiju attīstība un uzturēšana izglītībā, Microsoft līguma un projektu nodrošināšana</w:t>
            </w:r>
          </w:p>
        </w:tc>
        <w:tc>
          <w:tcPr>
            <w:tcW w:w="1700" w:type="dxa"/>
            <w:shd w:val="clear" w:color="auto" w:fill="auto"/>
            <w:noWrap/>
            <w:vAlign w:val="center"/>
            <w:hideMark/>
          </w:tcPr>
          <w:p w:rsidR="00315D88" w:rsidRPr="006E5888" w:rsidRDefault="00315D88" w:rsidP="00D907D0">
            <w:pPr>
              <w:jc w:val="right"/>
              <w:rPr>
                <w:rFonts w:eastAsia="Times New Roman" w:cs="Times New Roman"/>
                <w:color w:val="000000"/>
                <w:szCs w:val="24"/>
                <w:lang w:eastAsia="lv-LV"/>
              </w:rPr>
            </w:pPr>
            <w:r w:rsidRPr="006E5888">
              <w:rPr>
                <w:rFonts w:eastAsia="Times New Roman" w:cs="Times New Roman"/>
                <w:color w:val="000000"/>
                <w:szCs w:val="24"/>
                <w:lang w:eastAsia="lv-LV"/>
              </w:rPr>
              <w:t>354 947</w:t>
            </w:r>
          </w:p>
        </w:tc>
        <w:tc>
          <w:tcPr>
            <w:tcW w:w="1418" w:type="dxa"/>
            <w:shd w:val="clear" w:color="auto" w:fill="auto"/>
            <w:noWrap/>
            <w:vAlign w:val="center"/>
            <w:hideMark/>
          </w:tcPr>
          <w:p w:rsidR="00315D88" w:rsidRPr="006E5888" w:rsidRDefault="00315D88" w:rsidP="00D907D0">
            <w:pPr>
              <w:jc w:val="right"/>
              <w:rPr>
                <w:rFonts w:eastAsia="Times New Roman" w:cs="Times New Roman"/>
                <w:color w:val="000000"/>
                <w:szCs w:val="24"/>
                <w:lang w:eastAsia="lv-LV"/>
              </w:rPr>
            </w:pPr>
            <w:r w:rsidRPr="006E5888">
              <w:rPr>
                <w:rFonts w:eastAsia="Times New Roman" w:cs="Times New Roman"/>
                <w:color w:val="000000"/>
                <w:szCs w:val="24"/>
                <w:lang w:eastAsia="lv-LV"/>
              </w:rPr>
              <w:t>354 947</w:t>
            </w:r>
          </w:p>
        </w:tc>
      </w:tr>
      <w:tr w:rsidR="00315D88" w:rsidRPr="006E5888" w:rsidTr="00D907D0">
        <w:trPr>
          <w:trHeight w:val="20"/>
          <w:jc w:val="center"/>
        </w:trPr>
        <w:tc>
          <w:tcPr>
            <w:tcW w:w="6233" w:type="dxa"/>
            <w:gridSpan w:val="2"/>
            <w:vAlign w:val="center"/>
          </w:tcPr>
          <w:p w:rsidR="00315D88" w:rsidRPr="006E5888" w:rsidRDefault="00315D88" w:rsidP="00D907D0">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Izdevumu neizpildes</w:t>
            </w:r>
          </w:p>
        </w:tc>
        <w:tc>
          <w:tcPr>
            <w:tcW w:w="1700" w:type="dxa"/>
            <w:shd w:val="clear" w:color="auto" w:fill="auto"/>
            <w:noWrap/>
            <w:vAlign w:val="center"/>
            <w:hideMark/>
          </w:tcPr>
          <w:p w:rsidR="00315D88" w:rsidRPr="006E5888" w:rsidRDefault="00315D88" w:rsidP="00D907D0">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2 964 628</w:t>
            </w:r>
          </w:p>
        </w:tc>
        <w:tc>
          <w:tcPr>
            <w:tcW w:w="1418" w:type="dxa"/>
            <w:shd w:val="clear" w:color="auto" w:fill="auto"/>
            <w:noWrap/>
            <w:vAlign w:val="center"/>
            <w:hideMark/>
          </w:tcPr>
          <w:p w:rsidR="00315D88" w:rsidRPr="006E5888" w:rsidRDefault="00315D88" w:rsidP="00D907D0">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2 964 628</w:t>
            </w:r>
          </w:p>
        </w:tc>
      </w:tr>
      <w:tr w:rsidR="00315D88" w:rsidRPr="006E5888" w:rsidTr="00D907D0">
        <w:trPr>
          <w:trHeight w:val="20"/>
          <w:jc w:val="center"/>
        </w:trPr>
        <w:tc>
          <w:tcPr>
            <w:tcW w:w="1413" w:type="dxa"/>
            <w:vAlign w:val="center"/>
          </w:tcPr>
          <w:p w:rsidR="00315D88" w:rsidRPr="006E5888" w:rsidRDefault="00315D88" w:rsidP="00D907D0">
            <w:pPr>
              <w:rPr>
                <w:rFonts w:eastAsia="Times New Roman" w:cs="Times New Roman"/>
                <w:color w:val="000000"/>
                <w:szCs w:val="24"/>
                <w:lang w:eastAsia="lv-LV"/>
              </w:rPr>
            </w:pPr>
            <w:proofErr w:type="spellStart"/>
            <w:r w:rsidRPr="006E5888">
              <w:rPr>
                <w:rFonts w:eastAsia="Times New Roman" w:cs="Times New Roman"/>
                <w:b/>
                <w:bCs/>
                <w:color w:val="000000"/>
                <w:szCs w:val="24"/>
                <w:lang w:eastAsia="lv-LV"/>
              </w:rPr>
              <w:t>A</w:t>
            </w:r>
            <w:r w:rsidR="00F23358" w:rsidRPr="006E5888">
              <w:rPr>
                <w:rFonts w:eastAsia="Times New Roman" w:cs="Times New Roman"/>
                <w:b/>
                <w:bCs/>
                <w:color w:val="000000"/>
                <w:szCs w:val="24"/>
                <w:lang w:eastAsia="lv-LV"/>
              </w:rPr>
              <w:t>i</w:t>
            </w:r>
            <w:r w:rsidRPr="006E5888">
              <w:rPr>
                <w:rFonts w:eastAsia="Times New Roman" w:cs="Times New Roman"/>
                <w:b/>
                <w:bCs/>
                <w:color w:val="000000"/>
                <w:szCs w:val="24"/>
                <w:lang w:eastAsia="lv-LV"/>
              </w:rPr>
              <w:t>M</w:t>
            </w:r>
            <w:proofErr w:type="spellEnd"/>
          </w:p>
        </w:tc>
        <w:tc>
          <w:tcPr>
            <w:tcW w:w="4820" w:type="dxa"/>
            <w:shd w:val="clear" w:color="auto" w:fill="auto"/>
            <w:noWrap/>
            <w:vAlign w:val="bottom"/>
            <w:hideMark/>
          </w:tcPr>
          <w:p w:rsidR="00315D88" w:rsidRPr="006E5888" w:rsidRDefault="00315D88" w:rsidP="00E83C7E">
            <w:pPr>
              <w:jc w:val="both"/>
              <w:rPr>
                <w:rFonts w:eastAsia="Times New Roman" w:cs="Times New Roman"/>
                <w:color w:val="000000"/>
                <w:szCs w:val="24"/>
                <w:lang w:eastAsia="lv-LV"/>
              </w:rPr>
            </w:pPr>
            <w:r w:rsidRPr="006E5888">
              <w:rPr>
                <w:rFonts w:eastAsia="Times New Roman" w:cs="Times New Roman"/>
                <w:color w:val="000000"/>
                <w:szCs w:val="24"/>
                <w:lang w:eastAsia="lv-LV"/>
              </w:rPr>
              <w:t>31.00.00 Militārpersonu pensiju fonds</w:t>
            </w:r>
          </w:p>
        </w:tc>
        <w:tc>
          <w:tcPr>
            <w:tcW w:w="1700" w:type="dxa"/>
            <w:shd w:val="clear" w:color="auto" w:fill="auto"/>
            <w:noWrap/>
            <w:vAlign w:val="center"/>
            <w:hideMark/>
          </w:tcPr>
          <w:p w:rsidR="00315D88" w:rsidRPr="006E5888" w:rsidRDefault="00315D88" w:rsidP="00D907D0">
            <w:pPr>
              <w:jc w:val="right"/>
              <w:rPr>
                <w:rFonts w:eastAsia="Times New Roman" w:cs="Times New Roman"/>
                <w:color w:val="000000"/>
                <w:szCs w:val="24"/>
                <w:lang w:eastAsia="lv-LV"/>
              </w:rPr>
            </w:pPr>
            <w:r w:rsidRPr="006E5888">
              <w:rPr>
                <w:rFonts w:eastAsia="Times New Roman" w:cs="Times New Roman"/>
                <w:color w:val="000000"/>
                <w:szCs w:val="24"/>
                <w:lang w:eastAsia="lv-LV"/>
              </w:rPr>
              <w:t>1 757 830</w:t>
            </w:r>
          </w:p>
        </w:tc>
        <w:tc>
          <w:tcPr>
            <w:tcW w:w="1418" w:type="dxa"/>
            <w:shd w:val="clear" w:color="auto" w:fill="auto"/>
            <w:noWrap/>
            <w:vAlign w:val="center"/>
            <w:hideMark/>
          </w:tcPr>
          <w:p w:rsidR="00315D88" w:rsidRPr="006E5888" w:rsidRDefault="00315D88" w:rsidP="00D907D0">
            <w:pPr>
              <w:jc w:val="right"/>
              <w:rPr>
                <w:rFonts w:eastAsia="Times New Roman" w:cs="Times New Roman"/>
                <w:color w:val="000000"/>
                <w:szCs w:val="24"/>
                <w:lang w:eastAsia="lv-LV"/>
              </w:rPr>
            </w:pPr>
            <w:r w:rsidRPr="006E5888">
              <w:rPr>
                <w:rFonts w:eastAsia="Times New Roman" w:cs="Times New Roman"/>
                <w:color w:val="000000"/>
                <w:szCs w:val="24"/>
                <w:lang w:eastAsia="lv-LV"/>
              </w:rPr>
              <w:t>1 757 830</w:t>
            </w:r>
          </w:p>
        </w:tc>
      </w:tr>
      <w:tr w:rsidR="00315D88" w:rsidRPr="006E5888" w:rsidTr="00D907D0">
        <w:trPr>
          <w:trHeight w:val="20"/>
          <w:jc w:val="center"/>
        </w:trPr>
        <w:tc>
          <w:tcPr>
            <w:tcW w:w="1413" w:type="dxa"/>
            <w:vAlign w:val="center"/>
          </w:tcPr>
          <w:p w:rsidR="00315D88" w:rsidRPr="006E5888" w:rsidRDefault="00315D88" w:rsidP="00D907D0">
            <w:pPr>
              <w:rPr>
                <w:rFonts w:eastAsia="Times New Roman" w:cs="Times New Roman"/>
                <w:color w:val="000000"/>
                <w:szCs w:val="24"/>
                <w:lang w:eastAsia="lv-LV"/>
              </w:rPr>
            </w:pPr>
            <w:r w:rsidRPr="006E5888">
              <w:rPr>
                <w:rFonts w:eastAsia="Times New Roman" w:cs="Times New Roman"/>
                <w:b/>
                <w:bCs/>
                <w:color w:val="000000"/>
                <w:szCs w:val="24"/>
                <w:lang w:eastAsia="lv-LV"/>
              </w:rPr>
              <w:t>VM</w:t>
            </w:r>
          </w:p>
        </w:tc>
        <w:tc>
          <w:tcPr>
            <w:tcW w:w="4820" w:type="dxa"/>
            <w:shd w:val="clear" w:color="auto" w:fill="auto"/>
            <w:noWrap/>
            <w:vAlign w:val="bottom"/>
            <w:hideMark/>
          </w:tcPr>
          <w:p w:rsidR="00315D88" w:rsidRPr="006E5888" w:rsidRDefault="00315D88" w:rsidP="00E83C7E">
            <w:pPr>
              <w:jc w:val="both"/>
              <w:rPr>
                <w:rFonts w:eastAsia="Times New Roman" w:cs="Times New Roman"/>
                <w:color w:val="000000"/>
                <w:szCs w:val="24"/>
                <w:lang w:eastAsia="lv-LV"/>
              </w:rPr>
            </w:pPr>
            <w:r w:rsidRPr="006E5888">
              <w:rPr>
                <w:rFonts w:eastAsia="Times New Roman" w:cs="Times New Roman"/>
                <w:color w:val="000000"/>
                <w:szCs w:val="24"/>
                <w:lang w:eastAsia="lv-LV"/>
              </w:rPr>
              <w:t>45.01.00 Veselības aprūpes finansējuma administrēšana un ekonomiskā novērtēšana</w:t>
            </w:r>
          </w:p>
        </w:tc>
        <w:tc>
          <w:tcPr>
            <w:tcW w:w="1700" w:type="dxa"/>
            <w:shd w:val="clear" w:color="auto" w:fill="auto"/>
            <w:noWrap/>
            <w:vAlign w:val="center"/>
            <w:hideMark/>
          </w:tcPr>
          <w:p w:rsidR="00315D88" w:rsidRPr="006E5888" w:rsidRDefault="00315D88" w:rsidP="00D907D0">
            <w:pPr>
              <w:jc w:val="right"/>
              <w:rPr>
                <w:rFonts w:eastAsia="Times New Roman" w:cs="Times New Roman"/>
                <w:color w:val="000000"/>
                <w:szCs w:val="24"/>
                <w:lang w:eastAsia="lv-LV"/>
              </w:rPr>
            </w:pPr>
            <w:r w:rsidRPr="006E5888">
              <w:rPr>
                <w:rFonts w:eastAsia="Times New Roman" w:cs="Times New Roman"/>
                <w:color w:val="000000"/>
                <w:szCs w:val="24"/>
                <w:lang w:eastAsia="lv-LV"/>
              </w:rPr>
              <w:t>462 427</w:t>
            </w:r>
          </w:p>
        </w:tc>
        <w:tc>
          <w:tcPr>
            <w:tcW w:w="1418" w:type="dxa"/>
            <w:shd w:val="clear" w:color="auto" w:fill="auto"/>
            <w:noWrap/>
            <w:vAlign w:val="center"/>
            <w:hideMark/>
          </w:tcPr>
          <w:p w:rsidR="00315D88" w:rsidRPr="006E5888" w:rsidRDefault="00315D88" w:rsidP="00D907D0">
            <w:pPr>
              <w:jc w:val="right"/>
              <w:rPr>
                <w:rFonts w:eastAsia="Times New Roman" w:cs="Times New Roman"/>
                <w:color w:val="000000"/>
                <w:szCs w:val="24"/>
                <w:lang w:eastAsia="lv-LV"/>
              </w:rPr>
            </w:pPr>
            <w:r w:rsidRPr="006E5888">
              <w:rPr>
                <w:rFonts w:eastAsia="Times New Roman" w:cs="Times New Roman"/>
                <w:color w:val="000000"/>
                <w:szCs w:val="24"/>
                <w:lang w:eastAsia="lv-LV"/>
              </w:rPr>
              <w:t>462 427</w:t>
            </w:r>
          </w:p>
        </w:tc>
      </w:tr>
      <w:tr w:rsidR="00315D88" w:rsidRPr="006E5888" w:rsidTr="00D907D0">
        <w:trPr>
          <w:trHeight w:val="20"/>
          <w:jc w:val="center"/>
        </w:trPr>
        <w:tc>
          <w:tcPr>
            <w:tcW w:w="1413" w:type="dxa"/>
            <w:vMerge w:val="restart"/>
            <w:vAlign w:val="center"/>
          </w:tcPr>
          <w:p w:rsidR="00315D88" w:rsidRPr="006E5888" w:rsidRDefault="00315D88" w:rsidP="00D907D0">
            <w:pPr>
              <w:rPr>
                <w:rFonts w:eastAsia="Times New Roman" w:cs="Times New Roman"/>
                <w:color w:val="000000"/>
                <w:szCs w:val="24"/>
                <w:lang w:eastAsia="lv-LV"/>
              </w:rPr>
            </w:pPr>
            <w:r w:rsidRPr="006E5888">
              <w:rPr>
                <w:rFonts w:eastAsia="Times New Roman" w:cs="Times New Roman"/>
                <w:b/>
                <w:bCs/>
                <w:color w:val="000000"/>
                <w:szCs w:val="24"/>
                <w:lang w:eastAsia="lv-LV"/>
              </w:rPr>
              <w:lastRenderedPageBreak/>
              <w:t>EM</w:t>
            </w:r>
          </w:p>
        </w:tc>
        <w:tc>
          <w:tcPr>
            <w:tcW w:w="4820" w:type="dxa"/>
            <w:shd w:val="clear" w:color="auto" w:fill="auto"/>
            <w:noWrap/>
            <w:vAlign w:val="bottom"/>
            <w:hideMark/>
          </w:tcPr>
          <w:p w:rsidR="00315D88" w:rsidRPr="006E5888" w:rsidRDefault="00315D88" w:rsidP="00E83C7E">
            <w:pPr>
              <w:jc w:val="both"/>
              <w:rPr>
                <w:rFonts w:eastAsia="Times New Roman" w:cs="Times New Roman"/>
                <w:color w:val="000000"/>
                <w:szCs w:val="24"/>
                <w:lang w:eastAsia="lv-LV"/>
              </w:rPr>
            </w:pPr>
            <w:r w:rsidRPr="006E5888">
              <w:rPr>
                <w:rFonts w:eastAsia="Times New Roman" w:cs="Times New Roman"/>
                <w:color w:val="000000"/>
                <w:szCs w:val="24"/>
                <w:lang w:eastAsia="lv-LV"/>
              </w:rPr>
              <w:t>24.00.00 Statistiskās informācijas nodrošināšana</w:t>
            </w:r>
          </w:p>
        </w:tc>
        <w:tc>
          <w:tcPr>
            <w:tcW w:w="1700" w:type="dxa"/>
            <w:shd w:val="clear" w:color="auto" w:fill="auto"/>
            <w:noWrap/>
            <w:vAlign w:val="center"/>
            <w:hideMark/>
          </w:tcPr>
          <w:p w:rsidR="00315D88" w:rsidRPr="006E5888" w:rsidRDefault="00315D88" w:rsidP="00D907D0">
            <w:pPr>
              <w:jc w:val="right"/>
              <w:rPr>
                <w:rFonts w:eastAsia="Times New Roman" w:cs="Times New Roman"/>
                <w:color w:val="000000"/>
                <w:szCs w:val="24"/>
                <w:lang w:eastAsia="lv-LV"/>
              </w:rPr>
            </w:pPr>
            <w:r w:rsidRPr="006E5888">
              <w:rPr>
                <w:rFonts w:eastAsia="Times New Roman" w:cs="Times New Roman"/>
                <w:color w:val="000000"/>
                <w:szCs w:val="24"/>
                <w:lang w:eastAsia="lv-LV"/>
              </w:rPr>
              <w:t>312 978</w:t>
            </w:r>
          </w:p>
        </w:tc>
        <w:tc>
          <w:tcPr>
            <w:tcW w:w="1418" w:type="dxa"/>
            <w:shd w:val="clear" w:color="auto" w:fill="auto"/>
            <w:noWrap/>
            <w:vAlign w:val="center"/>
            <w:hideMark/>
          </w:tcPr>
          <w:p w:rsidR="00315D88" w:rsidRPr="006E5888" w:rsidRDefault="00315D88" w:rsidP="00D907D0">
            <w:pPr>
              <w:jc w:val="right"/>
              <w:rPr>
                <w:rFonts w:eastAsia="Times New Roman" w:cs="Times New Roman"/>
                <w:color w:val="000000"/>
                <w:szCs w:val="24"/>
                <w:lang w:eastAsia="lv-LV"/>
              </w:rPr>
            </w:pPr>
            <w:r w:rsidRPr="006E5888">
              <w:rPr>
                <w:rFonts w:eastAsia="Times New Roman" w:cs="Times New Roman"/>
                <w:color w:val="000000"/>
                <w:szCs w:val="24"/>
                <w:lang w:eastAsia="lv-LV"/>
              </w:rPr>
              <w:t>312 978</w:t>
            </w:r>
          </w:p>
        </w:tc>
      </w:tr>
      <w:tr w:rsidR="00315D88" w:rsidRPr="006E5888" w:rsidTr="00D907D0">
        <w:trPr>
          <w:trHeight w:val="20"/>
          <w:jc w:val="center"/>
        </w:trPr>
        <w:tc>
          <w:tcPr>
            <w:tcW w:w="1413" w:type="dxa"/>
            <w:vMerge/>
            <w:vAlign w:val="center"/>
          </w:tcPr>
          <w:p w:rsidR="00315D88" w:rsidRPr="006E5888" w:rsidRDefault="00315D88" w:rsidP="00D907D0">
            <w:pPr>
              <w:ind w:firstLineChars="200" w:firstLine="480"/>
              <w:rPr>
                <w:rFonts w:eastAsia="Times New Roman" w:cs="Times New Roman"/>
                <w:color w:val="000000"/>
                <w:szCs w:val="24"/>
                <w:lang w:eastAsia="lv-LV"/>
              </w:rPr>
            </w:pPr>
          </w:p>
        </w:tc>
        <w:tc>
          <w:tcPr>
            <w:tcW w:w="4820" w:type="dxa"/>
            <w:shd w:val="clear" w:color="auto" w:fill="auto"/>
            <w:noWrap/>
            <w:vAlign w:val="bottom"/>
            <w:hideMark/>
          </w:tcPr>
          <w:p w:rsidR="00315D88" w:rsidRPr="006E5888" w:rsidRDefault="00315D88" w:rsidP="00E83C7E">
            <w:pPr>
              <w:jc w:val="both"/>
              <w:rPr>
                <w:rFonts w:eastAsia="Times New Roman" w:cs="Times New Roman"/>
                <w:color w:val="000000"/>
                <w:szCs w:val="24"/>
                <w:lang w:eastAsia="lv-LV"/>
              </w:rPr>
            </w:pPr>
            <w:r w:rsidRPr="006E5888">
              <w:rPr>
                <w:rFonts w:eastAsia="Times New Roman" w:cs="Times New Roman"/>
                <w:color w:val="000000"/>
                <w:szCs w:val="24"/>
                <w:lang w:eastAsia="lv-LV"/>
              </w:rPr>
              <w:t>25.00.00 Uzņēmējdarbības un uz zināšanām balstītas ekonomikas veicināšana</w:t>
            </w:r>
          </w:p>
        </w:tc>
        <w:tc>
          <w:tcPr>
            <w:tcW w:w="1700" w:type="dxa"/>
            <w:shd w:val="clear" w:color="auto" w:fill="auto"/>
            <w:noWrap/>
            <w:vAlign w:val="center"/>
            <w:hideMark/>
          </w:tcPr>
          <w:p w:rsidR="00315D88" w:rsidRPr="006E5888" w:rsidRDefault="00315D88" w:rsidP="00D907D0">
            <w:pPr>
              <w:jc w:val="right"/>
              <w:rPr>
                <w:rFonts w:eastAsia="Times New Roman" w:cs="Times New Roman"/>
                <w:color w:val="000000"/>
                <w:szCs w:val="24"/>
                <w:lang w:eastAsia="lv-LV"/>
              </w:rPr>
            </w:pPr>
            <w:r w:rsidRPr="006E5888">
              <w:rPr>
                <w:rFonts w:eastAsia="Times New Roman" w:cs="Times New Roman"/>
                <w:color w:val="000000"/>
                <w:szCs w:val="24"/>
                <w:lang w:eastAsia="lv-LV"/>
              </w:rPr>
              <w:t>147 259</w:t>
            </w:r>
          </w:p>
        </w:tc>
        <w:tc>
          <w:tcPr>
            <w:tcW w:w="1418" w:type="dxa"/>
            <w:shd w:val="clear" w:color="auto" w:fill="auto"/>
            <w:noWrap/>
            <w:vAlign w:val="center"/>
            <w:hideMark/>
          </w:tcPr>
          <w:p w:rsidR="00315D88" w:rsidRPr="006E5888" w:rsidRDefault="00315D88" w:rsidP="00D907D0">
            <w:pPr>
              <w:jc w:val="right"/>
              <w:rPr>
                <w:rFonts w:eastAsia="Times New Roman" w:cs="Times New Roman"/>
                <w:color w:val="000000"/>
                <w:szCs w:val="24"/>
                <w:lang w:eastAsia="lv-LV"/>
              </w:rPr>
            </w:pPr>
            <w:r w:rsidRPr="006E5888">
              <w:rPr>
                <w:rFonts w:eastAsia="Times New Roman" w:cs="Times New Roman"/>
                <w:color w:val="000000"/>
                <w:szCs w:val="24"/>
                <w:lang w:eastAsia="lv-LV"/>
              </w:rPr>
              <w:t>147 259</w:t>
            </w:r>
          </w:p>
        </w:tc>
      </w:tr>
      <w:tr w:rsidR="00315D88" w:rsidRPr="006E5888" w:rsidTr="00D907D0">
        <w:trPr>
          <w:trHeight w:val="20"/>
          <w:jc w:val="center"/>
        </w:trPr>
        <w:tc>
          <w:tcPr>
            <w:tcW w:w="1413" w:type="dxa"/>
            <w:vMerge w:val="restart"/>
            <w:vAlign w:val="center"/>
          </w:tcPr>
          <w:p w:rsidR="00315D88" w:rsidRPr="006E5888" w:rsidRDefault="00315D88" w:rsidP="00D907D0">
            <w:pPr>
              <w:rPr>
                <w:rFonts w:eastAsia="Times New Roman" w:cs="Times New Roman"/>
                <w:color w:val="000000"/>
                <w:szCs w:val="24"/>
                <w:lang w:eastAsia="lv-LV"/>
              </w:rPr>
            </w:pPr>
            <w:r w:rsidRPr="006E5888">
              <w:rPr>
                <w:rFonts w:eastAsia="Times New Roman" w:cs="Times New Roman"/>
                <w:b/>
                <w:bCs/>
                <w:color w:val="000000"/>
                <w:szCs w:val="24"/>
                <w:lang w:eastAsia="lv-LV"/>
              </w:rPr>
              <w:t>FM</w:t>
            </w:r>
          </w:p>
        </w:tc>
        <w:tc>
          <w:tcPr>
            <w:tcW w:w="4820" w:type="dxa"/>
            <w:shd w:val="clear" w:color="auto" w:fill="auto"/>
            <w:noWrap/>
            <w:vAlign w:val="bottom"/>
            <w:hideMark/>
          </w:tcPr>
          <w:p w:rsidR="00315D88" w:rsidRPr="006E5888" w:rsidRDefault="00315D88" w:rsidP="00E83C7E">
            <w:pPr>
              <w:jc w:val="both"/>
              <w:rPr>
                <w:rFonts w:eastAsia="Times New Roman" w:cs="Times New Roman"/>
                <w:color w:val="000000"/>
                <w:szCs w:val="24"/>
                <w:lang w:eastAsia="lv-LV"/>
              </w:rPr>
            </w:pPr>
            <w:r w:rsidRPr="006E5888">
              <w:rPr>
                <w:rFonts w:eastAsia="Times New Roman" w:cs="Times New Roman"/>
                <w:color w:val="000000"/>
                <w:szCs w:val="24"/>
                <w:lang w:eastAsia="lv-LV"/>
              </w:rPr>
              <w:t>41.09.00 Fiziskajām un juridiskajām personām nodarīto zaudējumu atlīdzināšana</w:t>
            </w:r>
          </w:p>
        </w:tc>
        <w:tc>
          <w:tcPr>
            <w:tcW w:w="1700" w:type="dxa"/>
            <w:shd w:val="clear" w:color="auto" w:fill="auto"/>
            <w:noWrap/>
            <w:vAlign w:val="center"/>
            <w:hideMark/>
          </w:tcPr>
          <w:p w:rsidR="00315D88" w:rsidRPr="006E5888" w:rsidRDefault="00315D88" w:rsidP="00D907D0">
            <w:pPr>
              <w:jc w:val="right"/>
              <w:rPr>
                <w:rFonts w:eastAsia="Times New Roman" w:cs="Times New Roman"/>
                <w:color w:val="000000"/>
                <w:szCs w:val="24"/>
                <w:lang w:eastAsia="lv-LV"/>
              </w:rPr>
            </w:pPr>
            <w:r w:rsidRPr="006E5888">
              <w:rPr>
                <w:rFonts w:eastAsia="Times New Roman" w:cs="Times New Roman"/>
                <w:color w:val="000000"/>
                <w:szCs w:val="24"/>
                <w:lang w:eastAsia="lv-LV"/>
              </w:rPr>
              <w:t>179 324</w:t>
            </w:r>
          </w:p>
        </w:tc>
        <w:tc>
          <w:tcPr>
            <w:tcW w:w="1418" w:type="dxa"/>
            <w:shd w:val="clear" w:color="auto" w:fill="auto"/>
            <w:noWrap/>
            <w:vAlign w:val="center"/>
            <w:hideMark/>
          </w:tcPr>
          <w:p w:rsidR="00315D88" w:rsidRPr="006E5888" w:rsidRDefault="00315D88" w:rsidP="00D907D0">
            <w:pPr>
              <w:jc w:val="right"/>
              <w:rPr>
                <w:rFonts w:eastAsia="Times New Roman" w:cs="Times New Roman"/>
                <w:color w:val="000000"/>
                <w:szCs w:val="24"/>
                <w:lang w:eastAsia="lv-LV"/>
              </w:rPr>
            </w:pPr>
            <w:r w:rsidRPr="006E5888">
              <w:rPr>
                <w:rFonts w:eastAsia="Times New Roman" w:cs="Times New Roman"/>
                <w:color w:val="000000"/>
                <w:szCs w:val="24"/>
                <w:lang w:eastAsia="lv-LV"/>
              </w:rPr>
              <w:t>179 324</w:t>
            </w:r>
          </w:p>
        </w:tc>
      </w:tr>
      <w:tr w:rsidR="00315D88" w:rsidRPr="006E5888" w:rsidTr="00D907D0">
        <w:trPr>
          <w:trHeight w:val="20"/>
          <w:jc w:val="center"/>
        </w:trPr>
        <w:tc>
          <w:tcPr>
            <w:tcW w:w="1413" w:type="dxa"/>
            <w:vMerge/>
            <w:vAlign w:val="center"/>
          </w:tcPr>
          <w:p w:rsidR="00315D88" w:rsidRPr="006E5888" w:rsidRDefault="00315D88" w:rsidP="00D907D0">
            <w:pPr>
              <w:ind w:firstLineChars="200" w:firstLine="480"/>
              <w:rPr>
                <w:rFonts w:eastAsia="Times New Roman" w:cs="Times New Roman"/>
                <w:color w:val="000000"/>
                <w:szCs w:val="24"/>
                <w:lang w:eastAsia="lv-LV"/>
              </w:rPr>
            </w:pPr>
          </w:p>
        </w:tc>
        <w:tc>
          <w:tcPr>
            <w:tcW w:w="4820" w:type="dxa"/>
            <w:shd w:val="clear" w:color="auto" w:fill="auto"/>
            <w:noWrap/>
            <w:vAlign w:val="bottom"/>
            <w:hideMark/>
          </w:tcPr>
          <w:p w:rsidR="00315D88" w:rsidRPr="006E5888" w:rsidRDefault="00315D88" w:rsidP="00E83C7E">
            <w:pPr>
              <w:jc w:val="both"/>
              <w:rPr>
                <w:rFonts w:eastAsia="Times New Roman" w:cs="Times New Roman"/>
                <w:color w:val="000000"/>
                <w:szCs w:val="24"/>
                <w:lang w:eastAsia="lv-LV"/>
              </w:rPr>
            </w:pPr>
            <w:r w:rsidRPr="006E5888">
              <w:rPr>
                <w:rFonts w:eastAsia="Times New Roman" w:cs="Times New Roman"/>
                <w:color w:val="000000"/>
                <w:szCs w:val="24"/>
                <w:lang w:eastAsia="lv-LV"/>
              </w:rPr>
              <w:t>41.05.00 Kompensācijas reabilitētajiem pilsoņiem</w:t>
            </w:r>
          </w:p>
        </w:tc>
        <w:tc>
          <w:tcPr>
            <w:tcW w:w="1700" w:type="dxa"/>
            <w:shd w:val="clear" w:color="auto" w:fill="auto"/>
            <w:noWrap/>
            <w:vAlign w:val="center"/>
            <w:hideMark/>
          </w:tcPr>
          <w:p w:rsidR="00315D88" w:rsidRPr="006E5888" w:rsidRDefault="00315D88" w:rsidP="00D907D0">
            <w:pPr>
              <w:jc w:val="right"/>
              <w:rPr>
                <w:rFonts w:eastAsia="Times New Roman" w:cs="Times New Roman"/>
                <w:color w:val="000000"/>
                <w:szCs w:val="24"/>
                <w:lang w:eastAsia="lv-LV"/>
              </w:rPr>
            </w:pPr>
            <w:r w:rsidRPr="006E5888">
              <w:rPr>
                <w:rFonts w:eastAsia="Times New Roman" w:cs="Times New Roman"/>
                <w:color w:val="000000"/>
                <w:szCs w:val="24"/>
                <w:lang w:eastAsia="lv-LV"/>
              </w:rPr>
              <w:t>44 810</w:t>
            </w:r>
          </w:p>
        </w:tc>
        <w:tc>
          <w:tcPr>
            <w:tcW w:w="1418" w:type="dxa"/>
            <w:shd w:val="clear" w:color="auto" w:fill="auto"/>
            <w:noWrap/>
            <w:vAlign w:val="center"/>
            <w:hideMark/>
          </w:tcPr>
          <w:p w:rsidR="00315D88" w:rsidRPr="006E5888" w:rsidRDefault="00315D88" w:rsidP="00D907D0">
            <w:pPr>
              <w:jc w:val="right"/>
              <w:rPr>
                <w:rFonts w:eastAsia="Times New Roman" w:cs="Times New Roman"/>
                <w:color w:val="000000"/>
                <w:szCs w:val="24"/>
                <w:lang w:eastAsia="lv-LV"/>
              </w:rPr>
            </w:pPr>
            <w:r w:rsidRPr="006E5888">
              <w:rPr>
                <w:rFonts w:eastAsia="Times New Roman" w:cs="Times New Roman"/>
                <w:color w:val="000000"/>
                <w:szCs w:val="24"/>
                <w:lang w:eastAsia="lv-LV"/>
              </w:rPr>
              <w:t>44 810</w:t>
            </w:r>
          </w:p>
        </w:tc>
      </w:tr>
      <w:tr w:rsidR="00315D88" w:rsidRPr="006E5888" w:rsidTr="00D907D0">
        <w:trPr>
          <w:trHeight w:val="20"/>
          <w:jc w:val="center"/>
        </w:trPr>
        <w:tc>
          <w:tcPr>
            <w:tcW w:w="1413" w:type="dxa"/>
            <w:vAlign w:val="center"/>
          </w:tcPr>
          <w:p w:rsidR="00315D88" w:rsidRPr="006E5888" w:rsidRDefault="00315D88" w:rsidP="00D907D0">
            <w:pPr>
              <w:rPr>
                <w:rFonts w:eastAsia="Times New Roman" w:cs="Times New Roman"/>
                <w:color w:val="000000"/>
                <w:szCs w:val="24"/>
                <w:lang w:eastAsia="lv-LV"/>
              </w:rPr>
            </w:pPr>
            <w:r w:rsidRPr="006E5888">
              <w:rPr>
                <w:rFonts w:eastAsia="Times New Roman" w:cs="Times New Roman"/>
                <w:b/>
                <w:bCs/>
                <w:color w:val="000000"/>
                <w:szCs w:val="24"/>
                <w:lang w:eastAsia="lv-LV"/>
              </w:rPr>
              <w:t>ĀM</w:t>
            </w:r>
          </w:p>
        </w:tc>
        <w:tc>
          <w:tcPr>
            <w:tcW w:w="4820" w:type="dxa"/>
            <w:shd w:val="clear" w:color="auto" w:fill="auto"/>
            <w:noWrap/>
            <w:vAlign w:val="bottom"/>
            <w:hideMark/>
          </w:tcPr>
          <w:p w:rsidR="00315D88" w:rsidRPr="006E5888" w:rsidRDefault="00315D88" w:rsidP="00E83C7E">
            <w:pPr>
              <w:rPr>
                <w:rFonts w:eastAsia="Times New Roman" w:cs="Times New Roman"/>
                <w:color w:val="000000"/>
                <w:szCs w:val="24"/>
                <w:lang w:eastAsia="lv-LV"/>
              </w:rPr>
            </w:pPr>
            <w:r w:rsidRPr="006E5888">
              <w:rPr>
                <w:rFonts w:eastAsia="Times New Roman" w:cs="Times New Roman"/>
                <w:color w:val="000000"/>
                <w:szCs w:val="24"/>
                <w:lang w:eastAsia="lv-LV"/>
              </w:rPr>
              <w:t>09.00.00 Materiālās palīdzības sniegšana</w:t>
            </w:r>
          </w:p>
        </w:tc>
        <w:tc>
          <w:tcPr>
            <w:tcW w:w="1700" w:type="dxa"/>
            <w:shd w:val="clear" w:color="auto" w:fill="auto"/>
            <w:noWrap/>
            <w:vAlign w:val="center"/>
            <w:hideMark/>
          </w:tcPr>
          <w:p w:rsidR="00315D88" w:rsidRPr="006E5888" w:rsidRDefault="00315D88" w:rsidP="00D907D0">
            <w:pPr>
              <w:jc w:val="right"/>
              <w:rPr>
                <w:rFonts w:eastAsia="Times New Roman" w:cs="Times New Roman"/>
                <w:color w:val="000000"/>
                <w:szCs w:val="24"/>
                <w:lang w:eastAsia="lv-LV"/>
              </w:rPr>
            </w:pPr>
            <w:r w:rsidRPr="006E5888">
              <w:rPr>
                <w:rFonts w:eastAsia="Times New Roman" w:cs="Times New Roman"/>
                <w:color w:val="000000"/>
                <w:szCs w:val="24"/>
                <w:lang w:eastAsia="lv-LV"/>
              </w:rPr>
              <w:t>60 000</w:t>
            </w:r>
          </w:p>
        </w:tc>
        <w:tc>
          <w:tcPr>
            <w:tcW w:w="1418" w:type="dxa"/>
            <w:shd w:val="clear" w:color="auto" w:fill="auto"/>
            <w:noWrap/>
            <w:vAlign w:val="center"/>
            <w:hideMark/>
          </w:tcPr>
          <w:p w:rsidR="00315D88" w:rsidRPr="006E5888" w:rsidRDefault="00315D88" w:rsidP="00D907D0">
            <w:pPr>
              <w:jc w:val="right"/>
              <w:rPr>
                <w:rFonts w:eastAsia="Times New Roman" w:cs="Times New Roman"/>
                <w:color w:val="000000"/>
                <w:szCs w:val="24"/>
                <w:lang w:eastAsia="lv-LV"/>
              </w:rPr>
            </w:pPr>
            <w:r w:rsidRPr="006E5888">
              <w:rPr>
                <w:rFonts w:eastAsia="Times New Roman" w:cs="Times New Roman"/>
                <w:color w:val="000000"/>
                <w:szCs w:val="24"/>
                <w:lang w:eastAsia="lv-LV"/>
              </w:rPr>
              <w:t>60 000</w:t>
            </w:r>
          </w:p>
        </w:tc>
      </w:tr>
      <w:tr w:rsidR="00315D88" w:rsidRPr="006E5888" w:rsidTr="00D907D0">
        <w:trPr>
          <w:trHeight w:val="20"/>
          <w:jc w:val="center"/>
        </w:trPr>
        <w:tc>
          <w:tcPr>
            <w:tcW w:w="6233" w:type="dxa"/>
            <w:gridSpan w:val="2"/>
            <w:shd w:val="clear" w:color="auto" w:fill="D9D9D9" w:themeFill="background1" w:themeFillShade="D9"/>
            <w:vAlign w:val="bottom"/>
          </w:tcPr>
          <w:p w:rsidR="00315D88" w:rsidRPr="006E5888" w:rsidRDefault="00315D88" w:rsidP="00E83C7E">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KOPĀ:</w:t>
            </w:r>
          </w:p>
        </w:tc>
        <w:tc>
          <w:tcPr>
            <w:tcW w:w="1700" w:type="dxa"/>
            <w:shd w:val="clear" w:color="auto" w:fill="D9D9D9" w:themeFill="background1" w:themeFillShade="D9"/>
            <w:noWrap/>
            <w:vAlign w:val="center"/>
            <w:hideMark/>
          </w:tcPr>
          <w:p w:rsidR="00315D88" w:rsidRPr="006E5888" w:rsidRDefault="00315D88" w:rsidP="00D907D0">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23 029 671</w:t>
            </w:r>
          </w:p>
        </w:tc>
        <w:tc>
          <w:tcPr>
            <w:tcW w:w="1418" w:type="dxa"/>
            <w:shd w:val="clear" w:color="auto" w:fill="D9D9D9" w:themeFill="background1" w:themeFillShade="D9"/>
            <w:noWrap/>
            <w:vAlign w:val="center"/>
            <w:hideMark/>
          </w:tcPr>
          <w:p w:rsidR="00315D88" w:rsidRPr="006E5888" w:rsidRDefault="00315D88" w:rsidP="00D907D0">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22 768 798</w:t>
            </w:r>
          </w:p>
        </w:tc>
      </w:tr>
    </w:tbl>
    <w:p w:rsidR="00576F6B" w:rsidRPr="006E5888" w:rsidRDefault="00267CB4" w:rsidP="00283973">
      <w:pPr>
        <w:tabs>
          <w:tab w:val="left" w:pos="1010"/>
        </w:tabs>
        <w:spacing w:before="120"/>
        <w:ind w:firstLine="709"/>
        <w:jc w:val="both"/>
        <w:rPr>
          <w:szCs w:val="24"/>
        </w:rPr>
      </w:pPr>
      <w:r w:rsidRPr="006E5888">
        <w:rPr>
          <w:szCs w:val="24"/>
        </w:rPr>
        <w:t xml:space="preserve">Izvērsta analīze par </w:t>
      </w:r>
      <w:r w:rsidR="00E720DC" w:rsidRPr="006E5888">
        <w:rPr>
          <w:szCs w:val="24"/>
        </w:rPr>
        <w:t>tabulā Nr.</w:t>
      </w:r>
      <w:r w:rsidR="00FB7FD3" w:rsidRPr="006E5888">
        <w:rPr>
          <w:szCs w:val="24"/>
        </w:rPr>
        <w:t>10</w:t>
      </w:r>
      <w:r w:rsidR="00E720DC" w:rsidRPr="006E5888">
        <w:rPr>
          <w:szCs w:val="24"/>
        </w:rPr>
        <w:t xml:space="preserve"> norādīto kopsavilkumu</w:t>
      </w:r>
      <w:r w:rsidRPr="006E5888">
        <w:rPr>
          <w:szCs w:val="24"/>
        </w:rPr>
        <w:t xml:space="preserve">, </w:t>
      </w:r>
      <w:r w:rsidR="000E6FCC" w:rsidRPr="006E5888">
        <w:rPr>
          <w:szCs w:val="24"/>
        </w:rPr>
        <w:t xml:space="preserve">detalizēti aplūkojot katru ministriju, </w:t>
      </w:r>
      <w:r w:rsidR="00D30621" w:rsidRPr="006E5888">
        <w:rPr>
          <w:szCs w:val="24"/>
        </w:rPr>
        <w:t>t.sk.</w:t>
      </w:r>
      <w:r w:rsidR="000E6FCC" w:rsidRPr="006E5888">
        <w:rPr>
          <w:szCs w:val="24"/>
        </w:rPr>
        <w:t xml:space="preserve"> ministrijas programmu/apakšprogrammu pieejama informatīvā ziņojuma</w:t>
      </w:r>
      <w:r w:rsidR="00576F6B" w:rsidRPr="006E5888">
        <w:rPr>
          <w:szCs w:val="24"/>
        </w:rPr>
        <w:t xml:space="preserve"> </w:t>
      </w:r>
      <w:r w:rsidR="00B4009A" w:rsidRPr="006E5888">
        <w:rPr>
          <w:szCs w:val="24"/>
        </w:rPr>
        <w:t>p</w:t>
      </w:r>
      <w:r w:rsidR="00283973" w:rsidRPr="006E5888">
        <w:rPr>
          <w:szCs w:val="24"/>
        </w:rPr>
        <w:t>ielikumā Nr.</w:t>
      </w:r>
      <w:r w:rsidR="00DE4F07" w:rsidRPr="006E5888">
        <w:rPr>
          <w:szCs w:val="24"/>
        </w:rPr>
        <w:t>4</w:t>
      </w:r>
      <w:r w:rsidR="00576F6B" w:rsidRPr="006E5888">
        <w:rPr>
          <w:szCs w:val="24"/>
        </w:rPr>
        <w:t>.</w:t>
      </w:r>
    </w:p>
    <w:p w:rsidR="00E34693" w:rsidRPr="006E5888" w:rsidRDefault="00E34693" w:rsidP="00576F6B">
      <w:pPr>
        <w:tabs>
          <w:tab w:val="left" w:pos="1010"/>
        </w:tabs>
        <w:ind w:firstLine="709"/>
        <w:jc w:val="both"/>
        <w:rPr>
          <w:szCs w:val="24"/>
        </w:rPr>
      </w:pPr>
      <w:r w:rsidRPr="006E5888">
        <w:t>Pārskatot ministriju izdevumus tika analizēta arī ministriju rezultātu un rezultatīvo rādītāju sasaiste ar finansējumu. Kopsavilkums par valsts budžeta sasaistes ar rezultātiem analīzi skatāms tabulā Nr.</w:t>
      </w:r>
      <w:r w:rsidR="00036C0B" w:rsidRPr="006E5888">
        <w:t>11</w:t>
      </w:r>
      <w:r w:rsidRPr="006E5888">
        <w:t xml:space="preserve">. Rezultātu un rezultatīvo rādītāju neatbilstība plānotajam valsts budžeta finansējumam vērojama IeM, LM un VARAM.  </w:t>
      </w:r>
    </w:p>
    <w:p w:rsidR="00E34693" w:rsidRPr="006E5888" w:rsidRDefault="00E34693" w:rsidP="00E34693">
      <w:pPr>
        <w:tabs>
          <w:tab w:val="left" w:pos="1010"/>
          <w:tab w:val="left" w:pos="8789"/>
        </w:tabs>
        <w:spacing w:before="120"/>
        <w:jc w:val="right"/>
        <w:rPr>
          <w:szCs w:val="24"/>
        </w:rPr>
      </w:pPr>
      <w:r w:rsidRPr="006E5888">
        <w:rPr>
          <w:szCs w:val="24"/>
        </w:rPr>
        <w:t>Tabula Nr.</w:t>
      </w:r>
      <w:r w:rsidR="00036C0B" w:rsidRPr="006E5888">
        <w:rPr>
          <w:szCs w:val="24"/>
        </w:rPr>
        <w:t>11</w:t>
      </w:r>
    </w:p>
    <w:p w:rsidR="00E34693" w:rsidRPr="006E5888" w:rsidRDefault="00E34693" w:rsidP="00576F6B">
      <w:pPr>
        <w:tabs>
          <w:tab w:val="left" w:pos="1010"/>
        </w:tabs>
        <w:spacing w:before="120" w:after="120"/>
        <w:jc w:val="center"/>
        <w:rPr>
          <w:szCs w:val="24"/>
        </w:rPr>
      </w:pPr>
      <w:r w:rsidRPr="006E5888">
        <w:rPr>
          <w:szCs w:val="24"/>
        </w:rPr>
        <w:t>Kopsavilkums par valsts budžeta sasaist</w:t>
      </w:r>
      <w:r w:rsidR="00DC1696" w:rsidRPr="006E5888">
        <w:rPr>
          <w:szCs w:val="24"/>
        </w:rPr>
        <w:t>i</w:t>
      </w:r>
      <w:r w:rsidRPr="006E5888">
        <w:rPr>
          <w:szCs w:val="24"/>
        </w:rPr>
        <w:t xml:space="preserve"> ar rezultātiem analīzi</w:t>
      </w:r>
    </w:p>
    <w:tbl>
      <w:tblPr>
        <w:tblStyle w:val="TableGrid"/>
        <w:tblW w:w="9351" w:type="dxa"/>
        <w:tblLook w:val="04A0" w:firstRow="1" w:lastRow="0" w:firstColumn="1" w:lastColumn="0" w:noHBand="0" w:noVBand="1"/>
      </w:tblPr>
      <w:tblGrid>
        <w:gridCol w:w="1696"/>
        <w:gridCol w:w="4536"/>
        <w:gridCol w:w="1560"/>
        <w:gridCol w:w="1559"/>
      </w:tblGrid>
      <w:tr w:rsidR="00E34693" w:rsidRPr="006E5888" w:rsidTr="00576F6B">
        <w:trPr>
          <w:trHeight w:val="20"/>
          <w:tblHeader/>
        </w:trPr>
        <w:tc>
          <w:tcPr>
            <w:tcW w:w="1696" w:type="dxa"/>
            <w:shd w:val="clear" w:color="auto" w:fill="D9D9D9" w:themeFill="background1" w:themeFillShade="D9"/>
            <w:vAlign w:val="center"/>
          </w:tcPr>
          <w:p w:rsidR="00E34693" w:rsidRPr="006E5888" w:rsidRDefault="00E34693" w:rsidP="00E8149C">
            <w:pPr>
              <w:tabs>
                <w:tab w:val="left" w:pos="1010"/>
              </w:tabs>
              <w:jc w:val="center"/>
              <w:rPr>
                <w:b/>
                <w:szCs w:val="24"/>
              </w:rPr>
            </w:pPr>
            <w:r w:rsidRPr="006E5888">
              <w:rPr>
                <w:b/>
                <w:szCs w:val="24"/>
              </w:rPr>
              <w:t>Ministrija</w:t>
            </w:r>
          </w:p>
        </w:tc>
        <w:tc>
          <w:tcPr>
            <w:tcW w:w="4536" w:type="dxa"/>
            <w:shd w:val="clear" w:color="auto" w:fill="D9D9D9" w:themeFill="background1" w:themeFillShade="D9"/>
            <w:vAlign w:val="center"/>
          </w:tcPr>
          <w:p w:rsidR="00E34693" w:rsidRPr="006E5888" w:rsidRDefault="00E34693" w:rsidP="00E8149C">
            <w:pPr>
              <w:tabs>
                <w:tab w:val="left" w:pos="1010"/>
              </w:tabs>
              <w:jc w:val="center"/>
              <w:rPr>
                <w:b/>
                <w:szCs w:val="24"/>
              </w:rPr>
            </w:pPr>
            <w:r w:rsidRPr="006E5888">
              <w:rPr>
                <w:b/>
                <w:szCs w:val="24"/>
              </w:rPr>
              <w:t>Budžeta programma/apakšprogramma</w:t>
            </w:r>
          </w:p>
        </w:tc>
        <w:tc>
          <w:tcPr>
            <w:tcW w:w="1560" w:type="dxa"/>
            <w:shd w:val="clear" w:color="auto" w:fill="D9D9D9" w:themeFill="background1" w:themeFillShade="D9"/>
            <w:vAlign w:val="center"/>
          </w:tcPr>
          <w:p w:rsidR="00E34693" w:rsidRPr="006E5888" w:rsidRDefault="00E8149C" w:rsidP="00E8149C">
            <w:pPr>
              <w:tabs>
                <w:tab w:val="left" w:pos="1010"/>
              </w:tabs>
              <w:jc w:val="center"/>
              <w:rPr>
                <w:b/>
                <w:szCs w:val="24"/>
              </w:rPr>
            </w:pPr>
            <w:r w:rsidRPr="006E5888">
              <w:rPr>
                <w:b/>
                <w:szCs w:val="24"/>
              </w:rPr>
              <w:t xml:space="preserve">2017 </w:t>
            </w:r>
          </w:p>
        </w:tc>
        <w:tc>
          <w:tcPr>
            <w:tcW w:w="1559" w:type="dxa"/>
            <w:shd w:val="clear" w:color="auto" w:fill="D9D9D9" w:themeFill="background1" w:themeFillShade="D9"/>
            <w:vAlign w:val="center"/>
          </w:tcPr>
          <w:p w:rsidR="00E34693" w:rsidRPr="006E5888" w:rsidRDefault="00E8149C" w:rsidP="00E8149C">
            <w:pPr>
              <w:tabs>
                <w:tab w:val="left" w:pos="1010"/>
              </w:tabs>
              <w:jc w:val="center"/>
              <w:rPr>
                <w:b/>
                <w:szCs w:val="24"/>
              </w:rPr>
            </w:pPr>
            <w:r w:rsidRPr="006E5888">
              <w:rPr>
                <w:b/>
                <w:szCs w:val="24"/>
              </w:rPr>
              <w:t xml:space="preserve">2018 </w:t>
            </w:r>
          </w:p>
        </w:tc>
      </w:tr>
      <w:tr w:rsidR="00E34693" w:rsidRPr="006E5888" w:rsidTr="00576F6B">
        <w:trPr>
          <w:trHeight w:val="20"/>
        </w:trPr>
        <w:tc>
          <w:tcPr>
            <w:tcW w:w="1696" w:type="dxa"/>
            <w:tcBorders>
              <w:bottom w:val="single" w:sz="4" w:space="0" w:color="auto"/>
            </w:tcBorders>
            <w:shd w:val="clear" w:color="auto" w:fill="auto"/>
            <w:vAlign w:val="center"/>
          </w:tcPr>
          <w:p w:rsidR="00E34693" w:rsidRPr="006E5888" w:rsidRDefault="00E34693" w:rsidP="00E8149C">
            <w:pPr>
              <w:tabs>
                <w:tab w:val="left" w:pos="1010"/>
              </w:tabs>
              <w:rPr>
                <w:b/>
                <w:szCs w:val="24"/>
              </w:rPr>
            </w:pPr>
            <w:r w:rsidRPr="006E5888">
              <w:rPr>
                <w:b/>
                <w:szCs w:val="24"/>
              </w:rPr>
              <w:t>IeM</w:t>
            </w:r>
          </w:p>
        </w:tc>
        <w:tc>
          <w:tcPr>
            <w:tcW w:w="4536" w:type="dxa"/>
            <w:tcBorders>
              <w:bottom w:val="single" w:sz="4" w:space="0" w:color="auto"/>
            </w:tcBorders>
            <w:shd w:val="clear" w:color="auto" w:fill="auto"/>
            <w:vAlign w:val="center"/>
          </w:tcPr>
          <w:p w:rsidR="00E34693" w:rsidRPr="006E5888" w:rsidRDefault="00E34693" w:rsidP="00E8149C">
            <w:pPr>
              <w:tabs>
                <w:tab w:val="left" w:pos="1010"/>
              </w:tabs>
              <w:jc w:val="both"/>
              <w:rPr>
                <w:szCs w:val="24"/>
              </w:rPr>
            </w:pPr>
            <w:r w:rsidRPr="006E5888">
              <w:rPr>
                <w:szCs w:val="24"/>
              </w:rPr>
              <w:t>11.01.00 Pilsonības un migrāciju lietu pārvalde</w:t>
            </w:r>
          </w:p>
        </w:tc>
        <w:tc>
          <w:tcPr>
            <w:tcW w:w="1560" w:type="dxa"/>
            <w:tcBorders>
              <w:bottom w:val="single" w:sz="4" w:space="0" w:color="auto"/>
            </w:tcBorders>
            <w:shd w:val="clear" w:color="auto" w:fill="auto"/>
            <w:vAlign w:val="center"/>
          </w:tcPr>
          <w:p w:rsidR="00E34693" w:rsidRPr="006E5888" w:rsidRDefault="00E34693" w:rsidP="005831D7">
            <w:pPr>
              <w:tabs>
                <w:tab w:val="left" w:pos="1010"/>
              </w:tabs>
              <w:jc w:val="right"/>
              <w:rPr>
                <w:szCs w:val="24"/>
              </w:rPr>
            </w:pPr>
            <w:r w:rsidRPr="006E5888">
              <w:rPr>
                <w:szCs w:val="24"/>
              </w:rPr>
              <w:t>880 880</w:t>
            </w:r>
          </w:p>
        </w:tc>
        <w:tc>
          <w:tcPr>
            <w:tcW w:w="1559" w:type="dxa"/>
            <w:tcBorders>
              <w:bottom w:val="single" w:sz="4" w:space="0" w:color="auto"/>
            </w:tcBorders>
            <w:shd w:val="clear" w:color="auto" w:fill="auto"/>
            <w:vAlign w:val="center"/>
          </w:tcPr>
          <w:p w:rsidR="00E34693" w:rsidRPr="006E5888" w:rsidRDefault="00E34693" w:rsidP="005831D7">
            <w:pPr>
              <w:tabs>
                <w:tab w:val="left" w:pos="1010"/>
              </w:tabs>
              <w:jc w:val="right"/>
              <w:rPr>
                <w:szCs w:val="24"/>
              </w:rPr>
            </w:pPr>
            <w:r w:rsidRPr="006E5888">
              <w:rPr>
                <w:szCs w:val="24"/>
              </w:rPr>
              <w:t>787 293</w:t>
            </w:r>
          </w:p>
        </w:tc>
      </w:tr>
      <w:tr w:rsidR="000257F7" w:rsidRPr="006E5888" w:rsidTr="00576F6B">
        <w:trPr>
          <w:trHeight w:val="20"/>
        </w:trPr>
        <w:tc>
          <w:tcPr>
            <w:tcW w:w="1696" w:type="dxa"/>
            <w:tcBorders>
              <w:bottom w:val="single" w:sz="4" w:space="0" w:color="auto"/>
            </w:tcBorders>
            <w:shd w:val="clear" w:color="auto" w:fill="auto"/>
            <w:vAlign w:val="center"/>
          </w:tcPr>
          <w:p w:rsidR="000257F7" w:rsidRPr="006E5888" w:rsidRDefault="000257F7" w:rsidP="000257F7">
            <w:pPr>
              <w:tabs>
                <w:tab w:val="left" w:pos="1010"/>
              </w:tabs>
              <w:rPr>
                <w:b/>
                <w:szCs w:val="24"/>
              </w:rPr>
            </w:pPr>
            <w:r w:rsidRPr="006E5888">
              <w:rPr>
                <w:b/>
                <w:szCs w:val="24"/>
              </w:rPr>
              <w:t>VARAM</w:t>
            </w:r>
          </w:p>
        </w:tc>
        <w:tc>
          <w:tcPr>
            <w:tcW w:w="4536" w:type="dxa"/>
            <w:tcBorders>
              <w:bottom w:val="single" w:sz="4" w:space="0" w:color="auto"/>
            </w:tcBorders>
            <w:shd w:val="clear" w:color="auto" w:fill="auto"/>
            <w:vAlign w:val="center"/>
          </w:tcPr>
          <w:p w:rsidR="000257F7" w:rsidRPr="006E5888" w:rsidRDefault="000257F7" w:rsidP="000257F7">
            <w:pPr>
              <w:tabs>
                <w:tab w:val="left" w:pos="1010"/>
              </w:tabs>
              <w:jc w:val="both"/>
              <w:rPr>
                <w:szCs w:val="24"/>
              </w:rPr>
            </w:pPr>
            <w:r w:rsidRPr="006E5888">
              <w:rPr>
                <w:szCs w:val="24"/>
              </w:rPr>
              <w:t>33.01.00 Emisijas kvotu izsolīšanas instrumenta administrācija</w:t>
            </w:r>
          </w:p>
        </w:tc>
        <w:tc>
          <w:tcPr>
            <w:tcW w:w="1560" w:type="dxa"/>
            <w:tcBorders>
              <w:bottom w:val="single" w:sz="4" w:space="0" w:color="auto"/>
            </w:tcBorders>
            <w:shd w:val="clear" w:color="auto" w:fill="auto"/>
            <w:vAlign w:val="center"/>
          </w:tcPr>
          <w:p w:rsidR="000257F7" w:rsidRPr="006E5888" w:rsidRDefault="000257F7" w:rsidP="005831D7">
            <w:pPr>
              <w:tabs>
                <w:tab w:val="left" w:pos="1010"/>
              </w:tabs>
              <w:jc w:val="right"/>
              <w:rPr>
                <w:szCs w:val="24"/>
              </w:rPr>
            </w:pPr>
            <w:r w:rsidRPr="006E5888">
              <w:rPr>
                <w:szCs w:val="24"/>
              </w:rPr>
              <w:t>445 000</w:t>
            </w:r>
          </w:p>
        </w:tc>
        <w:tc>
          <w:tcPr>
            <w:tcW w:w="1559" w:type="dxa"/>
            <w:tcBorders>
              <w:bottom w:val="single" w:sz="4" w:space="0" w:color="auto"/>
            </w:tcBorders>
            <w:shd w:val="clear" w:color="auto" w:fill="auto"/>
            <w:vAlign w:val="center"/>
          </w:tcPr>
          <w:p w:rsidR="000257F7" w:rsidRPr="006E5888" w:rsidRDefault="000257F7" w:rsidP="005831D7">
            <w:pPr>
              <w:tabs>
                <w:tab w:val="left" w:pos="1010"/>
              </w:tabs>
              <w:jc w:val="right"/>
              <w:rPr>
                <w:szCs w:val="24"/>
              </w:rPr>
            </w:pPr>
            <w:r w:rsidRPr="006E5888">
              <w:rPr>
                <w:szCs w:val="24"/>
              </w:rPr>
              <w:t>445 000</w:t>
            </w:r>
          </w:p>
        </w:tc>
      </w:tr>
      <w:tr w:rsidR="00E34693" w:rsidRPr="006E5888" w:rsidTr="00576F6B">
        <w:trPr>
          <w:trHeight w:val="20"/>
        </w:trPr>
        <w:tc>
          <w:tcPr>
            <w:tcW w:w="1696" w:type="dxa"/>
            <w:tcBorders>
              <w:bottom w:val="single" w:sz="4" w:space="0" w:color="auto"/>
            </w:tcBorders>
            <w:shd w:val="clear" w:color="auto" w:fill="auto"/>
            <w:vAlign w:val="center"/>
          </w:tcPr>
          <w:p w:rsidR="00E34693" w:rsidRPr="006E5888" w:rsidRDefault="00E34693" w:rsidP="00E8149C">
            <w:pPr>
              <w:tabs>
                <w:tab w:val="left" w:pos="1010"/>
              </w:tabs>
              <w:rPr>
                <w:b/>
                <w:szCs w:val="24"/>
              </w:rPr>
            </w:pPr>
            <w:r w:rsidRPr="006E5888">
              <w:rPr>
                <w:b/>
                <w:szCs w:val="24"/>
              </w:rPr>
              <w:t>LM</w:t>
            </w:r>
          </w:p>
        </w:tc>
        <w:tc>
          <w:tcPr>
            <w:tcW w:w="4536" w:type="dxa"/>
            <w:tcBorders>
              <w:bottom w:val="single" w:sz="4" w:space="0" w:color="auto"/>
            </w:tcBorders>
            <w:shd w:val="clear" w:color="auto" w:fill="auto"/>
          </w:tcPr>
          <w:p w:rsidR="00E34693" w:rsidRPr="006E5888" w:rsidRDefault="00E34693" w:rsidP="00E8149C">
            <w:pPr>
              <w:tabs>
                <w:tab w:val="left" w:pos="1010"/>
              </w:tabs>
              <w:jc w:val="both"/>
              <w:rPr>
                <w:szCs w:val="24"/>
              </w:rPr>
            </w:pPr>
            <w:r w:rsidRPr="006E5888">
              <w:rPr>
                <w:szCs w:val="24"/>
              </w:rPr>
              <w:t>07.01.00 Nodarbinātības valsts aģentūras darbības nodrošināšana</w:t>
            </w:r>
          </w:p>
        </w:tc>
        <w:tc>
          <w:tcPr>
            <w:tcW w:w="1560" w:type="dxa"/>
            <w:tcBorders>
              <w:bottom w:val="single" w:sz="4" w:space="0" w:color="auto"/>
            </w:tcBorders>
            <w:shd w:val="clear" w:color="auto" w:fill="auto"/>
            <w:vAlign w:val="center"/>
          </w:tcPr>
          <w:p w:rsidR="00E34693" w:rsidRPr="006E5888" w:rsidRDefault="00E34693" w:rsidP="005831D7">
            <w:pPr>
              <w:tabs>
                <w:tab w:val="left" w:pos="1010"/>
              </w:tabs>
              <w:jc w:val="right"/>
              <w:rPr>
                <w:szCs w:val="24"/>
              </w:rPr>
            </w:pPr>
            <w:r w:rsidRPr="006E5888">
              <w:rPr>
                <w:szCs w:val="24"/>
              </w:rPr>
              <w:t>213 562</w:t>
            </w:r>
          </w:p>
        </w:tc>
        <w:tc>
          <w:tcPr>
            <w:tcW w:w="1559" w:type="dxa"/>
            <w:tcBorders>
              <w:bottom w:val="single" w:sz="4" w:space="0" w:color="auto"/>
            </w:tcBorders>
            <w:shd w:val="clear" w:color="auto" w:fill="auto"/>
            <w:vAlign w:val="center"/>
          </w:tcPr>
          <w:p w:rsidR="00E34693" w:rsidRPr="006E5888" w:rsidRDefault="00E34693" w:rsidP="005831D7">
            <w:pPr>
              <w:tabs>
                <w:tab w:val="left" w:pos="1010"/>
              </w:tabs>
              <w:jc w:val="right"/>
              <w:rPr>
                <w:szCs w:val="24"/>
              </w:rPr>
            </w:pPr>
            <w:r w:rsidRPr="006E5888">
              <w:rPr>
                <w:szCs w:val="24"/>
              </w:rPr>
              <w:t>213 562</w:t>
            </w:r>
          </w:p>
        </w:tc>
      </w:tr>
      <w:tr w:rsidR="00E34693" w:rsidRPr="006E5888" w:rsidTr="009665AA">
        <w:trPr>
          <w:trHeight w:val="20"/>
        </w:trPr>
        <w:tc>
          <w:tcPr>
            <w:tcW w:w="623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34693" w:rsidRPr="006E5888" w:rsidRDefault="00E34693" w:rsidP="00E8149C">
            <w:pPr>
              <w:tabs>
                <w:tab w:val="left" w:pos="1010"/>
              </w:tabs>
              <w:jc w:val="right"/>
              <w:rPr>
                <w:b/>
                <w:szCs w:val="24"/>
              </w:rPr>
            </w:pPr>
            <w:r w:rsidRPr="006E5888">
              <w:rPr>
                <w:b/>
                <w:szCs w:val="24"/>
              </w:rPr>
              <w:t>Kopā:</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34693" w:rsidRPr="006E5888" w:rsidRDefault="00576F6B" w:rsidP="005831D7">
            <w:pPr>
              <w:tabs>
                <w:tab w:val="left" w:pos="1010"/>
              </w:tabs>
              <w:jc w:val="right"/>
              <w:rPr>
                <w:b/>
                <w:szCs w:val="24"/>
              </w:rPr>
            </w:pPr>
            <w:r w:rsidRPr="006E5888">
              <w:rPr>
                <w:b/>
                <w:szCs w:val="24"/>
              </w:rPr>
              <w:t>1 539 442</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34693" w:rsidRPr="006E5888" w:rsidRDefault="00E34693" w:rsidP="005831D7">
            <w:pPr>
              <w:tabs>
                <w:tab w:val="left" w:pos="1010"/>
              </w:tabs>
              <w:jc w:val="right"/>
              <w:rPr>
                <w:b/>
                <w:szCs w:val="24"/>
              </w:rPr>
            </w:pPr>
            <w:r w:rsidRPr="006E5888">
              <w:rPr>
                <w:b/>
                <w:szCs w:val="24"/>
              </w:rPr>
              <w:t>1 445 855</w:t>
            </w:r>
          </w:p>
        </w:tc>
      </w:tr>
    </w:tbl>
    <w:p w:rsidR="00D72441" w:rsidRPr="006E5888" w:rsidRDefault="00D72441" w:rsidP="00E34693">
      <w:pPr>
        <w:jc w:val="both"/>
        <w:rPr>
          <w:b/>
        </w:rPr>
      </w:pPr>
    </w:p>
    <w:p w:rsidR="00E34693" w:rsidRPr="006E5888" w:rsidRDefault="00E34693" w:rsidP="00E34693">
      <w:pPr>
        <w:jc w:val="both"/>
        <w:rPr>
          <w:b/>
        </w:rPr>
      </w:pPr>
      <w:r w:rsidRPr="006E5888">
        <w:rPr>
          <w:b/>
        </w:rPr>
        <w:t>IeM</w:t>
      </w:r>
    </w:p>
    <w:p w:rsidR="00E34693" w:rsidRPr="006E5888" w:rsidRDefault="00E34693" w:rsidP="009665AA">
      <w:pPr>
        <w:tabs>
          <w:tab w:val="left" w:pos="709"/>
          <w:tab w:val="left" w:pos="8222"/>
          <w:tab w:val="left" w:pos="8647"/>
        </w:tabs>
        <w:spacing w:before="120"/>
        <w:jc w:val="center"/>
      </w:pPr>
      <w:r w:rsidRPr="006E5888">
        <w:rPr>
          <w:noProof/>
          <w:lang w:eastAsia="lv-LV"/>
        </w:rPr>
        <w:drawing>
          <wp:inline distT="0" distB="0" distL="0" distR="0" wp14:anchorId="31B4C00B" wp14:editId="7E383BEF">
            <wp:extent cx="4709160" cy="2838298"/>
            <wp:effectExtent l="19050" t="19050" r="15240" b="196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09160" cy="2838298"/>
                    </a:xfrm>
                    <a:prstGeom prst="rect">
                      <a:avLst/>
                    </a:prstGeom>
                    <a:noFill/>
                    <a:ln>
                      <a:solidFill>
                        <a:schemeClr val="bg1">
                          <a:lumMod val="85000"/>
                        </a:schemeClr>
                      </a:solidFill>
                    </a:ln>
                  </pic:spPr>
                </pic:pic>
              </a:graphicData>
            </a:graphic>
          </wp:inline>
        </w:drawing>
      </w:r>
    </w:p>
    <w:p w:rsidR="0007090E" w:rsidRPr="006E5888" w:rsidRDefault="00653F38" w:rsidP="00A87C23">
      <w:pPr>
        <w:tabs>
          <w:tab w:val="left" w:pos="1967"/>
        </w:tabs>
        <w:spacing w:before="120" w:after="120"/>
        <w:jc w:val="center"/>
        <w:rPr>
          <w:sz w:val="22"/>
        </w:rPr>
      </w:pPr>
      <w:r w:rsidRPr="006E5888">
        <w:rPr>
          <w:sz w:val="22"/>
        </w:rPr>
        <w:t>7</w:t>
      </w:r>
      <w:r w:rsidR="00E34693" w:rsidRPr="006E5888">
        <w:rPr>
          <w:sz w:val="22"/>
        </w:rPr>
        <w:t>.</w:t>
      </w:r>
      <w:r w:rsidR="00E34693" w:rsidRPr="006E5888">
        <w:rPr>
          <w:i/>
          <w:sz w:val="22"/>
        </w:rPr>
        <w:t>att.</w:t>
      </w:r>
      <w:r w:rsidR="00E34693" w:rsidRPr="006E5888">
        <w:rPr>
          <w:sz w:val="22"/>
        </w:rPr>
        <w:t xml:space="preserve"> </w:t>
      </w:r>
      <w:r w:rsidR="00E34693" w:rsidRPr="006E5888">
        <w:rPr>
          <w:b/>
          <w:sz w:val="22"/>
        </w:rPr>
        <w:t xml:space="preserve">Ilgtermiņa saistību pasākuma “ES prasībām atbilstošu pasu, elektronisko identifikācijas karšu un uzturēšanās atļauju izsniegšana” rezultatīvo rādītāju sasaiste ar finansējumu, </w:t>
      </w:r>
      <w:r w:rsidR="00E34693" w:rsidRPr="006E5888">
        <w:rPr>
          <w:sz w:val="22"/>
        </w:rPr>
        <w:t xml:space="preserve">milj. </w:t>
      </w:r>
      <w:proofErr w:type="spellStart"/>
      <w:r w:rsidR="00E34693" w:rsidRPr="006E5888">
        <w:rPr>
          <w:i/>
          <w:sz w:val="22"/>
        </w:rPr>
        <w:t>euro</w:t>
      </w:r>
      <w:proofErr w:type="spellEnd"/>
    </w:p>
    <w:p w:rsidR="00BE39AF" w:rsidRPr="006E5888" w:rsidRDefault="00BE39AF" w:rsidP="00BE39AF">
      <w:pPr>
        <w:ind w:firstLine="709"/>
        <w:jc w:val="both"/>
      </w:pPr>
      <w:r w:rsidRPr="006E5888">
        <w:lastRenderedPageBreak/>
        <w:t xml:space="preserve">Analizējot IeM pamatbudžeta izdevumus, konstatēts, ka pamatbudžeta apakšprogrammā 11.01.00 “Pilsonības un migrāciju lietu pārvalde” saskaņā ar likuma “Par valsts budžetu 2016.gadam” saistību pielikumu, sākot ar 2017.gadu, pasu un personas apliecību izsniegšanai paredzētais finansējums pieaug, bet saskaņā ar rezultatīvo rādītāju budžeta paskaidrojumā norādīto tendenci – izsniegto pasu daudzumā arī 2017. un 2018.gadā paredzēts samazinājums, bet personas apliecībām palielinājums. (skat. </w:t>
      </w:r>
      <w:r w:rsidR="00653F38" w:rsidRPr="006E5888">
        <w:t>7</w:t>
      </w:r>
      <w:r w:rsidRPr="006E5888">
        <w:t>.</w:t>
      </w:r>
      <w:r w:rsidRPr="006E5888">
        <w:rPr>
          <w:i/>
        </w:rPr>
        <w:t>att</w:t>
      </w:r>
      <w:r w:rsidRPr="006E5888">
        <w:t>.)</w:t>
      </w:r>
    </w:p>
    <w:p w:rsidR="00BE39AF" w:rsidRPr="006E5888" w:rsidRDefault="00BE39AF" w:rsidP="00BE39AF">
      <w:pPr>
        <w:ind w:firstLine="709"/>
        <w:jc w:val="both"/>
      </w:pPr>
      <w:r w:rsidRPr="006E5888">
        <w:t xml:space="preserve">Līdz ar to, rezultatīvajam rādītājam saglabājoties 2016.gada līmenī, secināms, ka šajā budžeta apakšprogrammas ir pieejami resursi JPI finansēšanai vismaz </w:t>
      </w:r>
      <w:r w:rsidRPr="006E5888">
        <w:rPr>
          <w:b/>
        </w:rPr>
        <w:t xml:space="preserve">880 880 </w:t>
      </w:r>
      <w:proofErr w:type="spellStart"/>
      <w:r w:rsidRPr="006E5888">
        <w:rPr>
          <w:b/>
          <w:i/>
        </w:rPr>
        <w:t>euro</w:t>
      </w:r>
      <w:proofErr w:type="spellEnd"/>
      <w:r w:rsidRPr="006E5888">
        <w:t xml:space="preserve"> 2017.gadam un </w:t>
      </w:r>
      <w:r w:rsidRPr="006E5888">
        <w:rPr>
          <w:b/>
        </w:rPr>
        <w:t xml:space="preserve">787 293 </w:t>
      </w:r>
      <w:proofErr w:type="spellStart"/>
      <w:r w:rsidRPr="006E5888">
        <w:rPr>
          <w:b/>
          <w:i/>
        </w:rPr>
        <w:t>euro</w:t>
      </w:r>
      <w:proofErr w:type="spellEnd"/>
      <w:r w:rsidRPr="006E5888">
        <w:t xml:space="preserve"> 2018.gadam.</w:t>
      </w:r>
    </w:p>
    <w:p w:rsidR="00D72441" w:rsidRPr="006E5888" w:rsidRDefault="00D72441" w:rsidP="00E34693">
      <w:pPr>
        <w:spacing w:before="120" w:after="120"/>
        <w:jc w:val="both"/>
        <w:rPr>
          <w:b/>
          <w:sz w:val="8"/>
          <w:szCs w:val="8"/>
        </w:rPr>
      </w:pPr>
    </w:p>
    <w:p w:rsidR="00E34693" w:rsidRPr="006E5888" w:rsidRDefault="00E34693" w:rsidP="00E34693">
      <w:pPr>
        <w:spacing w:before="120" w:after="120"/>
        <w:jc w:val="both"/>
        <w:rPr>
          <w:b/>
        </w:rPr>
      </w:pPr>
      <w:r w:rsidRPr="006E5888">
        <w:rPr>
          <w:b/>
        </w:rPr>
        <w:t>LM</w:t>
      </w:r>
    </w:p>
    <w:p w:rsidR="00E34693" w:rsidRPr="006E5888" w:rsidRDefault="00E34693" w:rsidP="003810DA">
      <w:pPr>
        <w:ind w:firstLine="709"/>
        <w:jc w:val="both"/>
      </w:pPr>
      <w:r w:rsidRPr="006E5888">
        <w:t xml:space="preserve">Analizējot LM pamatbudžeta izdevumus, konstatēts, ka LM pamatbudžeta apakšprogrammas 07.01.00 “Nodarbinātības valsts aģentūras darbības nodrošināšana” darbības rezultatīvie rādītāji samazinās, savukārt finansējums pieaug. (skat. </w:t>
      </w:r>
      <w:r w:rsidR="00653F38" w:rsidRPr="006E5888">
        <w:t>8</w:t>
      </w:r>
      <w:r w:rsidRPr="006E5888">
        <w:t>.</w:t>
      </w:r>
      <w:r w:rsidRPr="006E5888">
        <w:rPr>
          <w:i/>
        </w:rPr>
        <w:t>att</w:t>
      </w:r>
      <w:r w:rsidRPr="006E5888">
        <w:t>.)</w:t>
      </w:r>
    </w:p>
    <w:p w:rsidR="005810FA" w:rsidRPr="006E5888" w:rsidRDefault="005810FA" w:rsidP="00BE39AF">
      <w:pPr>
        <w:spacing w:after="120"/>
        <w:ind w:right="119" w:firstLine="709"/>
        <w:jc w:val="both"/>
        <w:rPr>
          <w:szCs w:val="24"/>
        </w:rPr>
      </w:pPr>
      <w:r w:rsidRPr="006E5888">
        <w:rPr>
          <w:szCs w:val="24"/>
        </w:rPr>
        <w:t xml:space="preserve">Aplūkojot rezultatīvo rādītāju sasaisti ar finansējumu apakšprogrammā 07.01.00 “Nodarbinātības valsts aģentūras darbības nodrošināšana”, secināms, ka NVA 2015.gadā vidēji mēnesī tika apkalpoti 74 549 klienti, bet 2010.gadā – 180 032 klienti, proti, 2015.gadā vidēji mēnesī tika apkalpoti par 58,6% mazāk klientu nekā 2010.gadā. Savukārt kopējie izdevumi NVA 2015.gadā (6 392 544 </w:t>
      </w:r>
      <w:proofErr w:type="spellStart"/>
      <w:r w:rsidRPr="006E5888">
        <w:rPr>
          <w:i/>
          <w:szCs w:val="24"/>
        </w:rPr>
        <w:t>euro</w:t>
      </w:r>
      <w:proofErr w:type="spellEnd"/>
      <w:r w:rsidRPr="006E5888">
        <w:rPr>
          <w:szCs w:val="24"/>
        </w:rPr>
        <w:t>) bija par 8,3%</w:t>
      </w:r>
      <w:r w:rsidRPr="006E5888">
        <w:rPr>
          <w:i/>
          <w:szCs w:val="24"/>
        </w:rPr>
        <w:t xml:space="preserve"> </w:t>
      </w:r>
      <w:r w:rsidRPr="006E5888">
        <w:rPr>
          <w:szCs w:val="24"/>
        </w:rPr>
        <w:t xml:space="preserve">lielāki nekā 2010.gadā (5 904 263 </w:t>
      </w:r>
      <w:proofErr w:type="spellStart"/>
      <w:r w:rsidRPr="006E5888">
        <w:rPr>
          <w:i/>
          <w:szCs w:val="24"/>
        </w:rPr>
        <w:t>euro</w:t>
      </w:r>
      <w:proofErr w:type="spellEnd"/>
      <w:r w:rsidRPr="006E5888">
        <w:rPr>
          <w:szCs w:val="24"/>
        </w:rPr>
        <w:t>). Viens NVA klientu apkalpošanas speciālists vidēji mēnesī 2015.gadā apkalpoja 132 klientus, kas, salīdzinot ar 2010.gadu, ir par 82,4% mazāk nekā 2010.gadā, kad viens NVA klientu apkalpošanas speciālists vidēji mēnesī apkalpoja 748 klientus. Kā rezultātā viena klienta apmeklējuma izmaksas</w:t>
      </w:r>
      <w:r w:rsidR="00D30621" w:rsidRPr="006E5888">
        <w:rPr>
          <w:szCs w:val="24"/>
        </w:rPr>
        <w:t>,</w:t>
      </w:r>
      <w:r w:rsidRPr="006E5888">
        <w:rPr>
          <w:szCs w:val="24"/>
        </w:rPr>
        <w:t xml:space="preserve"> sākot ar 2010.gadu</w:t>
      </w:r>
      <w:r w:rsidR="00D30621" w:rsidRPr="006E5888">
        <w:rPr>
          <w:szCs w:val="24"/>
        </w:rPr>
        <w:t>,</w:t>
      </w:r>
      <w:r w:rsidRPr="006E5888">
        <w:rPr>
          <w:szCs w:val="24"/>
        </w:rPr>
        <w:t xml:space="preserve"> strauji pieaug (no 2,7 </w:t>
      </w:r>
      <w:proofErr w:type="spellStart"/>
      <w:r w:rsidRPr="006E5888">
        <w:rPr>
          <w:i/>
          <w:szCs w:val="24"/>
        </w:rPr>
        <w:t>euro</w:t>
      </w:r>
      <w:proofErr w:type="spellEnd"/>
      <w:r w:rsidRPr="006E5888">
        <w:rPr>
          <w:szCs w:val="24"/>
        </w:rPr>
        <w:t xml:space="preserve">  2010.gadā līdz 8,4 </w:t>
      </w:r>
      <w:proofErr w:type="spellStart"/>
      <w:r w:rsidRPr="006E5888">
        <w:rPr>
          <w:i/>
          <w:szCs w:val="24"/>
        </w:rPr>
        <w:t>euro</w:t>
      </w:r>
      <w:proofErr w:type="spellEnd"/>
      <w:r w:rsidRPr="006E5888">
        <w:rPr>
          <w:szCs w:val="24"/>
        </w:rPr>
        <w:t xml:space="preserve"> 2016.gadā). Tādējādi veidojas situācija, kad apkalpoto klientu skaits samazinās, taču izdevumi palielinās.</w:t>
      </w:r>
    </w:p>
    <w:p w:rsidR="00A87C23" w:rsidRPr="006E5888" w:rsidRDefault="00A87C23" w:rsidP="00A87C23">
      <w:pPr>
        <w:ind w:right="119" w:firstLine="709"/>
        <w:jc w:val="both"/>
        <w:rPr>
          <w:sz w:val="8"/>
          <w:szCs w:val="8"/>
        </w:rPr>
      </w:pPr>
    </w:p>
    <w:p w:rsidR="00E34693" w:rsidRPr="006E5888" w:rsidRDefault="00E34693" w:rsidP="00D72441">
      <w:pPr>
        <w:tabs>
          <w:tab w:val="left" w:pos="993"/>
          <w:tab w:val="left" w:pos="1276"/>
          <w:tab w:val="left" w:pos="8080"/>
          <w:tab w:val="left" w:pos="8364"/>
        </w:tabs>
        <w:jc w:val="center"/>
      </w:pPr>
      <w:r w:rsidRPr="006E5888">
        <w:rPr>
          <w:noProof/>
          <w:lang w:eastAsia="lv-LV"/>
        </w:rPr>
        <w:drawing>
          <wp:inline distT="0" distB="0" distL="0" distR="0" wp14:anchorId="4E604D23" wp14:editId="5F7C27BB">
            <wp:extent cx="4655438" cy="2911450"/>
            <wp:effectExtent l="19050" t="19050" r="12065" b="228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44829" cy="2967354"/>
                    </a:xfrm>
                    <a:prstGeom prst="rect">
                      <a:avLst/>
                    </a:prstGeom>
                    <a:noFill/>
                    <a:ln>
                      <a:solidFill>
                        <a:schemeClr val="bg1">
                          <a:lumMod val="95000"/>
                        </a:schemeClr>
                      </a:solidFill>
                    </a:ln>
                  </pic:spPr>
                </pic:pic>
              </a:graphicData>
            </a:graphic>
          </wp:inline>
        </w:drawing>
      </w:r>
    </w:p>
    <w:p w:rsidR="00D72441" w:rsidRPr="006E5888" w:rsidRDefault="00D72441" w:rsidP="00D72441">
      <w:pPr>
        <w:tabs>
          <w:tab w:val="left" w:pos="993"/>
          <w:tab w:val="left" w:pos="1276"/>
          <w:tab w:val="left" w:pos="8080"/>
          <w:tab w:val="left" w:pos="8364"/>
        </w:tabs>
        <w:rPr>
          <w:sz w:val="16"/>
          <w:szCs w:val="16"/>
        </w:rPr>
      </w:pPr>
      <w:r w:rsidRPr="006E5888">
        <w:rPr>
          <w:sz w:val="16"/>
          <w:szCs w:val="16"/>
        </w:rPr>
        <w:t>*valsts budžeta plāns 2016.gadā</w:t>
      </w:r>
    </w:p>
    <w:p w:rsidR="00E34693" w:rsidRPr="006E5888" w:rsidRDefault="00653F38" w:rsidP="009665AA">
      <w:pPr>
        <w:tabs>
          <w:tab w:val="left" w:pos="1967"/>
        </w:tabs>
        <w:spacing w:before="120" w:after="120"/>
        <w:jc w:val="center"/>
        <w:rPr>
          <w:b/>
          <w:sz w:val="22"/>
        </w:rPr>
      </w:pPr>
      <w:r w:rsidRPr="006E5888">
        <w:rPr>
          <w:sz w:val="22"/>
        </w:rPr>
        <w:t>8</w:t>
      </w:r>
      <w:r w:rsidR="00E34693" w:rsidRPr="006E5888">
        <w:rPr>
          <w:sz w:val="22"/>
        </w:rPr>
        <w:t>.</w:t>
      </w:r>
      <w:r w:rsidR="00E34693" w:rsidRPr="006E5888">
        <w:rPr>
          <w:i/>
          <w:sz w:val="22"/>
        </w:rPr>
        <w:t>att.</w:t>
      </w:r>
      <w:r w:rsidR="00E34693" w:rsidRPr="006E5888">
        <w:rPr>
          <w:sz w:val="22"/>
        </w:rPr>
        <w:t xml:space="preserve"> </w:t>
      </w:r>
      <w:r w:rsidR="00E34693" w:rsidRPr="006E5888">
        <w:rPr>
          <w:b/>
          <w:sz w:val="22"/>
        </w:rPr>
        <w:t>Apakšprogrammas 07.01.00 “Nodarbinātības valsts aģentūras darbības nodrošināšana” rezultatīvo rādītāju sasaiste ar finansējumu</w:t>
      </w:r>
    </w:p>
    <w:p w:rsidR="00D72441" w:rsidRPr="006E5888" w:rsidRDefault="00D72441" w:rsidP="00D72441">
      <w:pPr>
        <w:jc w:val="both"/>
        <w:rPr>
          <w:sz w:val="8"/>
          <w:szCs w:val="8"/>
        </w:rPr>
      </w:pPr>
    </w:p>
    <w:p w:rsidR="00E34693" w:rsidRPr="006E5888" w:rsidRDefault="00E34693" w:rsidP="00D72441">
      <w:pPr>
        <w:ind w:firstLine="709"/>
        <w:jc w:val="both"/>
        <w:rPr>
          <w:szCs w:val="24"/>
        </w:rPr>
      </w:pPr>
      <w:r w:rsidRPr="006E5888">
        <w:rPr>
          <w:szCs w:val="24"/>
        </w:rPr>
        <w:t xml:space="preserve">LM sniedz informāciju, ka </w:t>
      </w:r>
      <w:r w:rsidR="00D34B15" w:rsidRPr="006E5888">
        <w:rPr>
          <w:szCs w:val="24"/>
        </w:rPr>
        <w:t>NVA</w:t>
      </w:r>
      <w:r w:rsidRPr="006E5888">
        <w:rPr>
          <w:szCs w:val="24"/>
        </w:rPr>
        <w:t xml:space="preserve"> ir palielinājies klientu īpatsvars, kuri netiek tieši apkalpoti Klientu apkalpošanas centros, kā arī </w:t>
      </w:r>
      <w:r w:rsidRPr="006E5888">
        <w:rPr>
          <w:bCs/>
        </w:rPr>
        <w:t>klientu gadījumi kļūst komplicētāki.</w:t>
      </w:r>
    </w:p>
    <w:p w:rsidR="00E34693" w:rsidRPr="006E5888" w:rsidRDefault="00E34693" w:rsidP="00E34693">
      <w:pPr>
        <w:ind w:firstLine="720"/>
        <w:jc w:val="both"/>
      </w:pPr>
      <w:r w:rsidRPr="006E5888">
        <w:t>2016.gadā NVA izveidos monitoringa sistēmu jauno e-pakalpojumus izmantojušo klientu uzskaitei un iekļaus 2017.gada budžeta paskaidrojuma rakstā papildu rādītāju – attālināti apkalpoto klientu skaits.</w:t>
      </w:r>
    </w:p>
    <w:p w:rsidR="00E34693" w:rsidRPr="006E5888" w:rsidRDefault="00E34693" w:rsidP="00E34693">
      <w:pPr>
        <w:jc w:val="both"/>
        <w:rPr>
          <w:color w:val="1F497D"/>
        </w:rPr>
      </w:pPr>
      <w:r w:rsidRPr="006E5888">
        <w:lastRenderedPageBreak/>
        <w:tab/>
        <w:t>Piemērojot 2017. un 2018.gadā apkalpojamo klientu skaitam 2015.gada izmaksas un pieņemot</w:t>
      </w:r>
      <w:r w:rsidR="00416A3E" w:rsidRPr="006E5888">
        <w:t>,</w:t>
      </w:r>
      <w:r w:rsidRPr="006E5888">
        <w:t xml:space="preserve"> ka tikai 20% no izmaksām attiecas uz klātienes klientu apkalpošanu, secināms, ka šajā budžeta apakšprogrammā ir pieejami resursi JPI finansēšanai vismaz </w:t>
      </w:r>
      <w:r w:rsidRPr="006E5888">
        <w:rPr>
          <w:b/>
          <w:szCs w:val="24"/>
        </w:rPr>
        <w:t>213 562</w:t>
      </w:r>
      <w:r w:rsidRPr="006E5888">
        <w:t xml:space="preserve"> </w:t>
      </w:r>
      <w:proofErr w:type="spellStart"/>
      <w:r w:rsidRPr="006E5888">
        <w:rPr>
          <w:b/>
          <w:i/>
          <w:iCs/>
        </w:rPr>
        <w:t>euro</w:t>
      </w:r>
      <w:proofErr w:type="spellEnd"/>
      <w:r w:rsidRPr="006E5888">
        <w:rPr>
          <w:b/>
        </w:rPr>
        <w:t xml:space="preserve"> </w:t>
      </w:r>
      <w:r w:rsidR="00DC1696" w:rsidRPr="006E5888">
        <w:t>apmērā</w:t>
      </w:r>
      <w:r w:rsidRPr="006E5888">
        <w:t>.</w:t>
      </w:r>
    </w:p>
    <w:p w:rsidR="00E34693" w:rsidRPr="006E5888" w:rsidRDefault="00E34693" w:rsidP="00E34693">
      <w:pPr>
        <w:jc w:val="both"/>
        <w:rPr>
          <w:sz w:val="8"/>
          <w:szCs w:val="8"/>
        </w:rPr>
      </w:pPr>
    </w:p>
    <w:p w:rsidR="0007090E" w:rsidRPr="006E5888" w:rsidRDefault="0007090E" w:rsidP="00E34693">
      <w:pPr>
        <w:jc w:val="both"/>
        <w:rPr>
          <w:b/>
        </w:rPr>
      </w:pPr>
    </w:p>
    <w:p w:rsidR="00E34693" w:rsidRPr="006E5888" w:rsidRDefault="00E34693" w:rsidP="00E34693">
      <w:pPr>
        <w:jc w:val="both"/>
        <w:rPr>
          <w:b/>
        </w:rPr>
      </w:pPr>
      <w:r w:rsidRPr="006E5888">
        <w:rPr>
          <w:b/>
        </w:rPr>
        <w:t>VARAM</w:t>
      </w:r>
    </w:p>
    <w:p w:rsidR="00E34693" w:rsidRPr="006E5888" w:rsidRDefault="00E34693" w:rsidP="00D40D91">
      <w:pPr>
        <w:ind w:firstLine="709"/>
        <w:jc w:val="both"/>
        <w:rPr>
          <w:rFonts w:cs="Times New Roman"/>
          <w:szCs w:val="24"/>
        </w:rPr>
      </w:pPr>
      <w:r w:rsidRPr="006E5888">
        <w:t>Analizējot VAR</w:t>
      </w:r>
      <w:r w:rsidR="006C5216" w:rsidRPr="006E5888">
        <w:t>A</w:t>
      </w:r>
      <w:r w:rsidRPr="006E5888">
        <w:t>M pamatbudžeta izdevumus, konstatēts, ka</w:t>
      </w:r>
      <w:r w:rsidRPr="006E5888">
        <w:rPr>
          <w:rFonts w:cs="Times New Roman"/>
          <w:szCs w:val="24"/>
        </w:rPr>
        <w:t xml:space="preserve"> budžeta apakšprogrammā 33.02.00 “Emisijas kvotu izsolīšanas instrumenta projekti” finansējums šobrīd ir ieplānots lielākā apmērā nekā </w:t>
      </w:r>
      <w:hyperlink r:id="rId16" w:tgtFrame="_self" w:history="1">
        <w:r w:rsidRPr="006E5888">
          <w:rPr>
            <w:rFonts w:cs="Times New Roman"/>
            <w:szCs w:val="24"/>
          </w:rPr>
          <w:t>MK 2016.gada 12.janvāra noteikumu Nr.35</w:t>
        </w:r>
        <w:r w:rsidRPr="006E5888">
          <w:rPr>
            <w:rStyle w:val="FootnoteReference"/>
            <w:rFonts w:cs="Times New Roman"/>
            <w:szCs w:val="24"/>
          </w:rPr>
          <w:footnoteReference w:id="5"/>
        </w:r>
        <w:r w:rsidRPr="006E5888">
          <w:rPr>
            <w:rFonts w:cs="Times New Roman"/>
            <w:szCs w:val="24"/>
          </w:rPr>
          <w:t xml:space="preserve"> </w:t>
        </w:r>
      </w:hyperlink>
      <w:r w:rsidRPr="006E5888">
        <w:rPr>
          <w:rFonts w:cs="Times New Roman"/>
          <w:szCs w:val="24"/>
        </w:rPr>
        <w:t xml:space="preserve">un </w:t>
      </w:r>
      <w:hyperlink r:id="rId17" w:tgtFrame="_self" w:history="1">
        <w:r w:rsidRPr="006E5888">
          <w:rPr>
            <w:rFonts w:cs="Times New Roman"/>
            <w:szCs w:val="24"/>
          </w:rPr>
          <w:t>MK 2016.gada 26.janvāra noteikumu Nr.69</w:t>
        </w:r>
        <w:r w:rsidRPr="006E5888">
          <w:rPr>
            <w:rStyle w:val="FootnoteReference"/>
            <w:rFonts w:cs="Times New Roman"/>
            <w:szCs w:val="24"/>
          </w:rPr>
          <w:footnoteReference w:id="6"/>
        </w:r>
        <w:r w:rsidRPr="006E5888">
          <w:rPr>
            <w:rFonts w:cs="Times New Roman"/>
            <w:szCs w:val="24"/>
          </w:rPr>
          <w:t xml:space="preserve"> </w:t>
        </w:r>
      </w:hyperlink>
      <w:r w:rsidRPr="006E5888">
        <w:rPr>
          <w:rFonts w:cs="Times New Roman"/>
          <w:szCs w:val="24"/>
        </w:rPr>
        <w:t>(turpm</w:t>
      </w:r>
      <w:r w:rsidR="00CB73CE" w:rsidRPr="006E5888">
        <w:rPr>
          <w:rFonts w:cs="Times New Roman"/>
          <w:szCs w:val="24"/>
        </w:rPr>
        <w:t>āk – projektu konkursi</w:t>
      </w:r>
      <w:r w:rsidRPr="006E5888">
        <w:rPr>
          <w:rFonts w:cs="Times New Roman"/>
          <w:szCs w:val="24"/>
        </w:rPr>
        <w:t xml:space="preserve">) anotācijās plānotais finansējums projektu īstenošanai. </w:t>
      </w:r>
    </w:p>
    <w:p w:rsidR="00921FF2" w:rsidRPr="006E5888" w:rsidRDefault="00921FF2" w:rsidP="00A87C23">
      <w:pPr>
        <w:tabs>
          <w:tab w:val="left" w:pos="8505"/>
        </w:tabs>
        <w:ind w:firstLine="709"/>
        <w:jc w:val="both"/>
        <w:rPr>
          <w:szCs w:val="24"/>
        </w:rPr>
      </w:pPr>
      <w:r w:rsidRPr="006E5888">
        <w:rPr>
          <w:szCs w:val="24"/>
        </w:rPr>
        <w:t>Atbilstoši likuma “Par piesārņojumu” 32.</w:t>
      </w:r>
      <w:r w:rsidRPr="006E5888">
        <w:rPr>
          <w:szCs w:val="24"/>
          <w:vertAlign w:val="superscript"/>
        </w:rPr>
        <w:t>2</w:t>
      </w:r>
      <w:r w:rsidR="00416A3E" w:rsidRPr="006E5888">
        <w:rPr>
          <w:szCs w:val="24"/>
        </w:rPr>
        <w:t xml:space="preserve"> panta </w:t>
      </w:r>
      <w:r w:rsidRPr="006E5888">
        <w:rPr>
          <w:szCs w:val="24"/>
        </w:rPr>
        <w:t>4</w:t>
      </w:r>
      <w:r w:rsidRPr="006E5888">
        <w:rPr>
          <w:szCs w:val="24"/>
          <w:vertAlign w:val="superscript"/>
        </w:rPr>
        <w:t>4</w:t>
      </w:r>
      <w:r w:rsidR="00416A3E" w:rsidRPr="006E5888">
        <w:rPr>
          <w:szCs w:val="24"/>
        </w:rPr>
        <w:t xml:space="preserve"> </w:t>
      </w:r>
      <w:r w:rsidRPr="006E5888">
        <w:rPr>
          <w:szCs w:val="24"/>
        </w:rPr>
        <w:t xml:space="preserve">daļai – izsoļu ieņēmumus izmanto, lai mazinātu klimata pārmaiņas un nodrošinātu pielāgošanos klimata pārmaiņām, tai skaitā 3.punktam – Konvencijas un tās Kioto protokola saistību, kā arī citu starptautisko saistību izpildei siltumnīcefekta gāzu emisiju samazināšanas jomā, un 4.punktam – Latvijas dalībai ES emisijas kvotu tirdzniecības sistēmā, arī emisijas kvotu izsolīšanas procesa nodrošināšanas administratīvo izmaksu segšanai. </w:t>
      </w:r>
    </w:p>
    <w:p w:rsidR="00C13823" w:rsidRPr="006E5888" w:rsidRDefault="00C13823" w:rsidP="00BE39AF">
      <w:pPr>
        <w:tabs>
          <w:tab w:val="left" w:pos="8505"/>
        </w:tabs>
        <w:spacing w:after="120"/>
        <w:ind w:firstLine="709"/>
        <w:jc w:val="both"/>
        <w:rPr>
          <w:szCs w:val="24"/>
        </w:rPr>
      </w:pPr>
      <w:r w:rsidRPr="006E5888">
        <w:rPr>
          <w:szCs w:val="24"/>
        </w:rPr>
        <w:t>VARAM ir sniedzis skaidrojumu, ka administratīvie izdevumi EKII programmā tiek izlietoti, lai segtu izmaksas, kas saistītas ar projektu konkursu sagatavošanu un pārraudzību, kā arī finansētu darbu pie ziņojumiem par prognozēm, politiku un pasākumiem sagatavošanu iesniegšanai Eiropas Komisijā, siltumnīcefekta gāzu emisiju inventarizācijas sagatavošanu un veiktu citas nepieciešamās darbības un pakalpojumus, nodrošinot Latvijas starptautisko saistību izpil</w:t>
      </w:r>
      <w:r w:rsidR="00421913" w:rsidRPr="006E5888">
        <w:rPr>
          <w:szCs w:val="24"/>
        </w:rPr>
        <w:t xml:space="preserve">di. Tomēr, </w:t>
      </w:r>
      <w:r w:rsidRPr="006E5888">
        <w:rPr>
          <w:szCs w:val="24"/>
        </w:rPr>
        <w:t>ņemot vērā, ka līdz šim neviens EKII projekts nav apstiprināts, bet 2016.gadā izdevumi administrēšanai ir ļoti būtiski pieauguši pret iepriekšējiem gadiem, lai gan amata vietas saskaņā ar VARAM 2016.gada budžeta paskaidrojumiem saglabājas esošajā līmenī, FM uzskata, ka VARAM nepieciešams izvērtēt apakšprogrammā 33.01.00 “Emisijas kvotu izsolīšanas instrumenta administrācija” ieplānotā finansējuma atbilstību faktiskajai situācijai un nepieciešamības gadījumā identificēt finanšu līdzekļus, kurus var izmantot citu prioritāro pasākumu</w:t>
      </w:r>
      <w:r w:rsidR="00BE39AF" w:rsidRPr="006E5888">
        <w:rPr>
          <w:szCs w:val="24"/>
        </w:rPr>
        <w:t xml:space="preserve"> finansēšanai nozares ietvaros.</w:t>
      </w:r>
    </w:p>
    <w:p w:rsidR="00E34693" w:rsidRPr="006E5888" w:rsidRDefault="00E34693" w:rsidP="00E34693">
      <w:pPr>
        <w:jc w:val="center"/>
        <w:rPr>
          <w:rFonts w:cs="Times New Roman"/>
          <w:szCs w:val="24"/>
        </w:rPr>
      </w:pPr>
      <w:r w:rsidRPr="006E5888">
        <w:rPr>
          <w:rFonts w:cs="Times New Roman"/>
          <w:noProof/>
          <w:szCs w:val="24"/>
          <w:lang w:eastAsia="lv-LV"/>
        </w:rPr>
        <w:drawing>
          <wp:inline distT="0" distB="0" distL="0" distR="0" wp14:anchorId="390D1FFA" wp14:editId="47909B01">
            <wp:extent cx="5016466" cy="324794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56069" cy="3273590"/>
                    </a:xfrm>
                    <a:prstGeom prst="rect">
                      <a:avLst/>
                    </a:prstGeom>
                    <a:noFill/>
                  </pic:spPr>
                </pic:pic>
              </a:graphicData>
            </a:graphic>
          </wp:inline>
        </w:drawing>
      </w:r>
    </w:p>
    <w:p w:rsidR="00E34693" w:rsidRPr="006E5888" w:rsidRDefault="00653F38" w:rsidP="00E34693">
      <w:pPr>
        <w:tabs>
          <w:tab w:val="left" w:pos="1010"/>
        </w:tabs>
        <w:spacing w:before="120"/>
        <w:jc w:val="center"/>
        <w:rPr>
          <w:i/>
          <w:sz w:val="22"/>
        </w:rPr>
      </w:pPr>
      <w:r w:rsidRPr="006E5888">
        <w:rPr>
          <w:sz w:val="22"/>
        </w:rPr>
        <w:t>9</w:t>
      </w:r>
      <w:r w:rsidR="00E34693" w:rsidRPr="006E5888">
        <w:rPr>
          <w:sz w:val="22"/>
        </w:rPr>
        <w:t>.</w:t>
      </w:r>
      <w:r w:rsidR="00E34693" w:rsidRPr="006E5888">
        <w:rPr>
          <w:i/>
          <w:sz w:val="22"/>
        </w:rPr>
        <w:t xml:space="preserve">att. </w:t>
      </w:r>
      <w:r w:rsidR="00E34693" w:rsidRPr="006E5888">
        <w:rPr>
          <w:b/>
          <w:sz w:val="22"/>
        </w:rPr>
        <w:t xml:space="preserve">VARAM Emisijas kvotu izsolīšanas instrumenta administrēšanas izdevumi, </w:t>
      </w:r>
      <w:r w:rsidR="00E34693" w:rsidRPr="006E5888">
        <w:rPr>
          <w:sz w:val="22"/>
        </w:rPr>
        <w:t xml:space="preserve">tūkst. </w:t>
      </w:r>
      <w:proofErr w:type="spellStart"/>
      <w:r w:rsidR="00E34693" w:rsidRPr="006E5888">
        <w:rPr>
          <w:i/>
          <w:sz w:val="22"/>
        </w:rPr>
        <w:t>euro</w:t>
      </w:r>
      <w:proofErr w:type="spellEnd"/>
    </w:p>
    <w:p w:rsidR="00E34693" w:rsidRPr="006E5888" w:rsidRDefault="00E34693" w:rsidP="00E34693">
      <w:pPr>
        <w:tabs>
          <w:tab w:val="left" w:pos="1010"/>
        </w:tabs>
        <w:spacing w:before="120"/>
        <w:jc w:val="center"/>
        <w:rPr>
          <w:i/>
          <w:sz w:val="6"/>
          <w:szCs w:val="6"/>
        </w:rPr>
      </w:pPr>
    </w:p>
    <w:p w:rsidR="00A2176D" w:rsidRPr="006E5888" w:rsidRDefault="00E34693" w:rsidP="00A87C23">
      <w:pPr>
        <w:tabs>
          <w:tab w:val="left" w:pos="8505"/>
        </w:tabs>
        <w:ind w:firstLine="709"/>
        <w:jc w:val="both"/>
        <w:rPr>
          <w:szCs w:val="24"/>
        </w:rPr>
      </w:pPr>
      <w:r w:rsidRPr="006E5888">
        <w:rPr>
          <w:szCs w:val="24"/>
        </w:rPr>
        <w:t xml:space="preserve">Līdz ar to budžeta apakšprogrammā </w:t>
      </w:r>
      <w:r w:rsidRPr="006E5888">
        <w:t>ir pieejami resursi JPI finansēšanai vismaz</w:t>
      </w:r>
      <w:r w:rsidRPr="006E5888">
        <w:rPr>
          <w:szCs w:val="24"/>
        </w:rPr>
        <w:t xml:space="preserve"> </w:t>
      </w:r>
      <w:r w:rsidRPr="006E5888">
        <w:rPr>
          <w:b/>
          <w:szCs w:val="24"/>
        </w:rPr>
        <w:t xml:space="preserve">445 000 </w:t>
      </w:r>
      <w:proofErr w:type="spellStart"/>
      <w:r w:rsidRPr="006E5888">
        <w:rPr>
          <w:b/>
          <w:i/>
          <w:szCs w:val="24"/>
        </w:rPr>
        <w:t>euro</w:t>
      </w:r>
      <w:proofErr w:type="spellEnd"/>
      <w:r w:rsidRPr="006E5888">
        <w:rPr>
          <w:szCs w:val="24"/>
        </w:rPr>
        <w:t xml:space="preserve"> 2017. un 2018.gadam.</w:t>
      </w:r>
    </w:p>
    <w:p w:rsidR="00C13823" w:rsidRPr="006E5888" w:rsidRDefault="00C13823" w:rsidP="00C13823">
      <w:pPr>
        <w:tabs>
          <w:tab w:val="left" w:pos="8505"/>
        </w:tabs>
        <w:spacing w:before="120" w:after="120"/>
        <w:jc w:val="both"/>
        <w:rPr>
          <w:rFonts w:cs="Times New Roman"/>
          <w:b/>
          <w:szCs w:val="24"/>
          <w:u w:val="single"/>
        </w:rPr>
      </w:pPr>
      <w:r w:rsidRPr="006E5888">
        <w:rPr>
          <w:rFonts w:cs="Times New Roman"/>
          <w:b/>
          <w:szCs w:val="24"/>
          <w:u w:val="single"/>
        </w:rPr>
        <w:t>Pozīcija “Atalgojums”</w:t>
      </w:r>
    </w:p>
    <w:p w:rsidR="00652172" w:rsidRPr="006E5888" w:rsidRDefault="00830E1C" w:rsidP="00C13823">
      <w:pPr>
        <w:tabs>
          <w:tab w:val="left" w:pos="8505"/>
        </w:tabs>
        <w:ind w:firstLine="709"/>
        <w:jc w:val="both"/>
        <w:rPr>
          <w:szCs w:val="24"/>
        </w:rPr>
      </w:pPr>
      <w:r w:rsidRPr="006E5888">
        <w:rPr>
          <w:rFonts w:cs="Times New Roman"/>
          <w:szCs w:val="24"/>
        </w:rPr>
        <w:t>Izdevumu pārskatīšanas procesā</w:t>
      </w:r>
      <w:r w:rsidR="005C6B3A" w:rsidRPr="006E5888">
        <w:rPr>
          <w:rFonts w:cs="Times New Roman"/>
          <w:szCs w:val="24"/>
        </w:rPr>
        <w:t>,</w:t>
      </w:r>
      <w:r w:rsidRPr="006E5888">
        <w:rPr>
          <w:rFonts w:cs="Times New Roman"/>
          <w:szCs w:val="24"/>
        </w:rPr>
        <w:t xml:space="preserve"> kā viens no budžeta elastības instrumentiem</w:t>
      </w:r>
      <w:r w:rsidR="00D42597" w:rsidRPr="006E5888">
        <w:rPr>
          <w:rFonts w:cs="Times New Roman"/>
          <w:szCs w:val="24"/>
        </w:rPr>
        <w:t>,</w:t>
      </w:r>
      <w:r w:rsidRPr="006E5888">
        <w:rPr>
          <w:rFonts w:cs="Times New Roman"/>
          <w:szCs w:val="24"/>
        </w:rPr>
        <w:t xml:space="preserve"> tika analizēta </w:t>
      </w:r>
      <w:r w:rsidR="00652172" w:rsidRPr="006E5888">
        <w:rPr>
          <w:rFonts w:cs="Times New Roman"/>
          <w:szCs w:val="24"/>
        </w:rPr>
        <w:t>pozīcijas “Atalgojums” atspoguļošanas lietderīb</w:t>
      </w:r>
      <w:r w:rsidR="006C5216" w:rsidRPr="006E5888">
        <w:rPr>
          <w:rFonts w:cs="Times New Roman"/>
          <w:szCs w:val="24"/>
        </w:rPr>
        <w:t>a</w:t>
      </w:r>
      <w:r w:rsidR="00652172" w:rsidRPr="006E5888">
        <w:rPr>
          <w:rFonts w:cs="Times New Roman"/>
          <w:szCs w:val="24"/>
        </w:rPr>
        <w:t xml:space="preserve"> gadskārtējā valsts budžeta likumā</w:t>
      </w:r>
      <w:r w:rsidR="00997E8A" w:rsidRPr="006E5888">
        <w:rPr>
          <w:rFonts w:cs="Times New Roman"/>
          <w:szCs w:val="24"/>
        </w:rPr>
        <w:t>.</w:t>
      </w:r>
    </w:p>
    <w:p w:rsidR="00652172" w:rsidRPr="006E5888" w:rsidRDefault="00652172" w:rsidP="00C13823">
      <w:pPr>
        <w:ind w:firstLine="720"/>
        <w:jc w:val="both"/>
        <w:rPr>
          <w:rFonts w:cs="Times New Roman"/>
          <w:szCs w:val="24"/>
        </w:rPr>
      </w:pPr>
      <w:r w:rsidRPr="006E5888">
        <w:rPr>
          <w:rFonts w:cs="Times New Roman"/>
          <w:szCs w:val="24"/>
        </w:rPr>
        <w:t xml:space="preserve">LBFV nosaka, ka finanšu ministram ir tiesības </w:t>
      </w:r>
      <w:r w:rsidR="00997E8A" w:rsidRPr="006E5888">
        <w:rPr>
          <w:rFonts w:cs="Times New Roman"/>
          <w:szCs w:val="24"/>
        </w:rPr>
        <w:t>MK</w:t>
      </w:r>
      <w:r w:rsidRPr="006E5888">
        <w:rPr>
          <w:rFonts w:cs="Times New Roman"/>
          <w:szCs w:val="24"/>
        </w:rPr>
        <w:t xml:space="preserve"> noteiktajā kārtībā, informējot par to Saeimu, veikt apropriāciju pārdales ministrijai vai citai centrālajai valsts iestādei gadskārtējā valsts budžeta likumā noteiktās apropriācijas ietvaros starp programmām, apakšprogrammām un izdevumu kodiem atbilstoši ekonomiskajām kategorijām. Gadskārtējais valsts budžeta likums ietver nosacījumus, ko finanšu ministram jāievēro, lemjot par apropriācijas pārdali. </w:t>
      </w:r>
      <w:r w:rsidR="00C13823" w:rsidRPr="006E5888">
        <w:rPr>
          <w:rFonts w:cs="Times New Roman"/>
          <w:szCs w:val="24"/>
        </w:rPr>
        <w:t xml:space="preserve">2010.gada 16.marta </w:t>
      </w:r>
      <w:r w:rsidR="00997E8A" w:rsidRPr="006E5888">
        <w:rPr>
          <w:rFonts w:cs="Times New Roman"/>
          <w:szCs w:val="24"/>
        </w:rPr>
        <w:t>MK</w:t>
      </w:r>
      <w:r w:rsidRPr="006E5888">
        <w:rPr>
          <w:rFonts w:cs="Times New Roman"/>
          <w:szCs w:val="24"/>
        </w:rPr>
        <w:t xml:space="preserve"> noteikumi Nr.256</w:t>
      </w:r>
      <w:r w:rsidRPr="006E5888">
        <w:rPr>
          <w:rStyle w:val="FootnoteReference"/>
          <w:rFonts w:cs="Times New Roman"/>
          <w:szCs w:val="24"/>
        </w:rPr>
        <w:footnoteReference w:id="7"/>
      </w:r>
      <w:r w:rsidRPr="006E5888">
        <w:rPr>
          <w:rFonts w:cs="Times New Roman"/>
          <w:szCs w:val="24"/>
        </w:rPr>
        <w:t xml:space="preserve"> nosaka, ka finanšu ministrs divu nedēļu laikā izdod rīkojumu par apropriācijas pārdalēm, ja ministrijas iesniegtais pieprasījums atbilst šo noteikumu prasībām. Lai samazinātu gada laikā veicamo izmaiņu apmēru un biežumu apstiprinātajā budžeta likumā, ir nepieciešams pilnveidot budžeta plānošanas kvalitāti un stiprināt budžeta iestāžu vadītāju atbildību par līdzekļu efektīvu izlietošanu.</w:t>
      </w:r>
    </w:p>
    <w:p w:rsidR="00652172" w:rsidRPr="006E5888" w:rsidRDefault="00652172" w:rsidP="00A87C23">
      <w:pPr>
        <w:ind w:firstLine="709"/>
        <w:jc w:val="both"/>
        <w:rPr>
          <w:rFonts w:cs="Times New Roman"/>
          <w:szCs w:val="24"/>
        </w:rPr>
      </w:pPr>
      <w:r w:rsidRPr="006E5888">
        <w:rPr>
          <w:rFonts w:cs="Times New Roman"/>
          <w:szCs w:val="24"/>
        </w:rPr>
        <w:t xml:space="preserve">Katram valsts budžeta resoram gadskārtējā valsts budžeta likumā izdevumu apropriācijas tiek plānotas noteiktā detalizācijas pakāpē (budžeta likuma struktūra). Šobrīd </w:t>
      </w:r>
      <w:r w:rsidRPr="006E5888">
        <w:rPr>
          <w:rFonts w:cs="Times New Roman"/>
          <w:b/>
          <w:i/>
          <w:szCs w:val="24"/>
        </w:rPr>
        <w:t>pozīcijai</w:t>
      </w:r>
      <w:r w:rsidRPr="006E5888">
        <w:rPr>
          <w:rFonts w:cs="Times New Roman"/>
          <w:b/>
          <w:szCs w:val="24"/>
        </w:rPr>
        <w:t xml:space="preserve"> </w:t>
      </w:r>
      <w:r w:rsidRPr="006E5888">
        <w:rPr>
          <w:rFonts w:cs="Times New Roman"/>
          <w:b/>
          <w:i/>
          <w:szCs w:val="24"/>
        </w:rPr>
        <w:t xml:space="preserve">“Atlīdzība” budžeta griezumā tiek apstiprināta arī </w:t>
      </w:r>
      <w:proofErr w:type="spellStart"/>
      <w:r w:rsidRPr="006E5888">
        <w:rPr>
          <w:rFonts w:cs="Times New Roman"/>
          <w:b/>
          <w:i/>
          <w:szCs w:val="24"/>
        </w:rPr>
        <w:t>apakšpozīcija</w:t>
      </w:r>
      <w:proofErr w:type="spellEnd"/>
      <w:r w:rsidRPr="006E5888">
        <w:rPr>
          <w:rFonts w:cs="Times New Roman"/>
          <w:b/>
          <w:i/>
          <w:szCs w:val="24"/>
        </w:rPr>
        <w:t xml:space="preserve"> “Atalgojums”</w:t>
      </w:r>
      <w:r w:rsidRPr="006E5888">
        <w:rPr>
          <w:rFonts w:cs="Times New Roman"/>
          <w:szCs w:val="24"/>
        </w:rPr>
        <w:t>, kas satur izdevumus mēnešalgai, piemaksām, prēmijām, naudas balvām un piešķirtiem labumiem natūrā. Otrs pozīciju “Atlīdzība” veidojošais elements ir “Darba devēja valsts sociālās apdrošināšanas obligātās iemaksas, pabalsti un kompensācijas”, kas satur izdevumus valsts sociālās apdrošināšanas obligātajām iemaksām</w:t>
      </w:r>
      <w:r w:rsidR="00D42597" w:rsidRPr="006E5888">
        <w:rPr>
          <w:rFonts w:cs="Times New Roman"/>
          <w:szCs w:val="24"/>
        </w:rPr>
        <w:t xml:space="preserve">, </w:t>
      </w:r>
      <w:r w:rsidRPr="006E5888">
        <w:rPr>
          <w:rFonts w:cs="Times New Roman"/>
          <w:szCs w:val="24"/>
        </w:rPr>
        <w:t>slimības pabalstiem (A lapa), veselības apdrošināšanai, citiem darba devēja piešķirtiem pabalstiem un kompensācijām. Ja budžeta izpildes laikā rodas objektīva nepieciešamība mainīt izdevumu proporcijas šajās divās apakšpozīcijās, ministrijām ir jāiesniedz pieprasījums apropriācijas pārdalei. Turklāt pozīcija “Atlīdzība” šobrīd ir vienīgā pozīcija, kas budžeta likumā tiek uzrādīta īpašā detalizācijas pakāpē.</w:t>
      </w:r>
    </w:p>
    <w:p w:rsidR="00652172" w:rsidRPr="006E5888" w:rsidRDefault="00652172" w:rsidP="00A87C23">
      <w:pPr>
        <w:ind w:firstLine="720"/>
        <w:jc w:val="both"/>
        <w:rPr>
          <w:rFonts w:cs="Times New Roman"/>
          <w:szCs w:val="24"/>
        </w:rPr>
      </w:pPr>
      <w:r w:rsidRPr="006E5888">
        <w:rPr>
          <w:rFonts w:cs="Times New Roman"/>
          <w:szCs w:val="24"/>
        </w:rPr>
        <w:t xml:space="preserve">Valsts budžeta izdevumu izvērtēšanas un resursu plānošanas un izlietojuma </w:t>
      </w:r>
      <w:proofErr w:type="spellStart"/>
      <w:r w:rsidRPr="006E5888">
        <w:rPr>
          <w:rFonts w:cs="Times New Roman"/>
          <w:szCs w:val="24"/>
        </w:rPr>
        <w:t>efektivizēšanas</w:t>
      </w:r>
      <w:proofErr w:type="spellEnd"/>
      <w:r w:rsidRPr="006E5888">
        <w:rPr>
          <w:rFonts w:cs="Times New Roman"/>
          <w:szCs w:val="24"/>
        </w:rPr>
        <w:t xml:space="preserve"> kontekstā nozaru ministrijas iesniedza priekšlikumus par EKK 1100 “Atalgojums” neizdalīšanu atsevišķi no EKK 1000 “Atlīdzība” gadskārtējā valsts budžeta likuma struktūrā, tādējādi nodrošinot ministrijām elastīgāku un efektīvāku budžetu pārvaldīšanu, kā arī pārdales veikšanā iesaistīto administratīvo resursu ietaupījumu gan nozaru ministrijām, gan </w:t>
      </w:r>
      <w:r w:rsidR="00637DCE" w:rsidRPr="006E5888">
        <w:rPr>
          <w:rFonts w:cs="Times New Roman"/>
          <w:szCs w:val="24"/>
        </w:rPr>
        <w:t>FM</w:t>
      </w:r>
      <w:r w:rsidRPr="006E5888">
        <w:rPr>
          <w:rFonts w:cs="Times New Roman"/>
          <w:szCs w:val="24"/>
        </w:rPr>
        <w:t>.</w:t>
      </w:r>
    </w:p>
    <w:p w:rsidR="00997E8A" w:rsidRPr="006E5888" w:rsidRDefault="00997E8A" w:rsidP="00637DCE">
      <w:pPr>
        <w:spacing w:before="120" w:after="120"/>
        <w:ind w:firstLine="567"/>
        <w:jc w:val="right"/>
        <w:rPr>
          <w:rFonts w:cs="Times New Roman"/>
          <w:szCs w:val="24"/>
        </w:rPr>
      </w:pPr>
      <w:r w:rsidRPr="006E5888">
        <w:rPr>
          <w:rFonts w:cs="Times New Roman"/>
          <w:szCs w:val="24"/>
        </w:rPr>
        <w:t>Tabula Nr.</w:t>
      </w:r>
      <w:r w:rsidR="00A2176D" w:rsidRPr="006E5888">
        <w:rPr>
          <w:rFonts w:cs="Times New Roman"/>
          <w:szCs w:val="24"/>
        </w:rPr>
        <w:t>1</w:t>
      </w:r>
      <w:r w:rsidR="00D42597" w:rsidRPr="006E5888">
        <w:rPr>
          <w:rFonts w:cs="Times New Roman"/>
          <w:szCs w:val="24"/>
        </w:rPr>
        <w:t>2</w:t>
      </w:r>
    </w:p>
    <w:p w:rsidR="00997E8A" w:rsidRPr="006E5888" w:rsidRDefault="00997E8A" w:rsidP="00997E8A">
      <w:pPr>
        <w:spacing w:before="120" w:after="120"/>
        <w:jc w:val="center"/>
        <w:rPr>
          <w:rFonts w:cs="Times New Roman"/>
        </w:rPr>
      </w:pPr>
      <w:r w:rsidRPr="006E5888">
        <w:rPr>
          <w:rFonts w:cs="Times New Roman"/>
        </w:rPr>
        <w:t xml:space="preserve">Pārdales valsts budžetā starp EKK 1100 “Atalgojums” un </w:t>
      </w:r>
      <w:r w:rsidR="00BD2761" w:rsidRPr="006E5888">
        <w:rPr>
          <w:rFonts w:cs="Times New Roman"/>
        </w:rPr>
        <w:t xml:space="preserve">EKK </w:t>
      </w:r>
      <w:r w:rsidRPr="006E5888">
        <w:rPr>
          <w:rFonts w:cs="Times New Roman"/>
        </w:rPr>
        <w:t xml:space="preserve">1200 “Darba devēja valsts sociālās apdrošināšanas obligātās iemaksas, pabalsti un kompensācijas” </w:t>
      </w:r>
    </w:p>
    <w:tbl>
      <w:tblPr>
        <w:tblStyle w:val="TableGrid"/>
        <w:tblW w:w="0" w:type="auto"/>
        <w:tblLook w:val="04A0" w:firstRow="1" w:lastRow="0" w:firstColumn="1" w:lastColumn="0" w:noHBand="0" w:noVBand="1"/>
      </w:tblPr>
      <w:tblGrid>
        <w:gridCol w:w="6799"/>
        <w:gridCol w:w="1276"/>
        <w:gridCol w:w="1196"/>
      </w:tblGrid>
      <w:tr w:rsidR="00997E8A" w:rsidRPr="006E5888" w:rsidTr="00A87C23">
        <w:trPr>
          <w:trHeight w:val="113"/>
        </w:trPr>
        <w:tc>
          <w:tcPr>
            <w:tcW w:w="6799" w:type="dxa"/>
            <w:shd w:val="clear" w:color="auto" w:fill="D9D9D9" w:themeFill="background1" w:themeFillShade="D9"/>
          </w:tcPr>
          <w:p w:rsidR="00997E8A" w:rsidRPr="006E5888" w:rsidRDefault="00997E8A" w:rsidP="00A87C23">
            <w:pPr>
              <w:jc w:val="center"/>
              <w:rPr>
                <w:rFonts w:cs="Times New Roman"/>
              </w:rPr>
            </w:pPr>
          </w:p>
        </w:tc>
        <w:tc>
          <w:tcPr>
            <w:tcW w:w="1276" w:type="dxa"/>
            <w:shd w:val="clear" w:color="auto" w:fill="D9D9D9" w:themeFill="background1" w:themeFillShade="D9"/>
          </w:tcPr>
          <w:p w:rsidR="00997E8A" w:rsidRPr="006E5888" w:rsidRDefault="00BD2761" w:rsidP="00BD2761">
            <w:pPr>
              <w:jc w:val="center"/>
              <w:rPr>
                <w:rFonts w:cs="Times New Roman"/>
                <w:b/>
              </w:rPr>
            </w:pPr>
            <w:r w:rsidRPr="006E5888">
              <w:rPr>
                <w:rFonts w:cs="Times New Roman"/>
                <w:b/>
              </w:rPr>
              <w:t>2014</w:t>
            </w:r>
          </w:p>
        </w:tc>
        <w:tc>
          <w:tcPr>
            <w:tcW w:w="1196" w:type="dxa"/>
            <w:shd w:val="clear" w:color="auto" w:fill="D9D9D9" w:themeFill="background1" w:themeFillShade="D9"/>
          </w:tcPr>
          <w:p w:rsidR="00997E8A" w:rsidRPr="006E5888" w:rsidRDefault="00997E8A" w:rsidP="00BD2761">
            <w:pPr>
              <w:jc w:val="center"/>
              <w:rPr>
                <w:rFonts w:cs="Times New Roman"/>
                <w:b/>
              </w:rPr>
            </w:pPr>
            <w:r w:rsidRPr="006E5888">
              <w:rPr>
                <w:rFonts w:cs="Times New Roman"/>
                <w:b/>
              </w:rPr>
              <w:t>2015</w:t>
            </w:r>
          </w:p>
        </w:tc>
      </w:tr>
      <w:tr w:rsidR="00997E8A" w:rsidRPr="006E5888" w:rsidTr="00A87C23">
        <w:trPr>
          <w:trHeight w:val="113"/>
        </w:trPr>
        <w:tc>
          <w:tcPr>
            <w:tcW w:w="6799" w:type="dxa"/>
          </w:tcPr>
          <w:p w:rsidR="00997E8A" w:rsidRPr="006E5888" w:rsidRDefault="00997E8A" w:rsidP="009B4212">
            <w:pPr>
              <w:jc w:val="both"/>
              <w:rPr>
                <w:rFonts w:cs="Times New Roman"/>
              </w:rPr>
            </w:pPr>
            <w:r w:rsidRPr="006E5888">
              <w:rPr>
                <w:rFonts w:cs="Times New Roman"/>
              </w:rPr>
              <w:t>FM rīkojumu skaits, kuros tika veiktas pārdales starp programmām, apakšprogrammām un budžeta izdevumu kodiem atbilstoši ekonomiskajām kategorijām (skaits)</w:t>
            </w:r>
          </w:p>
        </w:tc>
        <w:tc>
          <w:tcPr>
            <w:tcW w:w="1276" w:type="dxa"/>
          </w:tcPr>
          <w:p w:rsidR="00997E8A" w:rsidRPr="006E5888" w:rsidRDefault="00997E8A" w:rsidP="009B4212">
            <w:pPr>
              <w:jc w:val="right"/>
              <w:rPr>
                <w:rFonts w:cs="Times New Roman"/>
              </w:rPr>
            </w:pPr>
            <w:r w:rsidRPr="006E5888">
              <w:rPr>
                <w:rFonts w:cs="Times New Roman"/>
              </w:rPr>
              <w:t>54</w:t>
            </w:r>
          </w:p>
        </w:tc>
        <w:tc>
          <w:tcPr>
            <w:tcW w:w="1196" w:type="dxa"/>
          </w:tcPr>
          <w:p w:rsidR="00997E8A" w:rsidRPr="006E5888" w:rsidRDefault="00997E8A" w:rsidP="009B4212">
            <w:pPr>
              <w:jc w:val="right"/>
              <w:rPr>
                <w:rFonts w:cs="Times New Roman"/>
              </w:rPr>
            </w:pPr>
            <w:r w:rsidRPr="006E5888">
              <w:rPr>
                <w:rFonts w:cs="Times New Roman"/>
              </w:rPr>
              <w:t>56</w:t>
            </w:r>
          </w:p>
        </w:tc>
      </w:tr>
      <w:tr w:rsidR="00997E8A" w:rsidRPr="006E5888" w:rsidTr="00A87C23">
        <w:trPr>
          <w:trHeight w:val="113"/>
        </w:trPr>
        <w:tc>
          <w:tcPr>
            <w:tcW w:w="6799" w:type="dxa"/>
          </w:tcPr>
          <w:p w:rsidR="00997E8A" w:rsidRPr="006E5888" w:rsidRDefault="00997E8A" w:rsidP="009B4212">
            <w:pPr>
              <w:jc w:val="both"/>
              <w:rPr>
                <w:rFonts w:cs="Times New Roman"/>
              </w:rPr>
            </w:pPr>
            <w:r w:rsidRPr="006E5888">
              <w:rPr>
                <w:rFonts w:cs="Times New Roman"/>
              </w:rPr>
              <w:t>FM rīkojumi, kuros tika veiktas pārdales starp EKK 1100 un 1200 (skaits)</w:t>
            </w:r>
          </w:p>
        </w:tc>
        <w:tc>
          <w:tcPr>
            <w:tcW w:w="1276" w:type="dxa"/>
          </w:tcPr>
          <w:p w:rsidR="00997E8A" w:rsidRPr="006E5888" w:rsidRDefault="00997E8A" w:rsidP="009B4212">
            <w:pPr>
              <w:jc w:val="right"/>
              <w:rPr>
                <w:rFonts w:cs="Times New Roman"/>
              </w:rPr>
            </w:pPr>
            <w:r w:rsidRPr="006E5888">
              <w:rPr>
                <w:rFonts w:cs="Times New Roman"/>
              </w:rPr>
              <w:t>29</w:t>
            </w:r>
          </w:p>
        </w:tc>
        <w:tc>
          <w:tcPr>
            <w:tcW w:w="1196" w:type="dxa"/>
          </w:tcPr>
          <w:p w:rsidR="00997E8A" w:rsidRPr="006E5888" w:rsidRDefault="00997E8A" w:rsidP="009B4212">
            <w:pPr>
              <w:jc w:val="right"/>
              <w:rPr>
                <w:rFonts w:cs="Times New Roman"/>
              </w:rPr>
            </w:pPr>
            <w:r w:rsidRPr="006E5888">
              <w:rPr>
                <w:rFonts w:cs="Times New Roman"/>
              </w:rPr>
              <w:t>31</w:t>
            </w:r>
          </w:p>
        </w:tc>
      </w:tr>
      <w:tr w:rsidR="00997E8A" w:rsidRPr="006E5888" w:rsidTr="00A87C23">
        <w:trPr>
          <w:trHeight w:val="113"/>
        </w:trPr>
        <w:tc>
          <w:tcPr>
            <w:tcW w:w="6799" w:type="dxa"/>
          </w:tcPr>
          <w:p w:rsidR="00997E8A" w:rsidRPr="006E5888" w:rsidRDefault="00997E8A" w:rsidP="009B4212">
            <w:pPr>
              <w:jc w:val="both"/>
              <w:rPr>
                <w:rFonts w:cs="Times New Roman"/>
              </w:rPr>
            </w:pPr>
            <w:r w:rsidRPr="006E5888">
              <w:rPr>
                <w:rFonts w:cs="Times New Roman"/>
              </w:rPr>
              <w:t>Kopējais pārdaļu skaits starp EKK 1100 un 1200 (skaits)</w:t>
            </w:r>
          </w:p>
        </w:tc>
        <w:tc>
          <w:tcPr>
            <w:tcW w:w="1276" w:type="dxa"/>
          </w:tcPr>
          <w:p w:rsidR="00997E8A" w:rsidRPr="006E5888" w:rsidRDefault="00997E8A" w:rsidP="009B4212">
            <w:pPr>
              <w:jc w:val="right"/>
              <w:rPr>
                <w:rFonts w:cs="Times New Roman"/>
              </w:rPr>
            </w:pPr>
            <w:r w:rsidRPr="006E5888">
              <w:rPr>
                <w:rFonts w:cs="Times New Roman"/>
              </w:rPr>
              <w:t>98</w:t>
            </w:r>
          </w:p>
        </w:tc>
        <w:tc>
          <w:tcPr>
            <w:tcW w:w="1196" w:type="dxa"/>
          </w:tcPr>
          <w:p w:rsidR="00997E8A" w:rsidRPr="006E5888" w:rsidRDefault="00997E8A" w:rsidP="009B4212">
            <w:pPr>
              <w:jc w:val="right"/>
              <w:rPr>
                <w:rFonts w:cs="Times New Roman"/>
              </w:rPr>
            </w:pPr>
            <w:r w:rsidRPr="006E5888">
              <w:rPr>
                <w:rFonts w:cs="Times New Roman"/>
              </w:rPr>
              <w:t>116</w:t>
            </w:r>
          </w:p>
        </w:tc>
      </w:tr>
      <w:tr w:rsidR="00997E8A" w:rsidRPr="006E5888" w:rsidTr="00A87C23">
        <w:trPr>
          <w:trHeight w:val="113"/>
        </w:trPr>
        <w:tc>
          <w:tcPr>
            <w:tcW w:w="6799" w:type="dxa"/>
          </w:tcPr>
          <w:p w:rsidR="00997E8A" w:rsidRPr="006E5888" w:rsidRDefault="00997E8A" w:rsidP="009B4212">
            <w:pPr>
              <w:jc w:val="both"/>
              <w:rPr>
                <w:rFonts w:cs="Times New Roman"/>
              </w:rPr>
            </w:pPr>
            <w:r w:rsidRPr="006E5888">
              <w:rPr>
                <w:rFonts w:cs="Times New Roman"/>
              </w:rPr>
              <w:t>Pārdaļu kopsumma no EKK 1100 uz EKK 1200 (</w:t>
            </w:r>
            <w:proofErr w:type="spellStart"/>
            <w:r w:rsidRPr="006E5888">
              <w:rPr>
                <w:rFonts w:cs="Times New Roman"/>
                <w:i/>
              </w:rPr>
              <w:t>euro</w:t>
            </w:r>
            <w:proofErr w:type="spellEnd"/>
            <w:r w:rsidRPr="006E5888">
              <w:rPr>
                <w:rFonts w:cs="Times New Roman"/>
              </w:rPr>
              <w:t>)</w:t>
            </w:r>
          </w:p>
        </w:tc>
        <w:tc>
          <w:tcPr>
            <w:tcW w:w="1276" w:type="dxa"/>
          </w:tcPr>
          <w:p w:rsidR="00997E8A" w:rsidRPr="006E5888" w:rsidRDefault="00997E8A" w:rsidP="009B4212">
            <w:pPr>
              <w:jc w:val="right"/>
              <w:rPr>
                <w:rFonts w:cs="Times New Roman"/>
              </w:rPr>
            </w:pPr>
            <w:r w:rsidRPr="006E5888">
              <w:rPr>
                <w:rFonts w:cs="Times New Roman"/>
              </w:rPr>
              <w:t>5 225 208</w:t>
            </w:r>
          </w:p>
        </w:tc>
        <w:tc>
          <w:tcPr>
            <w:tcW w:w="1196" w:type="dxa"/>
          </w:tcPr>
          <w:p w:rsidR="00997E8A" w:rsidRPr="006E5888" w:rsidRDefault="00997E8A" w:rsidP="009B4212">
            <w:pPr>
              <w:jc w:val="right"/>
              <w:rPr>
                <w:rFonts w:cs="Times New Roman"/>
              </w:rPr>
            </w:pPr>
            <w:r w:rsidRPr="006E5888">
              <w:rPr>
                <w:rFonts w:cs="Times New Roman"/>
              </w:rPr>
              <w:t>6 803 751</w:t>
            </w:r>
          </w:p>
        </w:tc>
      </w:tr>
      <w:tr w:rsidR="00997E8A" w:rsidRPr="006E5888" w:rsidTr="00A87C23">
        <w:trPr>
          <w:trHeight w:val="113"/>
        </w:trPr>
        <w:tc>
          <w:tcPr>
            <w:tcW w:w="6799" w:type="dxa"/>
          </w:tcPr>
          <w:p w:rsidR="00997E8A" w:rsidRPr="006E5888" w:rsidRDefault="00997E8A" w:rsidP="009B4212">
            <w:pPr>
              <w:jc w:val="both"/>
              <w:rPr>
                <w:rFonts w:cs="Times New Roman"/>
              </w:rPr>
            </w:pPr>
            <w:r w:rsidRPr="006E5888">
              <w:rPr>
                <w:rFonts w:cs="Times New Roman"/>
              </w:rPr>
              <w:t>Pārdaļu kopsumma no EKK 1200 uz EKK 1100 (</w:t>
            </w:r>
            <w:proofErr w:type="spellStart"/>
            <w:r w:rsidRPr="006E5888">
              <w:rPr>
                <w:rFonts w:cs="Times New Roman"/>
                <w:i/>
              </w:rPr>
              <w:t>euro</w:t>
            </w:r>
            <w:proofErr w:type="spellEnd"/>
            <w:r w:rsidRPr="006E5888">
              <w:rPr>
                <w:rFonts w:cs="Times New Roman"/>
              </w:rPr>
              <w:t>)</w:t>
            </w:r>
          </w:p>
        </w:tc>
        <w:tc>
          <w:tcPr>
            <w:tcW w:w="1276" w:type="dxa"/>
          </w:tcPr>
          <w:p w:rsidR="00997E8A" w:rsidRPr="006E5888" w:rsidRDefault="00997E8A" w:rsidP="009B4212">
            <w:pPr>
              <w:jc w:val="right"/>
              <w:rPr>
                <w:rFonts w:cs="Times New Roman"/>
              </w:rPr>
            </w:pPr>
            <w:r w:rsidRPr="006E5888">
              <w:rPr>
                <w:rFonts w:cs="Times New Roman"/>
              </w:rPr>
              <w:t>438 932</w:t>
            </w:r>
          </w:p>
        </w:tc>
        <w:tc>
          <w:tcPr>
            <w:tcW w:w="1196" w:type="dxa"/>
          </w:tcPr>
          <w:p w:rsidR="00997E8A" w:rsidRPr="006E5888" w:rsidRDefault="00997E8A" w:rsidP="009B4212">
            <w:pPr>
              <w:jc w:val="right"/>
              <w:rPr>
                <w:rFonts w:cs="Times New Roman"/>
              </w:rPr>
            </w:pPr>
            <w:r w:rsidRPr="006E5888">
              <w:rPr>
                <w:rFonts w:cs="Times New Roman"/>
              </w:rPr>
              <w:t>809 366</w:t>
            </w:r>
          </w:p>
        </w:tc>
      </w:tr>
    </w:tbl>
    <w:p w:rsidR="00A2176D" w:rsidRPr="006E5888" w:rsidRDefault="00A2176D" w:rsidP="00A2176D">
      <w:pPr>
        <w:ind w:firstLine="709"/>
        <w:jc w:val="both"/>
        <w:rPr>
          <w:rFonts w:cs="Times New Roman"/>
          <w:sz w:val="8"/>
          <w:szCs w:val="8"/>
        </w:rPr>
      </w:pPr>
    </w:p>
    <w:p w:rsidR="00997E8A" w:rsidRPr="006E5888" w:rsidRDefault="00A2176D" w:rsidP="00A2176D">
      <w:pPr>
        <w:ind w:firstLine="709"/>
        <w:jc w:val="both"/>
        <w:rPr>
          <w:rFonts w:cs="Times New Roman"/>
          <w:szCs w:val="24"/>
        </w:rPr>
      </w:pPr>
      <w:r w:rsidRPr="006E5888">
        <w:rPr>
          <w:rFonts w:cs="Times New Roman"/>
          <w:szCs w:val="24"/>
        </w:rPr>
        <w:t>2014.gadā bija 54 (2</w:t>
      </w:r>
      <w:r w:rsidR="00637DCE" w:rsidRPr="006E5888">
        <w:rPr>
          <w:rFonts w:cs="Times New Roman"/>
          <w:szCs w:val="24"/>
        </w:rPr>
        <w:t>015.gadā – 56) FM</w:t>
      </w:r>
      <w:r w:rsidRPr="006E5888">
        <w:rPr>
          <w:rFonts w:cs="Times New Roman"/>
          <w:szCs w:val="24"/>
        </w:rPr>
        <w:t xml:space="preserve"> rīkojumi par pārdalēm starp programmām, apakšprogrammām un budžeta izdevumu kodiem atbilstoši ekonomiskajām kategorijām (</w:t>
      </w:r>
      <w:r w:rsidR="00D42597" w:rsidRPr="006E5888">
        <w:rPr>
          <w:rFonts w:cs="Times New Roman"/>
          <w:szCs w:val="24"/>
        </w:rPr>
        <w:t>skat. t</w:t>
      </w:r>
      <w:r w:rsidRPr="006E5888">
        <w:rPr>
          <w:rFonts w:cs="Times New Roman"/>
          <w:szCs w:val="24"/>
        </w:rPr>
        <w:t>abula Nr.</w:t>
      </w:r>
      <w:r w:rsidR="00D42597" w:rsidRPr="006E5888">
        <w:rPr>
          <w:rFonts w:cs="Times New Roman"/>
          <w:szCs w:val="24"/>
        </w:rPr>
        <w:t>12</w:t>
      </w:r>
      <w:r w:rsidRPr="006E5888">
        <w:rPr>
          <w:rFonts w:cs="Times New Roman"/>
          <w:szCs w:val="24"/>
        </w:rPr>
        <w:t xml:space="preserve">). No tiem 29 rīkojumos bija veiktas 98 pārdales starp EKK 1100 “Atalgojums” un </w:t>
      </w:r>
      <w:r w:rsidRPr="006E5888">
        <w:rPr>
          <w:rFonts w:cs="Times New Roman"/>
          <w:szCs w:val="24"/>
        </w:rPr>
        <w:lastRenderedPageBreak/>
        <w:t>EKK 1200 “Darba devēja valsts sociālās apdrošināšanas obligātās iemaksas, pabalsti un kompensācijas” (2015.gadā 31 rīkojumos bija veiktas 116 pārdales).</w:t>
      </w:r>
    </w:p>
    <w:p w:rsidR="00FA7AF2" w:rsidRPr="006E5888" w:rsidRDefault="00FA7AF2" w:rsidP="00637DCE">
      <w:pPr>
        <w:ind w:firstLine="567"/>
        <w:jc w:val="both"/>
        <w:rPr>
          <w:rFonts w:eastAsia="Times New Roman" w:cs="Times New Roman"/>
          <w:color w:val="000000"/>
          <w:szCs w:val="24"/>
          <w:lang w:eastAsia="lv-LV"/>
        </w:rPr>
      </w:pPr>
      <w:r w:rsidRPr="006E5888">
        <w:rPr>
          <w:rFonts w:cs="Times New Roman"/>
          <w:szCs w:val="24"/>
        </w:rPr>
        <w:t xml:space="preserve">Visbiežāk tika veiktas pārdales uz </w:t>
      </w:r>
      <w:r w:rsidRPr="006E5888">
        <w:rPr>
          <w:rFonts w:cs="Times New Roman"/>
          <w:b/>
          <w:i/>
          <w:szCs w:val="24"/>
        </w:rPr>
        <w:t>EKK 1221 “Darba devēja pabalsti un kompensācijas, no kuriem aprēķina iedzīvotāju ienākuma nodokli un valsts sociālās apdrošināšanas</w:t>
      </w:r>
      <w:r w:rsidRPr="006E5888">
        <w:rPr>
          <w:rFonts w:cs="Times New Roman"/>
          <w:b/>
          <w:szCs w:val="24"/>
        </w:rPr>
        <w:t xml:space="preserve"> iemaksas”</w:t>
      </w:r>
      <w:r w:rsidRPr="006E5888">
        <w:rPr>
          <w:rFonts w:cs="Times New Roman"/>
          <w:szCs w:val="24"/>
        </w:rPr>
        <w:t xml:space="preserve">: 2014.gadā – 49 reizes un 2015.gadā – 59 reizes. Pārdales mērķi atbilstoši ministriju norādītajai informācijai galvenokārt bija slimības pabalstu izmaksa, atlaišanas pabalstu izmaksa un bēru pabalsta izmaksa, kas ir grūti prognozējami. Šajā EKK uzskaita, piemēram, slimības naudu (A lapa), atlaišanas vai atvaļināšanas pabalstu, pabalstu par bērnu invalīdu, bēru pabalstu. Tāpat bieži veiktas pārdales uz </w:t>
      </w:r>
      <w:r w:rsidRPr="006E5888">
        <w:rPr>
          <w:rFonts w:cs="Times New Roman"/>
          <w:b/>
          <w:i/>
          <w:szCs w:val="24"/>
        </w:rPr>
        <w:t>EKK 1119 “P</w:t>
      </w:r>
      <w:r w:rsidRPr="006E5888">
        <w:rPr>
          <w:rFonts w:eastAsia="Times New Roman" w:cs="Times New Roman"/>
          <w:b/>
          <w:i/>
          <w:color w:val="000000"/>
          <w:szCs w:val="24"/>
          <w:lang w:eastAsia="lv-LV"/>
        </w:rPr>
        <w:t xml:space="preserve">ārējo darbinieku mēnešalga (darba alga)” un EKK </w:t>
      </w:r>
      <w:r w:rsidRPr="006E5888">
        <w:rPr>
          <w:rFonts w:cs="Times New Roman"/>
          <w:b/>
          <w:i/>
          <w:szCs w:val="24"/>
        </w:rPr>
        <w:t>1210 “D</w:t>
      </w:r>
      <w:r w:rsidRPr="006E5888">
        <w:rPr>
          <w:rFonts w:eastAsia="Times New Roman" w:cs="Times New Roman"/>
          <w:b/>
          <w:i/>
          <w:color w:val="000000"/>
          <w:szCs w:val="24"/>
          <w:lang w:eastAsia="lv-LV"/>
        </w:rPr>
        <w:t>arba devēja valsts sociālās apdrošināšanas obligātās iemaksas”</w:t>
      </w:r>
      <w:r w:rsidRPr="006E5888">
        <w:rPr>
          <w:rFonts w:eastAsia="Times New Roman" w:cs="Times New Roman"/>
          <w:i/>
          <w:color w:val="000000"/>
          <w:szCs w:val="24"/>
          <w:lang w:eastAsia="lv-LV"/>
        </w:rPr>
        <w:t>.</w:t>
      </w:r>
      <w:r w:rsidRPr="006E5888">
        <w:rPr>
          <w:rFonts w:eastAsia="Times New Roman" w:cs="Times New Roman"/>
          <w:color w:val="000000"/>
          <w:szCs w:val="24"/>
          <w:lang w:eastAsia="lv-LV"/>
        </w:rPr>
        <w:t xml:space="preserve"> </w:t>
      </w:r>
      <w:r w:rsidRPr="006E5888">
        <w:rPr>
          <w:rFonts w:cs="Times New Roman"/>
          <w:szCs w:val="24"/>
        </w:rPr>
        <w:t>Pārdales mērķi atbilstoši ministriju norādītajai informācijai galvenokārt bija atalgojuma nodrošināšanai dažādu projektu un pasākumu iesaistītajiem darbiniekiem, kā arī lai preciz</w:t>
      </w:r>
      <w:r w:rsidRPr="006E5888">
        <w:rPr>
          <w:rFonts w:cs="Times New Roman" w:hint="eastAsia"/>
          <w:szCs w:val="24"/>
        </w:rPr>
        <w:t>ē</w:t>
      </w:r>
      <w:r w:rsidRPr="006E5888">
        <w:rPr>
          <w:rFonts w:cs="Times New Roman"/>
          <w:szCs w:val="24"/>
        </w:rPr>
        <w:t>tu atalgojuma un darba dev</w:t>
      </w:r>
      <w:r w:rsidRPr="006E5888">
        <w:rPr>
          <w:rFonts w:cs="Times New Roman" w:hint="eastAsia"/>
          <w:szCs w:val="24"/>
        </w:rPr>
        <w:t>ē</w:t>
      </w:r>
      <w:r w:rsidRPr="006E5888">
        <w:rPr>
          <w:rFonts w:cs="Times New Roman"/>
          <w:szCs w:val="24"/>
        </w:rPr>
        <w:t>ja valsts soci</w:t>
      </w:r>
      <w:r w:rsidRPr="006E5888">
        <w:rPr>
          <w:rFonts w:cs="Times New Roman" w:hint="eastAsia"/>
          <w:szCs w:val="24"/>
        </w:rPr>
        <w:t>ā</w:t>
      </w:r>
      <w:r w:rsidRPr="006E5888">
        <w:rPr>
          <w:rFonts w:cs="Times New Roman"/>
          <w:szCs w:val="24"/>
        </w:rPr>
        <w:t>l</w:t>
      </w:r>
      <w:r w:rsidRPr="006E5888">
        <w:rPr>
          <w:rFonts w:cs="Times New Roman" w:hint="eastAsia"/>
          <w:szCs w:val="24"/>
        </w:rPr>
        <w:t>ā</w:t>
      </w:r>
      <w:r w:rsidRPr="006E5888">
        <w:rPr>
          <w:rFonts w:cs="Times New Roman"/>
          <w:szCs w:val="24"/>
        </w:rPr>
        <w:t>s apdrošin</w:t>
      </w:r>
      <w:r w:rsidRPr="006E5888">
        <w:rPr>
          <w:rFonts w:cs="Times New Roman" w:hint="eastAsia"/>
          <w:szCs w:val="24"/>
        </w:rPr>
        <w:t>āš</w:t>
      </w:r>
      <w:r w:rsidRPr="006E5888">
        <w:rPr>
          <w:rFonts w:cs="Times New Roman"/>
          <w:szCs w:val="24"/>
        </w:rPr>
        <w:t>anas oblig</w:t>
      </w:r>
      <w:r w:rsidRPr="006E5888">
        <w:rPr>
          <w:rFonts w:cs="Times New Roman" w:hint="eastAsia"/>
          <w:szCs w:val="24"/>
        </w:rPr>
        <w:t>ā</w:t>
      </w:r>
      <w:r w:rsidRPr="006E5888">
        <w:rPr>
          <w:rFonts w:cs="Times New Roman"/>
          <w:szCs w:val="24"/>
        </w:rPr>
        <w:t>to iemaksu sadal</w:t>
      </w:r>
      <w:r w:rsidRPr="006E5888">
        <w:rPr>
          <w:rFonts w:cs="Times New Roman" w:hint="eastAsia"/>
          <w:szCs w:val="24"/>
        </w:rPr>
        <w:t>ī</w:t>
      </w:r>
      <w:r w:rsidRPr="006E5888">
        <w:rPr>
          <w:rFonts w:cs="Times New Roman"/>
          <w:szCs w:val="24"/>
        </w:rPr>
        <w:t>jumu atbilstoši ekonomiskajai b</w:t>
      </w:r>
      <w:r w:rsidRPr="006E5888">
        <w:rPr>
          <w:rFonts w:cs="Times New Roman" w:hint="eastAsia"/>
          <w:szCs w:val="24"/>
        </w:rPr>
        <w:t>ū</w:t>
      </w:r>
      <w:r w:rsidRPr="006E5888">
        <w:rPr>
          <w:rFonts w:cs="Times New Roman"/>
          <w:szCs w:val="24"/>
        </w:rPr>
        <w:t>t</w:t>
      </w:r>
      <w:r w:rsidRPr="006E5888">
        <w:rPr>
          <w:rFonts w:cs="Times New Roman" w:hint="eastAsia"/>
          <w:szCs w:val="24"/>
        </w:rPr>
        <w:t>ī</w:t>
      </w:r>
      <w:r w:rsidRPr="006E5888">
        <w:rPr>
          <w:rFonts w:cs="Times New Roman"/>
          <w:szCs w:val="24"/>
        </w:rPr>
        <w:t xml:space="preserve">bai. </w:t>
      </w:r>
      <w:r w:rsidRPr="006E5888">
        <w:rPr>
          <w:rFonts w:eastAsia="Times New Roman" w:cs="Times New Roman"/>
          <w:color w:val="000000"/>
          <w:szCs w:val="24"/>
          <w:lang w:eastAsia="lv-LV"/>
        </w:rPr>
        <w:t xml:space="preserve">Pārējie apropriāciju pārdaļu gadījumi ir salīdzinoši nenozīmīgi. </w:t>
      </w:r>
    </w:p>
    <w:p w:rsidR="0034713C" w:rsidRPr="006E5888" w:rsidRDefault="005831D7" w:rsidP="0034713C">
      <w:pPr>
        <w:ind w:firstLine="567"/>
        <w:jc w:val="both"/>
        <w:rPr>
          <w:szCs w:val="24"/>
        </w:rPr>
      </w:pPr>
      <w:r w:rsidRPr="006E5888">
        <w:rPr>
          <w:szCs w:val="24"/>
        </w:rPr>
        <w:t xml:space="preserve">Lai varētu veikt apropriācijas pārdales starp EKK 1100 un EKK 1200, ministrijām ir nepieciešams sagatavot pieprasījumus šīm pārdalēm. FM ir jāizskata pieprasījumi, t.i., jāsalīdzina norādītā informācija ar FM rīcībā esošo informāciju, savukārt Valsts kase pēc FM rīkojumu apstiprināšanas un budžeta resoru finansēšanas plānu precizēšanas veic pārdales starp budžeta izdevuma kodiem. Ja valsts budžeta likumā vairs netiks izdalīta pozīcijas “Atlīdzība” </w:t>
      </w:r>
      <w:proofErr w:type="spellStart"/>
      <w:r w:rsidRPr="006E5888">
        <w:rPr>
          <w:szCs w:val="24"/>
        </w:rPr>
        <w:t>apakšpozīcija</w:t>
      </w:r>
      <w:proofErr w:type="spellEnd"/>
      <w:r w:rsidRPr="006E5888">
        <w:rPr>
          <w:szCs w:val="24"/>
        </w:rPr>
        <w:t xml:space="preserve"> “Atalgojums”, tad ministrijām izmaiņas būs nepieciešams veikt tikai tāmē, kas nozīmē d</w:t>
      </w:r>
      <w:r w:rsidR="0034713C" w:rsidRPr="006E5888">
        <w:rPr>
          <w:szCs w:val="24"/>
        </w:rPr>
        <w:t>audz mazāku resursu patēriņu.</w:t>
      </w:r>
    </w:p>
    <w:p w:rsidR="005831D7" w:rsidRPr="006E5888" w:rsidRDefault="0034713C" w:rsidP="0034713C">
      <w:pPr>
        <w:spacing w:after="120"/>
        <w:ind w:firstLine="567"/>
        <w:jc w:val="both"/>
        <w:rPr>
          <w:rFonts w:cs="Times New Roman"/>
          <w:szCs w:val="24"/>
        </w:rPr>
      </w:pPr>
      <w:r w:rsidRPr="006E5888">
        <w:rPr>
          <w:rFonts w:cs="Times New Roman"/>
          <w:szCs w:val="24"/>
        </w:rPr>
        <w:t xml:space="preserve">Attēlā Nr.10 var redzēt, ka 2015.gadā vislielākais apropriāciju pārdaļu skaita pieaugums ir bijis </w:t>
      </w:r>
      <w:proofErr w:type="spellStart"/>
      <w:r w:rsidRPr="006E5888">
        <w:rPr>
          <w:rFonts w:cs="Times New Roman"/>
          <w:szCs w:val="24"/>
        </w:rPr>
        <w:t>AiM</w:t>
      </w:r>
      <w:proofErr w:type="spellEnd"/>
      <w:r w:rsidRPr="006E5888">
        <w:rPr>
          <w:rFonts w:cs="Times New Roman"/>
          <w:szCs w:val="24"/>
        </w:rPr>
        <w:t>, IZM, FM, ZM un TM. Savukārt apropriāciju pārdaļu skaits ir samazinājies VARAM, KM un SIF.</w:t>
      </w:r>
    </w:p>
    <w:p w:rsidR="00997E8A" w:rsidRPr="006E5888" w:rsidRDefault="00E44173" w:rsidP="00997E8A">
      <w:pPr>
        <w:spacing w:after="40"/>
        <w:jc w:val="center"/>
        <w:rPr>
          <w:rFonts w:cs="Times New Roman"/>
          <w:szCs w:val="24"/>
        </w:rPr>
      </w:pPr>
      <w:r w:rsidRPr="006E5888">
        <w:rPr>
          <w:rFonts w:cs="Times New Roman"/>
          <w:noProof/>
          <w:szCs w:val="24"/>
          <w:lang w:eastAsia="lv-LV"/>
        </w:rPr>
        <w:drawing>
          <wp:inline distT="0" distB="0" distL="0" distR="0" wp14:anchorId="11973F65" wp14:editId="7267CAD9">
            <wp:extent cx="5046937" cy="2845612"/>
            <wp:effectExtent l="19050" t="19050" r="20955" b="1206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05523" cy="2935027"/>
                    </a:xfrm>
                    <a:prstGeom prst="rect">
                      <a:avLst/>
                    </a:prstGeom>
                    <a:noFill/>
                    <a:ln>
                      <a:solidFill>
                        <a:schemeClr val="bg1">
                          <a:lumMod val="75000"/>
                        </a:schemeClr>
                      </a:solidFill>
                    </a:ln>
                  </pic:spPr>
                </pic:pic>
              </a:graphicData>
            </a:graphic>
          </wp:inline>
        </w:drawing>
      </w:r>
    </w:p>
    <w:p w:rsidR="00997E8A" w:rsidRPr="006E5888" w:rsidRDefault="00997E8A" w:rsidP="00997E8A">
      <w:pPr>
        <w:rPr>
          <w:rFonts w:cs="Times New Roman"/>
          <w:sz w:val="16"/>
          <w:szCs w:val="16"/>
        </w:rPr>
      </w:pPr>
    </w:p>
    <w:p w:rsidR="009B4212" w:rsidRPr="006E5888" w:rsidRDefault="00653F38" w:rsidP="00BE39AF">
      <w:pPr>
        <w:spacing w:after="120"/>
        <w:jc w:val="center"/>
        <w:rPr>
          <w:rFonts w:cs="Times New Roman"/>
          <w:b/>
          <w:sz w:val="22"/>
        </w:rPr>
      </w:pPr>
      <w:r w:rsidRPr="006E5888">
        <w:rPr>
          <w:rFonts w:cs="Times New Roman"/>
          <w:sz w:val="22"/>
        </w:rPr>
        <w:t>10</w:t>
      </w:r>
      <w:r w:rsidR="00997E8A" w:rsidRPr="006E5888">
        <w:rPr>
          <w:rFonts w:cs="Times New Roman"/>
          <w:i/>
          <w:sz w:val="22"/>
        </w:rPr>
        <w:t>.att.</w:t>
      </w:r>
      <w:r w:rsidR="00997E8A" w:rsidRPr="006E5888">
        <w:rPr>
          <w:rFonts w:cs="Times New Roman"/>
          <w:sz w:val="22"/>
        </w:rPr>
        <w:t xml:space="preserve"> </w:t>
      </w:r>
      <w:r w:rsidR="00997E8A" w:rsidRPr="006E5888">
        <w:rPr>
          <w:rFonts w:cs="Times New Roman"/>
          <w:b/>
          <w:sz w:val="22"/>
        </w:rPr>
        <w:t>Pārdaļu skaits starp EKK 1100 “Atalgojums” un EKK 1200 “Darba devēja valsts sociālās apdrošināšanas obligātās iemaksas, pabalsti un ko</w:t>
      </w:r>
      <w:r w:rsidR="00BE39AF" w:rsidRPr="006E5888">
        <w:rPr>
          <w:rFonts w:cs="Times New Roman"/>
          <w:b/>
          <w:sz w:val="22"/>
        </w:rPr>
        <w:t>mpensācijas” 2014. un 2015.gadā</w:t>
      </w:r>
    </w:p>
    <w:p w:rsidR="00997E8A" w:rsidRPr="006E5888" w:rsidRDefault="00997E8A" w:rsidP="00BE39AF">
      <w:pPr>
        <w:pStyle w:val="tv2132"/>
        <w:spacing w:before="120" w:line="240" w:lineRule="auto"/>
        <w:ind w:firstLine="567"/>
        <w:jc w:val="both"/>
        <w:rPr>
          <w:color w:val="auto"/>
          <w:sz w:val="24"/>
          <w:szCs w:val="24"/>
        </w:rPr>
      </w:pPr>
      <w:r w:rsidRPr="006E5888">
        <w:rPr>
          <w:color w:val="auto"/>
          <w:sz w:val="24"/>
          <w:szCs w:val="24"/>
        </w:rPr>
        <w:t>Budžeta izpildes informācijā daļa pārskatu tiek sagatavota atbilstoši v</w:t>
      </w:r>
      <w:r w:rsidR="00CE0F87" w:rsidRPr="006E5888">
        <w:rPr>
          <w:color w:val="auto"/>
          <w:sz w:val="24"/>
          <w:szCs w:val="24"/>
        </w:rPr>
        <w:t>alsts budžeta likuma struktūrai</w:t>
      </w:r>
      <w:r w:rsidRPr="006E5888">
        <w:rPr>
          <w:color w:val="auto"/>
          <w:sz w:val="24"/>
          <w:szCs w:val="24"/>
        </w:rPr>
        <w:t xml:space="preserve"> un daļa pārskatu – pēc citiem detalizācijas principiem. Ja </w:t>
      </w:r>
      <w:proofErr w:type="spellStart"/>
      <w:r w:rsidRPr="006E5888">
        <w:rPr>
          <w:color w:val="auto"/>
          <w:sz w:val="24"/>
          <w:szCs w:val="24"/>
        </w:rPr>
        <w:t>apakšpozīcija</w:t>
      </w:r>
      <w:proofErr w:type="spellEnd"/>
      <w:r w:rsidRPr="006E5888">
        <w:rPr>
          <w:color w:val="auto"/>
          <w:sz w:val="24"/>
          <w:szCs w:val="24"/>
        </w:rPr>
        <w:t xml:space="preserve"> “Atalgojums” vairs netiks izdalīta valsts budžeta likumā, tad tā arī vairs netiktu atspoguļota tajos pārskatos, kas balstīti uz valsts budžeta likuma struktūru, bet pārējos pārskatos šī </w:t>
      </w:r>
      <w:proofErr w:type="spellStart"/>
      <w:r w:rsidRPr="006E5888">
        <w:rPr>
          <w:color w:val="auto"/>
          <w:sz w:val="24"/>
          <w:szCs w:val="24"/>
        </w:rPr>
        <w:t>apakšpozīcija</w:t>
      </w:r>
      <w:proofErr w:type="spellEnd"/>
      <w:r w:rsidRPr="006E5888">
        <w:rPr>
          <w:color w:val="auto"/>
          <w:sz w:val="24"/>
          <w:szCs w:val="24"/>
        </w:rPr>
        <w:t xml:space="preserve"> būtu pieejama līdzšinējā detalizācijas pakāpē.</w:t>
      </w:r>
    </w:p>
    <w:p w:rsidR="007038B2" w:rsidRPr="006E5888" w:rsidRDefault="00997E8A" w:rsidP="000F5333">
      <w:pPr>
        <w:ind w:firstLine="567"/>
        <w:jc w:val="both"/>
        <w:rPr>
          <w:rFonts w:cs="Times New Roman"/>
          <w:szCs w:val="24"/>
        </w:rPr>
      </w:pPr>
      <w:r w:rsidRPr="006E5888">
        <w:rPr>
          <w:rFonts w:cs="Times New Roman"/>
          <w:szCs w:val="24"/>
        </w:rPr>
        <w:t xml:space="preserve">Secināms, ka budžeta izpildes gaitā objektīvu iemeslu dēļ rodas nepieciešamība veikt izmaiņas sākotnējā plānā un gatavot apropriāciju izmaiņu pieprasījumu, kā arī attiecīgi veikt </w:t>
      </w:r>
      <w:r w:rsidRPr="006E5888">
        <w:rPr>
          <w:rFonts w:cs="Times New Roman"/>
          <w:szCs w:val="24"/>
        </w:rPr>
        <w:lastRenderedPageBreak/>
        <w:t>izmaiņas finansēšanas plānos. Ievērojot to, ka budžeta iestāžu vadītāji ir atbildīgi par atlīdzības fonda efektīvu izlietošanu</w:t>
      </w:r>
      <w:r w:rsidRPr="006E5888">
        <w:rPr>
          <w:rFonts w:cs="Times New Roman"/>
          <w:i/>
          <w:szCs w:val="24"/>
        </w:rPr>
        <w:t xml:space="preserve">, </w:t>
      </w:r>
      <w:r w:rsidRPr="006E5888">
        <w:rPr>
          <w:rFonts w:cs="Times New Roman"/>
          <w:b/>
          <w:i/>
          <w:szCs w:val="24"/>
        </w:rPr>
        <w:t>tad nav lietderīgi turpmāk apakšpozīciju “Atalgojums” atspoguļot budžeta likuma struktūrā.</w:t>
      </w:r>
      <w:r w:rsidRPr="006E5888">
        <w:rPr>
          <w:rFonts w:cs="Times New Roman"/>
          <w:b/>
          <w:szCs w:val="24"/>
        </w:rPr>
        <w:t xml:space="preserve"> </w:t>
      </w:r>
      <w:r w:rsidRPr="006E5888">
        <w:rPr>
          <w:rFonts w:cs="Times New Roman"/>
          <w:szCs w:val="24"/>
        </w:rPr>
        <w:t xml:space="preserve">Tādējādi tiktu samazināts nozares ministriju un </w:t>
      </w:r>
      <w:r w:rsidR="00472340" w:rsidRPr="006E5888">
        <w:rPr>
          <w:rFonts w:cs="Times New Roman"/>
          <w:szCs w:val="24"/>
        </w:rPr>
        <w:t>FM</w:t>
      </w:r>
      <w:r w:rsidRPr="006E5888">
        <w:rPr>
          <w:rFonts w:cs="Times New Roman"/>
          <w:szCs w:val="24"/>
        </w:rPr>
        <w:t xml:space="preserve"> administratīvo resursu patēriņš, vienlaikus uzsverot iestāžu vadītāju atbildību par budžeta plānošanu un izlietošanu.</w:t>
      </w:r>
    </w:p>
    <w:p w:rsidR="00D80D85" w:rsidRPr="006E5888" w:rsidRDefault="00D80D85" w:rsidP="00CE0F87">
      <w:pPr>
        <w:pStyle w:val="Heading2"/>
        <w:spacing w:before="240" w:after="120"/>
        <w:rPr>
          <w:rFonts w:ascii="Times New Roman" w:hAnsi="Times New Roman" w:cs="Times New Roman"/>
          <w:b/>
          <w:color w:val="auto"/>
          <w:sz w:val="24"/>
          <w:szCs w:val="24"/>
        </w:rPr>
      </w:pPr>
      <w:r w:rsidRPr="006E5888">
        <w:rPr>
          <w:rFonts w:ascii="Times New Roman" w:hAnsi="Times New Roman" w:cs="Times New Roman"/>
          <w:b/>
          <w:color w:val="auto"/>
          <w:sz w:val="24"/>
          <w:szCs w:val="24"/>
        </w:rPr>
        <w:t xml:space="preserve"> </w:t>
      </w:r>
      <w:bookmarkStart w:id="5" w:name="_Toc451340343"/>
      <w:r w:rsidR="00F72914" w:rsidRPr="006E5888">
        <w:rPr>
          <w:rFonts w:ascii="Times New Roman" w:hAnsi="Times New Roman" w:cs="Times New Roman"/>
          <w:b/>
          <w:color w:val="auto"/>
          <w:sz w:val="24"/>
          <w:szCs w:val="24"/>
        </w:rPr>
        <w:t xml:space="preserve">4.2. </w:t>
      </w:r>
      <w:r w:rsidRPr="006E5888">
        <w:rPr>
          <w:rFonts w:ascii="Times New Roman" w:hAnsi="Times New Roman" w:cs="Times New Roman"/>
          <w:b/>
          <w:color w:val="auto"/>
          <w:sz w:val="24"/>
          <w:szCs w:val="24"/>
        </w:rPr>
        <w:t>ATSEVIŠĶU IZDEVUMU VEIDU HORIZONTĀLA ANALĪZE</w:t>
      </w:r>
      <w:bookmarkEnd w:id="5"/>
    </w:p>
    <w:p w:rsidR="00D80D85" w:rsidRPr="006E5888" w:rsidRDefault="00D80D85" w:rsidP="00D80D85">
      <w:pPr>
        <w:rPr>
          <w:b/>
          <w:sz w:val="2"/>
          <w:szCs w:val="2"/>
        </w:rPr>
      </w:pPr>
    </w:p>
    <w:p w:rsidR="00E96195" w:rsidRPr="006E5888" w:rsidRDefault="00A77CAB" w:rsidP="00CE0F87">
      <w:pPr>
        <w:tabs>
          <w:tab w:val="left" w:pos="1010"/>
        </w:tabs>
        <w:ind w:firstLine="709"/>
        <w:jc w:val="both"/>
        <w:rPr>
          <w:szCs w:val="24"/>
        </w:rPr>
      </w:pPr>
      <w:r w:rsidRPr="006E5888">
        <w:rPr>
          <w:szCs w:val="24"/>
        </w:rPr>
        <w:t>Izdevumu pārskatīšanas procesā tika veikta atsevišķu izdevumu veidu horizontāla analīze, t.i., tika pārskatīti izdevumi</w:t>
      </w:r>
      <w:r w:rsidR="00A74F21" w:rsidRPr="006E5888">
        <w:rPr>
          <w:szCs w:val="24"/>
        </w:rPr>
        <w:t>,</w:t>
      </w:r>
      <w:r w:rsidRPr="006E5888">
        <w:rPr>
          <w:szCs w:val="24"/>
        </w:rPr>
        <w:t xml:space="preserve"> kuriem ir pielietojamas atsauces vērtības uz tirgus cenām, kā arī kur ir konstatējamas vidēja termiņa izdevumu izmaiņu tendences vai arī izdevumu mainība netiek sasaistīta ar sociālekonomisko raksturlielumu izmaiņām, piemēram, degvielas cenas izmaiņas, siltumenerģijas cenas izmaiņas, izmaiņas iedzīvotāju skaitā, mācību iestāžu audzēkņu skaitā u.tml.</w:t>
      </w:r>
    </w:p>
    <w:p w:rsidR="00DC1696" w:rsidRPr="006E5888" w:rsidRDefault="00BD1720" w:rsidP="00BE39AF">
      <w:pPr>
        <w:tabs>
          <w:tab w:val="left" w:pos="1010"/>
        </w:tabs>
        <w:ind w:firstLine="709"/>
        <w:jc w:val="both"/>
        <w:rPr>
          <w:szCs w:val="24"/>
        </w:rPr>
      </w:pPr>
      <w:r w:rsidRPr="006E5888">
        <w:rPr>
          <w:szCs w:val="24"/>
        </w:rPr>
        <w:t>Tāpat horizontāli tika</w:t>
      </w:r>
      <w:r w:rsidR="001C61E0" w:rsidRPr="006E5888">
        <w:rPr>
          <w:szCs w:val="24"/>
        </w:rPr>
        <w:t xml:space="preserve"> analizēti arī </w:t>
      </w:r>
      <w:r w:rsidR="00E96195" w:rsidRPr="006E5888">
        <w:rPr>
          <w:szCs w:val="24"/>
        </w:rPr>
        <w:t>sistemātiska mērķfinansējuma neiekasēšana</w:t>
      </w:r>
      <w:r w:rsidR="00A74F21" w:rsidRPr="006E5888">
        <w:rPr>
          <w:szCs w:val="24"/>
        </w:rPr>
        <w:t>s</w:t>
      </w:r>
      <w:r w:rsidR="00E96195" w:rsidRPr="006E5888">
        <w:rPr>
          <w:szCs w:val="24"/>
        </w:rPr>
        <w:t xml:space="preserve"> izdevumi, piemēram, atsevišķu nodevu plānoto ieņēmumu neiekasēšana.</w:t>
      </w:r>
      <w:r w:rsidRPr="006E5888">
        <w:rPr>
          <w:szCs w:val="24"/>
        </w:rPr>
        <w:t xml:space="preserve"> </w:t>
      </w:r>
    </w:p>
    <w:p w:rsidR="00033670" w:rsidRPr="006E5888" w:rsidRDefault="00033670" w:rsidP="00033670">
      <w:pPr>
        <w:spacing w:after="120"/>
        <w:ind w:firstLine="567"/>
        <w:jc w:val="right"/>
        <w:rPr>
          <w:rFonts w:cs="Times New Roman"/>
          <w:szCs w:val="24"/>
        </w:rPr>
      </w:pPr>
      <w:r w:rsidRPr="006E5888">
        <w:rPr>
          <w:rFonts w:cs="Times New Roman"/>
          <w:szCs w:val="24"/>
        </w:rPr>
        <w:t>Tabula Nr.1</w:t>
      </w:r>
      <w:r w:rsidR="00CE0F87" w:rsidRPr="006E5888">
        <w:rPr>
          <w:rFonts w:cs="Times New Roman"/>
          <w:szCs w:val="24"/>
        </w:rPr>
        <w:t>3</w:t>
      </w:r>
    </w:p>
    <w:p w:rsidR="00033670" w:rsidRPr="006E5888" w:rsidRDefault="00033670" w:rsidP="00033670">
      <w:pPr>
        <w:spacing w:after="120"/>
        <w:ind w:firstLine="567"/>
        <w:jc w:val="center"/>
        <w:rPr>
          <w:rFonts w:cs="Times New Roman"/>
          <w:szCs w:val="24"/>
        </w:rPr>
      </w:pPr>
      <w:r w:rsidRPr="006E5888">
        <w:rPr>
          <w:rFonts w:cs="Times New Roman"/>
          <w:szCs w:val="24"/>
        </w:rPr>
        <w:t>Kopsavilkums par atsevišķu izdevumu veidu horizontālo analīzi</w:t>
      </w:r>
    </w:p>
    <w:tbl>
      <w:tblPr>
        <w:tblStyle w:val="TableGrid"/>
        <w:tblW w:w="9284" w:type="dxa"/>
        <w:tblLook w:val="04A0" w:firstRow="1" w:lastRow="0" w:firstColumn="1" w:lastColumn="0" w:noHBand="0" w:noVBand="1"/>
      </w:tblPr>
      <w:tblGrid>
        <w:gridCol w:w="1413"/>
        <w:gridCol w:w="4819"/>
        <w:gridCol w:w="1526"/>
        <w:gridCol w:w="1526"/>
      </w:tblGrid>
      <w:tr w:rsidR="00BD1720" w:rsidRPr="006E5888" w:rsidTr="00BD1720">
        <w:trPr>
          <w:trHeight w:val="20"/>
          <w:tblHeader/>
        </w:trPr>
        <w:tc>
          <w:tcPr>
            <w:tcW w:w="1413" w:type="dxa"/>
            <w:shd w:val="clear" w:color="auto" w:fill="D9D9D9" w:themeFill="background1" w:themeFillShade="D9"/>
            <w:vAlign w:val="center"/>
          </w:tcPr>
          <w:p w:rsidR="00BD1720" w:rsidRPr="006E5888" w:rsidRDefault="00BD1720" w:rsidP="00472340">
            <w:pPr>
              <w:tabs>
                <w:tab w:val="left" w:pos="1010"/>
              </w:tabs>
              <w:jc w:val="center"/>
              <w:rPr>
                <w:b/>
                <w:szCs w:val="24"/>
              </w:rPr>
            </w:pPr>
            <w:r w:rsidRPr="006E5888">
              <w:rPr>
                <w:b/>
                <w:szCs w:val="24"/>
              </w:rPr>
              <w:t>Ministrija</w:t>
            </w:r>
          </w:p>
        </w:tc>
        <w:tc>
          <w:tcPr>
            <w:tcW w:w="4819" w:type="dxa"/>
            <w:shd w:val="clear" w:color="auto" w:fill="D9D9D9" w:themeFill="background1" w:themeFillShade="D9"/>
            <w:vAlign w:val="center"/>
          </w:tcPr>
          <w:p w:rsidR="00BD1720" w:rsidRPr="006E5888" w:rsidRDefault="00BD1720" w:rsidP="00472340">
            <w:pPr>
              <w:tabs>
                <w:tab w:val="left" w:pos="1010"/>
              </w:tabs>
              <w:jc w:val="center"/>
              <w:rPr>
                <w:b/>
                <w:szCs w:val="24"/>
              </w:rPr>
            </w:pPr>
            <w:r w:rsidRPr="006E5888">
              <w:rPr>
                <w:b/>
                <w:szCs w:val="24"/>
              </w:rPr>
              <w:t>Budžeta programma/apakšprogramma</w:t>
            </w:r>
          </w:p>
        </w:tc>
        <w:tc>
          <w:tcPr>
            <w:tcW w:w="1526" w:type="dxa"/>
            <w:tcBorders>
              <w:bottom w:val="single" w:sz="4" w:space="0" w:color="auto"/>
            </w:tcBorders>
            <w:shd w:val="clear" w:color="auto" w:fill="D9D9D9" w:themeFill="background1" w:themeFillShade="D9"/>
            <w:vAlign w:val="center"/>
          </w:tcPr>
          <w:p w:rsidR="00BD1720" w:rsidRPr="006E5888" w:rsidRDefault="00BD1720" w:rsidP="00BD1720">
            <w:pPr>
              <w:tabs>
                <w:tab w:val="left" w:pos="1010"/>
              </w:tabs>
              <w:jc w:val="center"/>
              <w:rPr>
                <w:b/>
                <w:szCs w:val="24"/>
              </w:rPr>
            </w:pPr>
            <w:r w:rsidRPr="006E5888">
              <w:rPr>
                <w:b/>
                <w:szCs w:val="24"/>
              </w:rPr>
              <w:t>2017</w:t>
            </w:r>
          </w:p>
        </w:tc>
        <w:tc>
          <w:tcPr>
            <w:tcW w:w="1526" w:type="dxa"/>
            <w:tcBorders>
              <w:bottom w:val="single" w:sz="4" w:space="0" w:color="auto"/>
            </w:tcBorders>
            <w:shd w:val="clear" w:color="auto" w:fill="D9D9D9" w:themeFill="background1" w:themeFillShade="D9"/>
            <w:vAlign w:val="center"/>
          </w:tcPr>
          <w:p w:rsidR="00BD1720" w:rsidRPr="006E5888" w:rsidRDefault="00BD1720" w:rsidP="00BD1720">
            <w:pPr>
              <w:tabs>
                <w:tab w:val="left" w:pos="1010"/>
              </w:tabs>
              <w:jc w:val="center"/>
              <w:rPr>
                <w:b/>
                <w:szCs w:val="24"/>
              </w:rPr>
            </w:pPr>
            <w:r w:rsidRPr="006E5888">
              <w:rPr>
                <w:b/>
                <w:szCs w:val="24"/>
              </w:rPr>
              <w:t xml:space="preserve">2018 </w:t>
            </w:r>
          </w:p>
        </w:tc>
      </w:tr>
      <w:tr w:rsidR="00BD1720" w:rsidRPr="006E5888" w:rsidTr="00910273">
        <w:trPr>
          <w:trHeight w:val="20"/>
        </w:trPr>
        <w:tc>
          <w:tcPr>
            <w:tcW w:w="6232" w:type="dxa"/>
            <w:gridSpan w:val="2"/>
          </w:tcPr>
          <w:p w:rsidR="00BD1720" w:rsidRPr="006E5888" w:rsidRDefault="00BD1720" w:rsidP="00472340">
            <w:pPr>
              <w:tabs>
                <w:tab w:val="left" w:pos="1010"/>
              </w:tabs>
              <w:jc w:val="right"/>
              <w:rPr>
                <w:b/>
                <w:szCs w:val="24"/>
              </w:rPr>
            </w:pPr>
            <w:r w:rsidRPr="006E5888">
              <w:rPr>
                <w:b/>
                <w:szCs w:val="24"/>
              </w:rPr>
              <w:t>Ieņēmumu neizpilde</w:t>
            </w:r>
          </w:p>
        </w:tc>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BD1720" w:rsidRPr="006E5888" w:rsidRDefault="00BD1720" w:rsidP="00910273">
            <w:pPr>
              <w:jc w:val="right"/>
              <w:rPr>
                <w:rFonts w:cs="Times New Roman"/>
                <w:b/>
                <w:bCs/>
                <w:color w:val="000000"/>
                <w:szCs w:val="24"/>
              </w:rPr>
            </w:pPr>
            <w:r w:rsidRPr="006E5888">
              <w:rPr>
                <w:rFonts w:cs="Times New Roman"/>
                <w:b/>
                <w:bCs/>
                <w:color w:val="000000"/>
                <w:szCs w:val="24"/>
              </w:rPr>
              <w:t>8 046 552</w:t>
            </w:r>
          </w:p>
        </w:tc>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BD1720" w:rsidRPr="006E5888" w:rsidRDefault="00BD1720" w:rsidP="00910273">
            <w:pPr>
              <w:jc w:val="right"/>
              <w:rPr>
                <w:rFonts w:cs="Times New Roman"/>
                <w:b/>
                <w:bCs/>
                <w:color w:val="000000"/>
                <w:szCs w:val="24"/>
              </w:rPr>
            </w:pPr>
            <w:r w:rsidRPr="006E5888">
              <w:rPr>
                <w:rFonts w:cs="Times New Roman"/>
                <w:b/>
                <w:bCs/>
                <w:color w:val="000000"/>
                <w:szCs w:val="24"/>
              </w:rPr>
              <w:t>8 046 552</w:t>
            </w:r>
          </w:p>
        </w:tc>
      </w:tr>
      <w:tr w:rsidR="00BD1720" w:rsidRPr="006E5888" w:rsidTr="00910273">
        <w:trPr>
          <w:trHeight w:val="20"/>
        </w:trPr>
        <w:tc>
          <w:tcPr>
            <w:tcW w:w="1413" w:type="dxa"/>
            <w:vAlign w:val="center"/>
          </w:tcPr>
          <w:p w:rsidR="00BD1720" w:rsidRPr="006E5888" w:rsidRDefault="00BD1720" w:rsidP="00910273">
            <w:pPr>
              <w:tabs>
                <w:tab w:val="left" w:pos="1010"/>
              </w:tabs>
              <w:rPr>
                <w:b/>
                <w:szCs w:val="24"/>
              </w:rPr>
            </w:pPr>
            <w:r w:rsidRPr="006E5888">
              <w:rPr>
                <w:b/>
                <w:szCs w:val="24"/>
              </w:rPr>
              <w:t>SM</w:t>
            </w:r>
          </w:p>
        </w:tc>
        <w:tc>
          <w:tcPr>
            <w:tcW w:w="4819" w:type="dxa"/>
          </w:tcPr>
          <w:p w:rsidR="00BD1720" w:rsidRPr="006E5888" w:rsidRDefault="00BD1720" w:rsidP="00472340">
            <w:pPr>
              <w:tabs>
                <w:tab w:val="left" w:pos="1010"/>
              </w:tabs>
              <w:jc w:val="both"/>
              <w:rPr>
                <w:szCs w:val="24"/>
              </w:rPr>
            </w:pPr>
            <w:r w:rsidRPr="006E5888">
              <w:rPr>
                <w:szCs w:val="24"/>
              </w:rPr>
              <w:t>23.06.00 Valsts autoceļu pārvaldīšana, uzturēšana un atjaunošana</w:t>
            </w:r>
          </w:p>
        </w:tc>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BD1720" w:rsidRPr="006E5888" w:rsidRDefault="00BD1720" w:rsidP="00910273">
            <w:pPr>
              <w:jc w:val="right"/>
              <w:rPr>
                <w:rFonts w:cs="Times New Roman"/>
                <w:color w:val="000000"/>
                <w:szCs w:val="24"/>
              </w:rPr>
            </w:pPr>
            <w:r w:rsidRPr="006E5888">
              <w:rPr>
                <w:rFonts w:cs="Times New Roman"/>
                <w:color w:val="000000"/>
                <w:szCs w:val="24"/>
              </w:rPr>
              <w:t>7 143 757</w:t>
            </w:r>
          </w:p>
        </w:tc>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BD1720" w:rsidRPr="006E5888" w:rsidRDefault="00BD1720" w:rsidP="00910273">
            <w:pPr>
              <w:jc w:val="right"/>
              <w:rPr>
                <w:rFonts w:cs="Times New Roman"/>
                <w:color w:val="000000"/>
                <w:szCs w:val="24"/>
              </w:rPr>
            </w:pPr>
            <w:r w:rsidRPr="006E5888">
              <w:rPr>
                <w:rFonts w:cs="Times New Roman"/>
                <w:color w:val="000000"/>
                <w:szCs w:val="24"/>
              </w:rPr>
              <w:t>7 143 757</w:t>
            </w:r>
          </w:p>
        </w:tc>
      </w:tr>
      <w:tr w:rsidR="00BD1720" w:rsidRPr="006E5888" w:rsidTr="00910273">
        <w:trPr>
          <w:trHeight w:val="20"/>
        </w:trPr>
        <w:tc>
          <w:tcPr>
            <w:tcW w:w="1413" w:type="dxa"/>
            <w:vAlign w:val="center"/>
          </w:tcPr>
          <w:p w:rsidR="00BD1720" w:rsidRPr="006E5888" w:rsidRDefault="00BD1720" w:rsidP="00910273">
            <w:pPr>
              <w:tabs>
                <w:tab w:val="left" w:pos="1010"/>
              </w:tabs>
              <w:rPr>
                <w:b/>
                <w:szCs w:val="24"/>
              </w:rPr>
            </w:pPr>
            <w:r w:rsidRPr="006E5888">
              <w:rPr>
                <w:b/>
                <w:szCs w:val="24"/>
              </w:rPr>
              <w:t>EM</w:t>
            </w:r>
          </w:p>
        </w:tc>
        <w:tc>
          <w:tcPr>
            <w:tcW w:w="4819" w:type="dxa"/>
            <w:tcBorders>
              <w:top w:val="single" w:sz="4" w:space="0" w:color="auto"/>
            </w:tcBorders>
          </w:tcPr>
          <w:p w:rsidR="00BD1720" w:rsidRPr="006E5888" w:rsidRDefault="00BD1720" w:rsidP="00472340">
            <w:pPr>
              <w:tabs>
                <w:tab w:val="left" w:pos="1010"/>
              </w:tabs>
              <w:jc w:val="both"/>
              <w:rPr>
                <w:szCs w:val="24"/>
              </w:rPr>
            </w:pPr>
            <w:r w:rsidRPr="006E5888">
              <w:rPr>
                <w:szCs w:val="24"/>
              </w:rPr>
              <w:t>20.00.00 Būvniecība</w:t>
            </w:r>
          </w:p>
        </w:tc>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BD1720" w:rsidRPr="006E5888" w:rsidRDefault="00BD1720" w:rsidP="00910273">
            <w:pPr>
              <w:jc w:val="right"/>
              <w:rPr>
                <w:rFonts w:cs="Times New Roman"/>
                <w:color w:val="000000"/>
                <w:szCs w:val="24"/>
              </w:rPr>
            </w:pPr>
            <w:r w:rsidRPr="006E5888">
              <w:rPr>
                <w:rFonts w:cs="Times New Roman"/>
                <w:color w:val="000000"/>
                <w:szCs w:val="24"/>
              </w:rPr>
              <w:t>656 888</w:t>
            </w:r>
          </w:p>
        </w:tc>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BD1720" w:rsidRPr="006E5888" w:rsidRDefault="00BD1720" w:rsidP="00910273">
            <w:pPr>
              <w:jc w:val="right"/>
              <w:rPr>
                <w:rFonts w:cs="Times New Roman"/>
                <w:color w:val="000000"/>
                <w:szCs w:val="24"/>
              </w:rPr>
            </w:pPr>
            <w:r w:rsidRPr="006E5888">
              <w:rPr>
                <w:rFonts w:cs="Times New Roman"/>
                <w:color w:val="000000"/>
                <w:szCs w:val="24"/>
              </w:rPr>
              <w:t>656 888</w:t>
            </w:r>
          </w:p>
        </w:tc>
      </w:tr>
      <w:tr w:rsidR="00BD1720" w:rsidRPr="006E5888" w:rsidTr="00910273">
        <w:trPr>
          <w:trHeight w:val="20"/>
        </w:trPr>
        <w:tc>
          <w:tcPr>
            <w:tcW w:w="1413" w:type="dxa"/>
            <w:vAlign w:val="center"/>
          </w:tcPr>
          <w:p w:rsidR="00BD1720" w:rsidRPr="006E5888" w:rsidRDefault="00BD1720" w:rsidP="00910273">
            <w:pPr>
              <w:tabs>
                <w:tab w:val="left" w:pos="1010"/>
              </w:tabs>
              <w:rPr>
                <w:b/>
                <w:szCs w:val="24"/>
              </w:rPr>
            </w:pPr>
            <w:r w:rsidRPr="006E5888">
              <w:rPr>
                <w:b/>
                <w:szCs w:val="24"/>
              </w:rPr>
              <w:t>KM</w:t>
            </w:r>
          </w:p>
        </w:tc>
        <w:tc>
          <w:tcPr>
            <w:tcW w:w="4819" w:type="dxa"/>
          </w:tcPr>
          <w:p w:rsidR="00BD1720" w:rsidRPr="006E5888" w:rsidRDefault="00BD1720" w:rsidP="00472340">
            <w:pPr>
              <w:tabs>
                <w:tab w:val="left" w:pos="1010"/>
              </w:tabs>
              <w:jc w:val="both"/>
              <w:rPr>
                <w:szCs w:val="24"/>
              </w:rPr>
            </w:pPr>
            <w:r w:rsidRPr="006E5888">
              <w:rPr>
                <w:szCs w:val="24"/>
              </w:rPr>
              <w:t>21.00.00 Kultūras mantojums</w:t>
            </w:r>
          </w:p>
        </w:tc>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BD1720" w:rsidRPr="006E5888" w:rsidRDefault="00BD1720" w:rsidP="00910273">
            <w:pPr>
              <w:jc w:val="right"/>
              <w:rPr>
                <w:rFonts w:cs="Times New Roman"/>
                <w:color w:val="000000"/>
                <w:szCs w:val="24"/>
              </w:rPr>
            </w:pPr>
            <w:r w:rsidRPr="006E5888">
              <w:rPr>
                <w:rFonts w:cs="Times New Roman"/>
                <w:color w:val="000000"/>
                <w:szCs w:val="24"/>
              </w:rPr>
              <w:t>245 907</w:t>
            </w:r>
          </w:p>
        </w:tc>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BD1720" w:rsidRPr="006E5888" w:rsidRDefault="00BD1720" w:rsidP="00910273">
            <w:pPr>
              <w:jc w:val="right"/>
              <w:rPr>
                <w:rFonts w:cs="Times New Roman"/>
                <w:color w:val="000000"/>
                <w:szCs w:val="24"/>
              </w:rPr>
            </w:pPr>
            <w:r w:rsidRPr="006E5888">
              <w:rPr>
                <w:rFonts w:cs="Times New Roman"/>
                <w:color w:val="000000"/>
                <w:szCs w:val="24"/>
              </w:rPr>
              <w:t>245 907</w:t>
            </w:r>
          </w:p>
        </w:tc>
      </w:tr>
      <w:tr w:rsidR="00A22E4C" w:rsidRPr="006E5888" w:rsidTr="003F7196">
        <w:trPr>
          <w:trHeight w:val="20"/>
        </w:trPr>
        <w:tc>
          <w:tcPr>
            <w:tcW w:w="6232" w:type="dxa"/>
            <w:gridSpan w:val="2"/>
          </w:tcPr>
          <w:p w:rsidR="00A22E4C" w:rsidRPr="006E5888" w:rsidRDefault="00A22E4C" w:rsidP="00A22E4C">
            <w:pPr>
              <w:tabs>
                <w:tab w:val="left" w:pos="1010"/>
              </w:tabs>
              <w:jc w:val="right"/>
              <w:rPr>
                <w:b/>
                <w:szCs w:val="24"/>
              </w:rPr>
            </w:pPr>
            <w:r w:rsidRPr="006E5888">
              <w:rPr>
                <w:b/>
                <w:szCs w:val="24"/>
              </w:rPr>
              <w:t>Apkure un degviela</w:t>
            </w:r>
          </w:p>
        </w:tc>
        <w:tc>
          <w:tcPr>
            <w:tcW w:w="1526" w:type="dxa"/>
            <w:tcBorders>
              <w:top w:val="single" w:sz="4" w:space="0" w:color="auto"/>
              <w:left w:val="single" w:sz="4" w:space="0" w:color="auto"/>
              <w:bottom w:val="single" w:sz="4" w:space="0" w:color="auto"/>
              <w:right w:val="single" w:sz="4" w:space="0" w:color="auto"/>
            </w:tcBorders>
            <w:shd w:val="clear" w:color="auto" w:fill="auto"/>
          </w:tcPr>
          <w:p w:rsidR="00A22E4C" w:rsidRPr="006E5888" w:rsidRDefault="00A22E4C" w:rsidP="00A22E4C">
            <w:pPr>
              <w:jc w:val="right"/>
              <w:rPr>
                <w:b/>
              </w:rPr>
            </w:pPr>
            <w:r w:rsidRPr="006E5888">
              <w:rPr>
                <w:b/>
              </w:rPr>
              <w:t>4 871 541</w:t>
            </w:r>
          </w:p>
        </w:tc>
        <w:tc>
          <w:tcPr>
            <w:tcW w:w="1526" w:type="dxa"/>
            <w:tcBorders>
              <w:top w:val="single" w:sz="4" w:space="0" w:color="auto"/>
              <w:left w:val="single" w:sz="4" w:space="0" w:color="auto"/>
              <w:bottom w:val="single" w:sz="4" w:space="0" w:color="auto"/>
              <w:right w:val="single" w:sz="4" w:space="0" w:color="auto"/>
            </w:tcBorders>
            <w:shd w:val="clear" w:color="auto" w:fill="auto"/>
          </w:tcPr>
          <w:p w:rsidR="00A22E4C" w:rsidRPr="006E5888" w:rsidRDefault="00A22E4C" w:rsidP="00A22E4C">
            <w:pPr>
              <w:jc w:val="right"/>
              <w:rPr>
                <w:b/>
              </w:rPr>
            </w:pPr>
            <w:r w:rsidRPr="006E5888">
              <w:rPr>
                <w:b/>
              </w:rPr>
              <w:t>4 727 386</w:t>
            </w:r>
          </w:p>
        </w:tc>
      </w:tr>
      <w:tr w:rsidR="006F6A6A" w:rsidRPr="006E5888" w:rsidTr="003F7196">
        <w:trPr>
          <w:trHeight w:val="20"/>
        </w:trPr>
        <w:tc>
          <w:tcPr>
            <w:tcW w:w="6232" w:type="dxa"/>
            <w:gridSpan w:val="2"/>
            <w:shd w:val="clear" w:color="auto" w:fill="D9D9D9" w:themeFill="background1" w:themeFillShade="D9"/>
            <w:vAlign w:val="center"/>
          </w:tcPr>
          <w:p w:rsidR="006F6A6A" w:rsidRPr="006E5888" w:rsidRDefault="006F6A6A" w:rsidP="006F6A6A">
            <w:pPr>
              <w:jc w:val="right"/>
              <w:rPr>
                <w:b/>
              </w:rPr>
            </w:pPr>
            <w:r w:rsidRPr="006E5888">
              <w:rPr>
                <w:b/>
              </w:rPr>
              <w:t>Kopā:</w:t>
            </w:r>
          </w:p>
        </w:tc>
        <w:tc>
          <w:tcPr>
            <w:tcW w:w="1526" w:type="dxa"/>
            <w:tcBorders>
              <w:top w:val="single" w:sz="4" w:space="0" w:color="auto"/>
            </w:tcBorders>
            <w:shd w:val="clear" w:color="auto" w:fill="D9D9D9" w:themeFill="background1" w:themeFillShade="D9"/>
          </w:tcPr>
          <w:p w:rsidR="006F6A6A" w:rsidRPr="006E5888" w:rsidRDefault="006F6A6A" w:rsidP="006F6A6A">
            <w:pPr>
              <w:jc w:val="right"/>
              <w:rPr>
                <w:b/>
              </w:rPr>
            </w:pPr>
            <w:r w:rsidRPr="006E5888">
              <w:rPr>
                <w:b/>
              </w:rPr>
              <w:t>12 918 093</w:t>
            </w:r>
          </w:p>
        </w:tc>
        <w:tc>
          <w:tcPr>
            <w:tcW w:w="1526" w:type="dxa"/>
            <w:tcBorders>
              <w:top w:val="single" w:sz="4" w:space="0" w:color="auto"/>
            </w:tcBorders>
            <w:shd w:val="clear" w:color="auto" w:fill="D9D9D9" w:themeFill="background1" w:themeFillShade="D9"/>
          </w:tcPr>
          <w:p w:rsidR="006F6A6A" w:rsidRPr="006E5888" w:rsidRDefault="006F6A6A" w:rsidP="006F6A6A">
            <w:pPr>
              <w:jc w:val="right"/>
              <w:rPr>
                <w:b/>
              </w:rPr>
            </w:pPr>
            <w:r w:rsidRPr="006E5888">
              <w:rPr>
                <w:b/>
              </w:rPr>
              <w:t>12 773 938</w:t>
            </w:r>
          </w:p>
        </w:tc>
      </w:tr>
    </w:tbl>
    <w:p w:rsidR="00854D98" w:rsidRPr="006E5888" w:rsidRDefault="000B0558" w:rsidP="005831D7">
      <w:pPr>
        <w:tabs>
          <w:tab w:val="left" w:pos="1010"/>
        </w:tabs>
        <w:spacing w:before="240" w:after="120"/>
        <w:ind w:firstLine="709"/>
        <w:jc w:val="both"/>
        <w:rPr>
          <w:szCs w:val="24"/>
        </w:rPr>
      </w:pPr>
      <w:r w:rsidRPr="006E5888">
        <w:rPr>
          <w:szCs w:val="24"/>
        </w:rPr>
        <w:t xml:space="preserve">Izvērsta analīze par ieņēmumu neizpildes analīzi, detalizēti aplūkojot ministriju, tai skaitā ministrijas programmu/apakšprogrammu pieejama informatīvā ziņojuma </w:t>
      </w:r>
      <w:r w:rsidR="00BB24A8" w:rsidRPr="006E5888">
        <w:rPr>
          <w:szCs w:val="24"/>
        </w:rPr>
        <w:t>pielikumā Nr.</w:t>
      </w:r>
      <w:r w:rsidR="00DE4F07" w:rsidRPr="006E5888">
        <w:rPr>
          <w:szCs w:val="24"/>
        </w:rPr>
        <w:t>5</w:t>
      </w:r>
      <w:r w:rsidR="00BB24A8" w:rsidRPr="006E5888">
        <w:rPr>
          <w:szCs w:val="24"/>
        </w:rPr>
        <w:t>.</w:t>
      </w:r>
      <w:r w:rsidR="00BC1AA6" w:rsidRPr="006E5888">
        <w:rPr>
          <w:szCs w:val="24"/>
        </w:rPr>
        <w:t xml:space="preserve"> </w:t>
      </w:r>
    </w:p>
    <w:p w:rsidR="00433CDB" w:rsidRPr="006E5888" w:rsidRDefault="000B0558" w:rsidP="000B0558">
      <w:pPr>
        <w:tabs>
          <w:tab w:val="left" w:pos="1010"/>
        </w:tabs>
        <w:spacing w:before="120"/>
        <w:jc w:val="both"/>
        <w:rPr>
          <w:b/>
          <w:szCs w:val="24"/>
        </w:rPr>
      </w:pPr>
      <w:r w:rsidRPr="006E5888">
        <w:rPr>
          <w:b/>
          <w:szCs w:val="24"/>
          <w:u w:val="single"/>
        </w:rPr>
        <w:t>Apkure un degviela</w:t>
      </w:r>
    </w:p>
    <w:p w:rsidR="005831D7" w:rsidRPr="006E5888" w:rsidRDefault="00FA6505" w:rsidP="005831D7">
      <w:pPr>
        <w:tabs>
          <w:tab w:val="left" w:pos="1010"/>
        </w:tabs>
        <w:spacing w:before="120" w:after="120"/>
        <w:ind w:firstLine="709"/>
        <w:jc w:val="both"/>
        <w:rPr>
          <w:szCs w:val="24"/>
        </w:rPr>
      </w:pPr>
      <w:r w:rsidRPr="006E5888">
        <w:rPr>
          <w:szCs w:val="24"/>
        </w:rPr>
        <w:t xml:space="preserve">Izdevumu pārskatīšanas procesā tika veikta </w:t>
      </w:r>
      <w:r w:rsidR="00E96195" w:rsidRPr="006E5888">
        <w:rPr>
          <w:szCs w:val="24"/>
        </w:rPr>
        <w:t xml:space="preserve">valsts budžeta izdevumu </w:t>
      </w:r>
      <w:r w:rsidRPr="006E5888">
        <w:rPr>
          <w:szCs w:val="24"/>
        </w:rPr>
        <w:t>degvielas cen</w:t>
      </w:r>
      <w:r w:rsidR="00E96195" w:rsidRPr="006E5888">
        <w:rPr>
          <w:szCs w:val="24"/>
        </w:rPr>
        <w:t>as izmaiņu un</w:t>
      </w:r>
      <w:r w:rsidRPr="006E5888">
        <w:rPr>
          <w:szCs w:val="24"/>
        </w:rPr>
        <w:t xml:space="preserve"> siltumenerģijas cenas izmaiņ</w:t>
      </w:r>
      <w:r w:rsidR="00E96195" w:rsidRPr="006E5888">
        <w:rPr>
          <w:szCs w:val="24"/>
        </w:rPr>
        <w:t>u analīze.</w:t>
      </w:r>
      <w:r w:rsidRPr="006E5888">
        <w:rPr>
          <w:szCs w:val="24"/>
        </w:rPr>
        <w:t xml:space="preserve"> (skat. </w:t>
      </w:r>
      <w:r w:rsidR="00CE0F87" w:rsidRPr="006E5888">
        <w:rPr>
          <w:szCs w:val="24"/>
        </w:rPr>
        <w:t>a</w:t>
      </w:r>
      <w:r w:rsidR="005831D7" w:rsidRPr="006E5888">
        <w:rPr>
          <w:szCs w:val="24"/>
        </w:rPr>
        <w:t>ttēlu Nr.</w:t>
      </w:r>
      <w:r w:rsidR="000B0558" w:rsidRPr="006E5888">
        <w:rPr>
          <w:szCs w:val="24"/>
        </w:rPr>
        <w:t>1</w:t>
      </w:r>
      <w:r w:rsidR="00653F38" w:rsidRPr="006E5888">
        <w:rPr>
          <w:szCs w:val="24"/>
        </w:rPr>
        <w:t>1</w:t>
      </w:r>
      <w:r w:rsidRPr="006E5888">
        <w:rPr>
          <w:szCs w:val="24"/>
        </w:rPr>
        <w:t xml:space="preserve"> par degvielas izdevumiem un </w:t>
      </w:r>
      <w:r w:rsidR="00CE0F87" w:rsidRPr="006E5888">
        <w:rPr>
          <w:szCs w:val="24"/>
        </w:rPr>
        <w:t>a</w:t>
      </w:r>
      <w:r w:rsidR="005831D7" w:rsidRPr="006E5888">
        <w:rPr>
          <w:szCs w:val="24"/>
        </w:rPr>
        <w:t>ttēlu Nr.</w:t>
      </w:r>
      <w:r w:rsidR="000B0558" w:rsidRPr="006E5888">
        <w:rPr>
          <w:szCs w:val="24"/>
        </w:rPr>
        <w:t>1</w:t>
      </w:r>
      <w:r w:rsidR="00653F38" w:rsidRPr="006E5888">
        <w:rPr>
          <w:szCs w:val="24"/>
        </w:rPr>
        <w:t>2</w:t>
      </w:r>
      <w:r w:rsidRPr="006E5888">
        <w:rPr>
          <w:szCs w:val="24"/>
        </w:rPr>
        <w:t xml:space="preserve"> par siltumenerģijas izdevumiem)</w:t>
      </w:r>
    </w:p>
    <w:p w:rsidR="00254C78" w:rsidRPr="006E5888" w:rsidRDefault="001363C7" w:rsidP="001D2923">
      <w:pPr>
        <w:tabs>
          <w:tab w:val="left" w:pos="1010"/>
        </w:tabs>
        <w:spacing w:before="120"/>
        <w:jc w:val="center"/>
        <w:rPr>
          <w:szCs w:val="24"/>
        </w:rPr>
      </w:pPr>
      <w:r w:rsidRPr="006E5888">
        <w:rPr>
          <w:noProof/>
          <w:szCs w:val="24"/>
          <w:lang w:eastAsia="lv-LV"/>
        </w:rPr>
        <w:drawing>
          <wp:inline distT="0" distB="0" distL="0" distR="0" wp14:anchorId="12DDD9C6" wp14:editId="63F84CFB">
            <wp:extent cx="4987925" cy="2830983"/>
            <wp:effectExtent l="0" t="0" r="3175"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36270" cy="2915179"/>
                    </a:xfrm>
                    <a:prstGeom prst="rect">
                      <a:avLst/>
                    </a:prstGeom>
                    <a:noFill/>
                  </pic:spPr>
                </pic:pic>
              </a:graphicData>
            </a:graphic>
          </wp:inline>
        </w:drawing>
      </w:r>
    </w:p>
    <w:p w:rsidR="00E31189" w:rsidRPr="006E5888" w:rsidRDefault="008D51E2" w:rsidP="005831D7">
      <w:pPr>
        <w:tabs>
          <w:tab w:val="left" w:pos="1010"/>
        </w:tabs>
        <w:spacing w:before="120" w:after="120"/>
        <w:jc w:val="center"/>
        <w:rPr>
          <w:sz w:val="22"/>
        </w:rPr>
      </w:pPr>
      <w:r w:rsidRPr="006E5888">
        <w:rPr>
          <w:sz w:val="22"/>
        </w:rPr>
        <w:t>1</w:t>
      </w:r>
      <w:r w:rsidR="00653F38" w:rsidRPr="006E5888">
        <w:rPr>
          <w:sz w:val="22"/>
        </w:rPr>
        <w:t>1</w:t>
      </w:r>
      <w:r w:rsidR="004D08BC" w:rsidRPr="006E5888">
        <w:rPr>
          <w:sz w:val="22"/>
        </w:rPr>
        <w:t>.</w:t>
      </w:r>
      <w:r w:rsidR="004D08BC" w:rsidRPr="006E5888">
        <w:rPr>
          <w:i/>
          <w:sz w:val="22"/>
        </w:rPr>
        <w:t>att</w:t>
      </w:r>
      <w:r w:rsidR="004D08BC" w:rsidRPr="006E5888">
        <w:rPr>
          <w:sz w:val="22"/>
        </w:rPr>
        <w:t xml:space="preserve">. </w:t>
      </w:r>
      <w:r w:rsidR="00254C78" w:rsidRPr="006E5888">
        <w:rPr>
          <w:b/>
          <w:sz w:val="22"/>
        </w:rPr>
        <w:t>Degvielas izdevumu horizontāla analīze, atbilstoši tirgus cenu izmaiņām</w:t>
      </w:r>
    </w:p>
    <w:p w:rsidR="005831D7" w:rsidRPr="006E5888" w:rsidRDefault="005831D7" w:rsidP="00E31189">
      <w:pPr>
        <w:tabs>
          <w:tab w:val="left" w:pos="1010"/>
        </w:tabs>
        <w:ind w:firstLine="709"/>
        <w:jc w:val="both"/>
        <w:rPr>
          <w:sz w:val="8"/>
          <w:szCs w:val="8"/>
        </w:rPr>
      </w:pPr>
    </w:p>
    <w:p w:rsidR="00DE6A7F" w:rsidRPr="006E5888" w:rsidRDefault="00DE6A7F" w:rsidP="00E31189">
      <w:pPr>
        <w:tabs>
          <w:tab w:val="left" w:pos="1010"/>
        </w:tabs>
        <w:ind w:firstLine="709"/>
        <w:jc w:val="both"/>
        <w:rPr>
          <w:sz w:val="22"/>
        </w:rPr>
      </w:pPr>
      <w:r w:rsidRPr="006E5888">
        <w:rPr>
          <w:szCs w:val="24"/>
        </w:rPr>
        <w:t>Attēlā Nr.1</w:t>
      </w:r>
      <w:r w:rsidR="00653F38" w:rsidRPr="006E5888">
        <w:rPr>
          <w:szCs w:val="24"/>
        </w:rPr>
        <w:t>1</w:t>
      </w:r>
      <w:r w:rsidRPr="006E5888">
        <w:rPr>
          <w:szCs w:val="24"/>
        </w:rPr>
        <w:t xml:space="preserve"> uzskatāmi redzams, ka valsts budžeta izdevumiem degvielai ir tendence katru gadu pieaugt, savukārt vidējā degvielas mazumtirdzniecības cena 2015.gadā</w:t>
      </w:r>
      <w:r w:rsidR="00CE0F87" w:rsidRPr="006E5888">
        <w:rPr>
          <w:szCs w:val="24"/>
        </w:rPr>
        <w:t xml:space="preserve">, </w:t>
      </w:r>
      <w:r w:rsidRPr="006E5888">
        <w:rPr>
          <w:szCs w:val="24"/>
        </w:rPr>
        <w:t>salīdzinot ar 2012.gadu</w:t>
      </w:r>
      <w:r w:rsidR="00CE0F87" w:rsidRPr="006E5888">
        <w:rPr>
          <w:szCs w:val="24"/>
        </w:rPr>
        <w:t>,</w:t>
      </w:r>
      <w:r w:rsidRPr="006E5888">
        <w:rPr>
          <w:szCs w:val="24"/>
        </w:rPr>
        <w:t xml:space="preserve"> ir kritusies par 21%, kā arī izdevumu vidējā izpilde degvielas izdevumiem</w:t>
      </w:r>
      <w:r w:rsidR="00CE0F87" w:rsidRPr="006E5888">
        <w:rPr>
          <w:szCs w:val="24"/>
        </w:rPr>
        <w:t>,</w:t>
      </w:r>
      <w:r w:rsidRPr="006E5888">
        <w:rPr>
          <w:szCs w:val="24"/>
        </w:rPr>
        <w:t xml:space="preserve"> salīdzinot 2014.gadu ar 2015.gadu</w:t>
      </w:r>
      <w:r w:rsidR="00CE0F87" w:rsidRPr="006E5888">
        <w:rPr>
          <w:szCs w:val="24"/>
        </w:rPr>
        <w:t>,</w:t>
      </w:r>
      <w:r w:rsidRPr="006E5888">
        <w:rPr>
          <w:szCs w:val="24"/>
        </w:rPr>
        <w:t xml:space="preserve"> zemāka nekā ministrijām plānotie valsts budžeta izdevumi degvielai.</w:t>
      </w:r>
    </w:p>
    <w:p w:rsidR="00D01F84" w:rsidRPr="006E5888" w:rsidRDefault="00D01F84" w:rsidP="001F29C4">
      <w:pPr>
        <w:tabs>
          <w:tab w:val="left" w:pos="1010"/>
        </w:tabs>
        <w:ind w:firstLine="709"/>
        <w:jc w:val="both"/>
        <w:rPr>
          <w:szCs w:val="24"/>
        </w:rPr>
      </w:pPr>
      <w:r w:rsidRPr="006E5888">
        <w:rPr>
          <w:szCs w:val="24"/>
        </w:rPr>
        <w:t>Kopsavilkums par degvielas un siltumenerģijas horizontālo analīzi redzams tabulā Nr.1</w:t>
      </w:r>
      <w:r w:rsidR="00CE0F87" w:rsidRPr="006E5888">
        <w:rPr>
          <w:szCs w:val="24"/>
        </w:rPr>
        <w:t>3</w:t>
      </w:r>
      <w:r w:rsidRPr="006E5888">
        <w:rPr>
          <w:szCs w:val="24"/>
        </w:rPr>
        <w:t xml:space="preserve"> un tabulā Nr.1</w:t>
      </w:r>
      <w:r w:rsidR="00CE0F87" w:rsidRPr="006E5888">
        <w:rPr>
          <w:szCs w:val="24"/>
        </w:rPr>
        <w:t>4</w:t>
      </w:r>
      <w:r w:rsidRPr="006E5888">
        <w:rPr>
          <w:szCs w:val="24"/>
        </w:rPr>
        <w:t>.</w:t>
      </w:r>
    </w:p>
    <w:p w:rsidR="005831D7" w:rsidRPr="006E5888" w:rsidRDefault="008D51E2" w:rsidP="006F6A6A">
      <w:pPr>
        <w:tabs>
          <w:tab w:val="left" w:pos="1010"/>
        </w:tabs>
        <w:ind w:firstLine="709"/>
        <w:jc w:val="both"/>
        <w:rPr>
          <w:szCs w:val="24"/>
        </w:rPr>
      </w:pPr>
      <w:r w:rsidRPr="006E5888">
        <w:rPr>
          <w:szCs w:val="24"/>
        </w:rPr>
        <w:t xml:space="preserve">Ministrijām norādītās summas aprēķinātas no </w:t>
      </w:r>
      <w:r w:rsidR="00854D98" w:rsidRPr="006E5888">
        <w:rPr>
          <w:szCs w:val="24"/>
        </w:rPr>
        <w:t xml:space="preserve">2017.gadam un </w:t>
      </w:r>
      <w:r w:rsidRPr="006E5888">
        <w:rPr>
          <w:szCs w:val="24"/>
        </w:rPr>
        <w:t>2018.gadam plānot</w:t>
      </w:r>
      <w:r w:rsidR="00CE0F87" w:rsidRPr="006E5888">
        <w:rPr>
          <w:szCs w:val="24"/>
        </w:rPr>
        <w:t>ajiem</w:t>
      </w:r>
      <w:r w:rsidR="00A74F21" w:rsidRPr="006E5888">
        <w:rPr>
          <w:szCs w:val="24"/>
        </w:rPr>
        <w:t xml:space="preserve"> izdevumiem </w:t>
      </w:r>
      <w:r w:rsidRPr="006E5888">
        <w:rPr>
          <w:szCs w:val="24"/>
        </w:rPr>
        <w:t>apkurei un degvielai</w:t>
      </w:r>
      <w:r w:rsidR="00A74F21" w:rsidRPr="006E5888">
        <w:rPr>
          <w:szCs w:val="24"/>
        </w:rPr>
        <w:t>,</w:t>
      </w:r>
      <w:r w:rsidRPr="006E5888">
        <w:rPr>
          <w:szCs w:val="24"/>
        </w:rPr>
        <w:t xml:space="preserve"> </w:t>
      </w:r>
      <w:r w:rsidR="00D01F84" w:rsidRPr="006E5888">
        <w:rPr>
          <w:szCs w:val="24"/>
        </w:rPr>
        <w:t>atņemot</w:t>
      </w:r>
      <w:r w:rsidRPr="006E5888">
        <w:rPr>
          <w:szCs w:val="24"/>
        </w:rPr>
        <w:t xml:space="preserve"> 2014. un 2015.gada izdevumu apku</w:t>
      </w:r>
      <w:r w:rsidR="00D01F84" w:rsidRPr="006E5888">
        <w:rPr>
          <w:szCs w:val="24"/>
        </w:rPr>
        <w:t>rei un degvielai vidējo izpildi.</w:t>
      </w:r>
    </w:p>
    <w:p w:rsidR="00FA5F84" w:rsidRPr="006E5888" w:rsidRDefault="00CF51D8" w:rsidP="00FA5F84">
      <w:pPr>
        <w:tabs>
          <w:tab w:val="left" w:pos="1010"/>
        </w:tabs>
        <w:spacing w:before="120"/>
        <w:jc w:val="right"/>
        <w:rPr>
          <w:szCs w:val="24"/>
        </w:rPr>
      </w:pPr>
      <w:r w:rsidRPr="006E5888">
        <w:rPr>
          <w:szCs w:val="24"/>
        </w:rPr>
        <w:t>Tabula Nr.</w:t>
      </w:r>
      <w:r w:rsidR="00033670" w:rsidRPr="006E5888">
        <w:rPr>
          <w:szCs w:val="24"/>
        </w:rPr>
        <w:t>1</w:t>
      </w:r>
      <w:r w:rsidR="00CE0F87" w:rsidRPr="006E5888">
        <w:rPr>
          <w:szCs w:val="24"/>
        </w:rPr>
        <w:t>4</w:t>
      </w:r>
    </w:p>
    <w:p w:rsidR="00EB39AC" w:rsidRPr="006E5888" w:rsidRDefault="00EB39AC" w:rsidP="006F6A6A">
      <w:pPr>
        <w:tabs>
          <w:tab w:val="left" w:pos="1010"/>
        </w:tabs>
        <w:spacing w:before="120" w:after="120"/>
        <w:jc w:val="center"/>
        <w:rPr>
          <w:szCs w:val="24"/>
        </w:rPr>
      </w:pPr>
      <w:r w:rsidRPr="006E5888">
        <w:rPr>
          <w:szCs w:val="24"/>
        </w:rPr>
        <w:t>Kopsavi</w:t>
      </w:r>
      <w:r w:rsidR="00EA53A0" w:rsidRPr="006E5888">
        <w:rPr>
          <w:szCs w:val="24"/>
        </w:rPr>
        <w:t>lkums</w:t>
      </w:r>
      <w:r w:rsidRPr="006E5888">
        <w:rPr>
          <w:szCs w:val="24"/>
        </w:rPr>
        <w:t xml:space="preserve"> </w:t>
      </w:r>
      <w:r w:rsidR="003E5700" w:rsidRPr="006E5888">
        <w:rPr>
          <w:szCs w:val="24"/>
        </w:rPr>
        <w:t>par degvielas izdevumu horizontālo analīzi</w:t>
      </w:r>
      <w:r w:rsidR="004E391B" w:rsidRPr="006E5888">
        <w:rPr>
          <w:szCs w:val="24"/>
        </w:rPr>
        <w:t xml:space="preserve">, </w:t>
      </w:r>
      <w:proofErr w:type="spellStart"/>
      <w:r w:rsidR="004E391B" w:rsidRPr="006E5888">
        <w:rPr>
          <w:i/>
          <w:szCs w:val="24"/>
        </w:rPr>
        <w:t>euro</w:t>
      </w:r>
      <w:proofErr w:type="spellEnd"/>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780"/>
        <w:gridCol w:w="1906"/>
      </w:tblGrid>
      <w:tr w:rsidR="006F6A6A" w:rsidRPr="006E5888" w:rsidTr="006F6A6A">
        <w:trPr>
          <w:trHeight w:val="20"/>
          <w:jc w:val="center"/>
        </w:trPr>
        <w:tc>
          <w:tcPr>
            <w:tcW w:w="3964" w:type="dxa"/>
            <w:shd w:val="clear" w:color="auto" w:fill="D9D9D9" w:themeFill="background1" w:themeFillShade="D9"/>
            <w:noWrap/>
            <w:vAlign w:val="bottom"/>
            <w:hideMark/>
          </w:tcPr>
          <w:p w:rsidR="006F6A6A" w:rsidRPr="006E5888" w:rsidRDefault="006F6A6A" w:rsidP="006F6A6A">
            <w:pPr>
              <w:jc w:val="center"/>
              <w:rPr>
                <w:rFonts w:eastAsia="Times New Roman" w:cs="Times New Roman"/>
                <w:b/>
                <w:bCs/>
                <w:color w:val="000000"/>
                <w:szCs w:val="24"/>
                <w:lang w:eastAsia="lv-LV"/>
              </w:rPr>
            </w:pPr>
            <w:r w:rsidRPr="006E5888">
              <w:rPr>
                <w:rFonts w:eastAsia="Times New Roman" w:cs="Times New Roman"/>
                <w:b/>
                <w:bCs/>
                <w:color w:val="000000"/>
                <w:szCs w:val="24"/>
                <w:lang w:eastAsia="lv-LV"/>
              </w:rPr>
              <w:t>Ministrija</w:t>
            </w:r>
          </w:p>
        </w:tc>
        <w:tc>
          <w:tcPr>
            <w:tcW w:w="1780" w:type="dxa"/>
            <w:shd w:val="clear" w:color="auto" w:fill="D9D9D9" w:themeFill="background1" w:themeFillShade="D9"/>
            <w:noWrap/>
            <w:vAlign w:val="bottom"/>
            <w:hideMark/>
          </w:tcPr>
          <w:p w:rsidR="006F6A6A" w:rsidRPr="006E5888" w:rsidRDefault="006F6A6A" w:rsidP="006F6A6A">
            <w:pPr>
              <w:jc w:val="center"/>
              <w:rPr>
                <w:rFonts w:eastAsia="Times New Roman" w:cs="Times New Roman"/>
                <w:b/>
                <w:bCs/>
                <w:color w:val="000000"/>
                <w:szCs w:val="24"/>
                <w:lang w:eastAsia="lv-LV"/>
              </w:rPr>
            </w:pPr>
            <w:r w:rsidRPr="006E5888">
              <w:rPr>
                <w:rFonts w:eastAsia="Times New Roman" w:cs="Times New Roman"/>
                <w:b/>
                <w:bCs/>
                <w:color w:val="000000"/>
                <w:szCs w:val="24"/>
                <w:lang w:eastAsia="lv-LV"/>
              </w:rPr>
              <w:t>2017</w:t>
            </w:r>
          </w:p>
        </w:tc>
        <w:tc>
          <w:tcPr>
            <w:tcW w:w="1906" w:type="dxa"/>
            <w:shd w:val="clear" w:color="auto" w:fill="D9D9D9" w:themeFill="background1" w:themeFillShade="D9"/>
            <w:noWrap/>
            <w:vAlign w:val="bottom"/>
            <w:hideMark/>
          </w:tcPr>
          <w:p w:rsidR="006F6A6A" w:rsidRPr="006E5888" w:rsidRDefault="006F6A6A" w:rsidP="006F6A6A">
            <w:pPr>
              <w:jc w:val="center"/>
              <w:rPr>
                <w:rFonts w:eastAsia="Times New Roman" w:cs="Times New Roman"/>
                <w:b/>
                <w:bCs/>
                <w:color w:val="000000"/>
                <w:szCs w:val="24"/>
                <w:lang w:eastAsia="lv-LV"/>
              </w:rPr>
            </w:pPr>
            <w:r w:rsidRPr="006E5888">
              <w:rPr>
                <w:rFonts w:eastAsia="Times New Roman" w:cs="Times New Roman"/>
                <w:b/>
                <w:bCs/>
                <w:color w:val="000000"/>
                <w:szCs w:val="24"/>
                <w:lang w:eastAsia="lv-LV"/>
              </w:rPr>
              <w:t>2018</w:t>
            </w:r>
          </w:p>
        </w:tc>
      </w:tr>
      <w:tr w:rsidR="006F6A6A" w:rsidRPr="006E5888" w:rsidTr="006F6A6A">
        <w:trPr>
          <w:trHeight w:val="20"/>
          <w:jc w:val="center"/>
        </w:trPr>
        <w:tc>
          <w:tcPr>
            <w:tcW w:w="3964"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IeM</w:t>
            </w:r>
          </w:p>
        </w:tc>
        <w:tc>
          <w:tcPr>
            <w:tcW w:w="1780"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970 562</w:t>
            </w:r>
          </w:p>
        </w:tc>
        <w:tc>
          <w:tcPr>
            <w:tcW w:w="1906"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970 562</w:t>
            </w:r>
          </w:p>
        </w:tc>
      </w:tr>
      <w:tr w:rsidR="006F6A6A" w:rsidRPr="006E5888" w:rsidTr="006F6A6A">
        <w:trPr>
          <w:trHeight w:val="20"/>
          <w:jc w:val="center"/>
        </w:trPr>
        <w:tc>
          <w:tcPr>
            <w:tcW w:w="3964"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ZM</w:t>
            </w:r>
          </w:p>
        </w:tc>
        <w:tc>
          <w:tcPr>
            <w:tcW w:w="1780"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440 173</w:t>
            </w:r>
          </w:p>
        </w:tc>
        <w:tc>
          <w:tcPr>
            <w:tcW w:w="1906"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292 520</w:t>
            </w:r>
          </w:p>
        </w:tc>
      </w:tr>
      <w:tr w:rsidR="006F6A6A" w:rsidRPr="006E5888" w:rsidTr="006F6A6A">
        <w:trPr>
          <w:trHeight w:val="20"/>
          <w:jc w:val="center"/>
        </w:trPr>
        <w:tc>
          <w:tcPr>
            <w:tcW w:w="3964"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FM</w:t>
            </w:r>
          </w:p>
        </w:tc>
        <w:tc>
          <w:tcPr>
            <w:tcW w:w="1780"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217 174</w:t>
            </w:r>
          </w:p>
        </w:tc>
        <w:tc>
          <w:tcPr>
            <w:tcW w:w="1906"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224 397</w:t>
            </w:r>
          </w:p>
        </w:tc>
      </w:tr>
      <w:tr w:rsidR="006F6A6A" w:rsidRPr="006E5888" w:rsidTr="006F6A6A">
        <w:trPr>
          <w:trHeight w:val="20"/>
          <w:jc w:val="center"/>
        </w:trPr>
        <w:tc>
          <w:tcPr>
            <w:tcW w:w="3964"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VARAM</w:t>
            </w:r>
          </w:p>
        </w:tc>
        <w:tc>
          <w:tcPr>
            <w:tcW w:w="1780"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114 743</w:t>
            </w:r>
          </w:p>
        </w:tc>
        <w:tc>
          <w:tcPr>
            <w:tcW w:w="1906"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114 511</w:t>
            </w:r>
          </w:p>
        </w:tc>
      </w:tr>
      <w:tr w:rsidR="006F6A6A" w:rsidRPr="006E5888" w:rsidTr="006F6A6A">
        <w:trPr>
          <w:trHeight w:val="20"/>
          <w:jc w:val="center"/>
        </w:trPr>
        <w:tc>
          <w:tcPr>
            <w:tcW w:w="3964"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EM</w:t>
            </w:r>
          </w:p>
        </w:tc>
        <w:tc>
          <w:tcPr>
            <w:tcW w:w="1780"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72 878</w:t>
            </w:r>
          </w:p>
        </w:tc>
        <w:tc>
          <w:tcPr>
            <w:tcW w:w="1906"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72 161</w:t>
            </w:r>
          </w:p>
        </w:tc>
      </w:tr>
      <w:tr w:rsidR="006F6A6A" w:rsidRPr="006E5888" w:rsidTr="006F6A6A">
        <w:trPr>
          <w:trHeight w:val="20"/>
          <w:jc w:val="center"/>
        </w:trPr>
        <w:tc>
          <w:tcPr>
            <w:tcW w:w="3964"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TM</w:t>
            </w:r>
          </w:p>
        </w:tc>
        <w:tc>
          <w:tcPr>
            <w:tcW w:w="1780"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70 126</w:t>
            </w:r>
          </w:p>
        </w:tc>
        <w:tc>
          <w:tcPr>
            <w:tcW w:w="1906"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71 359</w:t>
            </w:r>
          </w:p>
        </w:tc>
      </w:tr>
      <w:tr w:rsidR="006F6A6A" w:rsidRPr="006E5888" w:rsidTr="006F6A6A">
        <w:trPr>
          <w:trHeight w:val="20"/>
          <w:jc w:val="center"/>
        </w:trPr>
        <w:tc>
          <w:tcPr>
            <w:tcW w:w="3964"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KM</w:t>
            </w:r>
          </w:p>
        </w:tc>
        <w:tc>
          <w:tcPr>
            <w:tcW w:w="1780"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53 760</w:t>
            </w:r>
          </w:p>
        </w:tc>
        <w:tc>
          <w:tcPr>
            <w:tcW w:w="1906"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53 760</w:t>
            </w:r>
          </w:p>
        </w:tc>
      </w:tr>
      <w:tr w:rsidR="006F6A6A" w:rsidRPr="006E5888" w:rsidTr="006F6A6A">
        <w:trPr>
          <w:trHeight w:val="20"/>
          <w:jc w:val="center"/>
        </w:trPr>
        <w:tc>
          <w:tcPr>
            <w:tcW w:w="3964"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ĀM</w:t>
            </w:r>
          </w:p>
        </w:tc>
        <w:tc>
          <w:tcPr>
            <w:tcW w:w="1780"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36 635</w:t>
            </w:r>
          </w:p>
        </w:tc>
        <w:tc>
          <w:tcPr>
            <w:tcW w:w="1906"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36 635</w:t>
            </w:r>
          </w:p>
        </w:tc>
      </w:tr>
      <w:tr w:rsidR="006F6A6A" w:rsidRPr="006E5888" w:rsidTr="006F6A6A">
        <w:trPr>
          <w:trHeight w:val="20"/>
          <w:jc w:val="center"/>
        </w:trPr>
        <w:tc>
          <w:tcPr>
            <w:tcW w:w="3964"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IZM</w:t>
            </w:r>
          </w:p>
        </w:tc>
        <w:tc>
          <w:tcPr>
            <w:tcW w:w="1780"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19 503</w:t>
            </w:r>
          </w:p>
        </w:tc>
        <w:tc>
          <w:tcPr>
            <w:tcW w:w="1906"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19 503</w:t>
            </w:r>
          </w:p>
        </w:tc>
      </w:tr>
      <w:tr w:rsidR="006F6A6A" w:rsidRPr="006E5888" w:rsidTr="006F6A6A">
        <w:trPr>
          <w:trHeight w:val="20"/>
          <w:jc w:val="center"/>
        </w:trPr>
        <w:tc>
          <w:tcPr>
            <w:tcW w:w="3964"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VM</w:t>
            </w:r>
          </w:p>
        </w:tc>
        <w:tc>
          <w:tcPr>
            <w:tcW w:w="1780"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17 879</w:t>
            </w:r>
          </w:p>
        </w:tc>
        <w:tc>
          <w:tcPr>
            <w:tcW w:w="1906"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17 879</w:t>
            </w:r>
          </w:p>
        </w:tc>
      </w:tr>
      <w:tr w:rsidR="006F6A6A" w:rsidRPr="006E5888" w:rsidTr="006F6A6A">
        <w:trPr>
          <w:trHeight w:val="20"/>
          <w:jc w:val="center"/>
        </w:trPr>
        <w:tc>
          <w:tcPr>
            <w:tcW w:w="3964"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LM</w:t>
            </w:r>
          </w:p>
        </w:tc>
        <w:tc>
          <w:tcPr>
            <w:tcW w:w="1780"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17 728</w:t>
            </w:r>
          </w:p>
        </w:tc>
        <w:tc>
          <w:tcPr>
            <w:tcW w:w="1906"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12 224</w:t>
            </w:r>
          </w:p>
        </w:tc>
      </w:tr>
      <w:tr w:rsidR="006F6A6A" w:rsidRPr="006E5888" w:rsidTr="006F6A6A">
        <w:trPr>
          <w:trHeight w:val="20"/>
          <w:jc w:val="center"/>
        </w:trPr>
        <w:tc>
          <w:tcPr>
            <w:tcW w:w="3964"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SM</w:t>
            </w:r>
          </w:p>
        </w:tc>
        <w:tc>
          <w:tcPr>
            <w:tcW w:w="1780"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3 816</w:t>
            </w:r>
          </w:p>
        </w:tc>
        <w:tc>
          <w:tcPr>
            <w:tcW w:w="1906"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3 816</w:t>
            </w:r>
          </w:p>
        </w:tc>
      </w:tr>
      <w:tr w:rsidR="006F6A6A" w:rsidRPr="006E5888" w:rsidTr="006F6A6A">
        <w:trPr>
          <w:trHeight w:val="20"/>
          <w:jc w:val="center"/>
        </w:trPr>
        <w:tc>
          <w:tcPr>
            <w:tcW w:w="3964" w:type="dxa"/>
            <w:shd w:val="clear" w:color="auto" w:fill="D9D9D9" w:themeFill="background1" w:themeFillShade="D9"/>
            <w:noWrap/>
            <w:vAlign w:val="bottom"/>
            <w:hideMark/>
          </w:tcPr>
          <w:p w:rsidR="006F6A6A" w:rsidRPr="006E5888" w:rsidRDefault="006F6A6A" w:rsidP="006F6A6A">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KOPĀ:</w:t>
            </w:r>
          </w:p>
        </w:tc>
        <w:tc>
          <w:tcPr>
            <w:tcW w:w="1780" w:type="dxa"/>
            <w:shd w:val="clear" w:color="auto" w:fill="D9D9D9" w:themeFill="background1" w:themeFillShade="D9"/>
            <w:noWrap/>
            <w:vAlign w:val="bottom"/>
            <w:hideMark/>
          </w:tcPr>
          <w:p w:rsidR="006F6A6A" w:rsidRPr="006E5888" w:rsidRDefault="006F6A6A" w:rsidP="006F6A6A">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2 034 977</w:t>
            </w:r>
          </w:p>
        </w:tc>
        <w:tc>
          <w:tcPr>
            <w:tcW w:w="1906" w:type="dxa"/>
            <w:shd w:val="clear" w:color="auto" w:fill="D9D9D9" w:themeFill="background1" w:themeFillShade="D9"/>
            <w:noWrap/>
            <w:vAlign w:val="bottom"/>
            <w:hideMark/>
          </w:tcPr>
          <w:p w:rsidR="006F6A6A" w:rsidRPr="006E5888" w:rsidRDefault="006F6A6A" w:rsidP="006F6A6A">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1 889 327</w:t>
            </w:r>
          </w:p>
        </w:tc>
      </w:tr>
    </w:tbl>
    <w:p w:rsidR="005831D7" w:rsidRPr="006E5888" w:rsidRDefault="00172B50" w:rsidP="006F6A6A">
      <w:pPr>
        <w:tabs>
          <w:tab w:val="left" w:pos="1010"/>
        </w:tabs>
        <w:spacing w:before="120" w:after="120"/>
        <w:ind w:firstLine="709"/>
        <w:jc w:val="both"/>
        <w:rPr>
          <w:szCs w:val="24"/>
        </w:rPr>
      </w:pPr>
      <w:r w:rsidRPr="006E5888">
        <w:rPr>
          <w:szCs w:val="24"/>
        </w:rPr>
        <w:t>Tabulā Nr.</w:t>
      </w:r>
      <w:r w:rsidR="004D06CD" w:rsidRPr="006E5888">
        <w:rPr>
          <w:szCs w:val="24"/>
        </w:rPr>
        <w:t>1</w:t>
      </w:r>
      <w:r w:rsidR="00CE0F87" w:rsidRPr="006E5888">
        <w:rPr>
          <w:szCs w:val="24"/>
        </w:rPr>
        <w:t>4</w:t>
      </w:r>
      <w:r w:rsidRPr="006E5888">
        <w:rPr>
          <w:szCs w:val="24"/>
        </w:rPr>
        <w:t xml:space="preserve"> atspoguļota </w:t>
      </w:r>
      <w:r w:rsidR="002306B2" w:rsidRPr="006E5888">
        <w:rPr>
          <w:szCs w:val="24"/>
        </w:rPr>
        <w:t xml:space="preserve">katras ministrijas </w:t>
      </w:r>
      <w:r w:rsidRPr="006E5888">
        <w:rPr>
          <w:szCs w:val="24"/>
        </w:rPr>
        <w:t xml:space="preserve">2017. un 2018.gada plāna un vidējās 2014./2015.gada izpildes starpība, kas kopumā 2017.gadā veido ietaupījumu </w:t>
      </w:r>
      <w:r w:rsidR="00643088" w:rsidRPr="006E5888">
        <w:rPr>
          <w:b/>
          <w:szCs w:val="24"/>
        </w:rPr>
        <w:t>2</w:t>
      </w:r>
      <w:r w:rsidRPr="006E5888">
        <w:rPr>
          <w:b/>
          <w:szCs w:val="24"/>
        </w:rPr>
        <w:t>,</w:t>
      </w:r>
      <w:r w:rsidR="00643088" w:rsidRPr="006E5888">
        <w:rPr>
          <w:b/>
          <w:szCs w:val="24"/>
        </w:rPr>
        <w:t>0</w:t>
      </w:r>
      <w:r w:rsidRPr="006E5888">
        <w:rPr>
          <w:b/>
          <w:szCs w:val="24"/>
        </w:rPr>
        <w:t xml:space="preserve"> milj. </w:t>
      </w:r>
      <w:proofErr w:type="spellStart"/>
      <w:r w:rsidRPr="006E5888">
        <w:rPr>
          <w:b/>
          <w:i/>
          <w:szCs w:val="24"/>
        </w:rPr>
        <w:t>euro</w:t>
      </w:r>
      <w:proofErr w:type="spellEnd"/>
      <w:r w:rsidR="00643088" w:rsidRPr="006E5888">
        <w:rPr>
          <w:szCs w:val="24"/>
        </w:rPr>
        <w:t xml:space="preserve"> un 2018.gadā </w:t>
      </w:r>
      <w:r w:rsidR="00643088" w:rsidRPr="006E5888">
        <w:rPr>
          <w:b/>
          <w:szCs w:val="24"/>
        </w:rPr>
        <w:t>1,9</w:t>
      </w:r>
      <w:r w:rsidRPr="006E5888">
        <w:rPr>
          <w:b/>
          <w:szCs w:val="24"/>
        </w:rPr>
        <w:t xml:space="preserve"> milj. </w:t>
      </w:r>
      <w:proofErr w:type="spellStart"/>
      <w:r w:rsidRPr="006E5888">
        <w:rPr>
          <w:b/>
          <w:i/>
          <w:szCs w:val="24"/>
        </w:rPr>
        <w:t>euro</w:t>
      </w:r>
      <w:proofErr w:type="spellEnd"/>
      <w:r w:rsidRPr="006E5888">
        <w:rPr>
          <w:szCs w:val="24"/>
        </w:rPr>
        <w:t>.</w:t>
      </w:r>
      <w:r w:rsidR="00CB1529" w:rsidRPr="006E5888">
        <w:rPr>
          <w:szCs w:val="24"/>
        </w:rPr>
        <w:t xml:space="preserve"> Detalizēts kopsavilkums par degvielas izdevumu horizontālo analīzi sadalījumā pa ministrijām un, t.sk. pa ministriju budžeta programmām/apakšprogrammām pieejams informatīvā ziņojuma </w:t>
      </w:r>
      <w:r w:rsidR="00CE709A" w:rsidRPr="006E5888">
        <w:rPr>
          <w:szCs w:val="24"/>
        </w:rPr>
        <w:t>pielikumā Nr.</w:t>
      </w:r>
      <w:r w:rsidR="00DE4F07" w:rsidRPr="006E5888">
        <w:rPr>
          <w:szCs w:val="24"/>
        </w:rPr>
        <w:t>6</w:t>
      </w:r>
      <w:r w:rsidR="00CE709A" w:rsidRPr="006E5888">
        <w:rPr>
          <w:szCs w:val="24"/>
        </w:rPr>
        <w:t>.</w:t>
      </w:r>
    </w:p>
    <w:p w:rsidR="00A46F19" w:rsidRPr="006E5888" w:rsidRDefault="002306B2" w:rsidP="006F6A6A">
      <w:pPr>
        <w:tabs>
          <w:tab w:val="left" w:pos="851"/>
          <w:tab w:val="left" w:pos="1010"/>
          <w:tab w:val="left" w:pos="8647"/>
          <w:tab w:val="left" w:pos="8789"/>
        </w:tabs>
        <w:spacing w:before="120"/>
        <w:jc w:val="center"/>
        <w:rPr>
          <w:szCs w:val="24"/>
        </w:rPr>
      </w:pPr>
      <w:r w:rsidRPr="006E5888">
        <w:rPr>
          <w:noProof/>
          <w:szCs w:val="24"/>
          <w:lang w:eastAsia="lv-LV"/>
        </w:rPr>
        <w:drawing>
          <wp:inline distT="0" distB="0" distL="0" distR="0" wp14:anchorId="47AE2109" wp14:editId="7E3626AA">
            <wp:extent cx="5062119" cy="2954655"/>
            <wp:effectExtent l="0" t="0" r="571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53516" cy="3008001"/>
                    </a:xfrm>
                    <a:prstGeom prst="rect">
                      <a:avLst/>
                    </a:prstGeom>
                    <a:noFill/>
                  </pic:spPr>
                </pic:pic>
              </a:graphicData>
            </a:graphic>
          </wp:inline>
        </w:drawing>
      </w:r>
    </w:p>
    <w:p w:rsidR="005218CF" w:rsidRPr="006E5888" w:rsidRDefault="00CE0F87" w:rsidP="005831D7">
      <w:pPr>
        <w:tabs>
          <w:tab w:val="left" w:pos="1010"/>
        </w:tabs>
        <w:spacing w:before="120"/>
        <w:jc w:val="center"/>
        <w:rPr>
          <w:b/>
          <w:sz w:val="22"/>
        </w:rPr>
      </w:pPr>
      <w:r w:rsidRPr="006E5888">
        <w:rPr>
          <w:sz w:val="22"/>
        </w:rPr>
        <w:t>1</w:t>
      </w:r>
      <w:r w:rsidR="00653F38" w:rsidRPr="006E5888">
        <w:rPr>
          <w:sz w:val="22"/>
        </w:rPr>
        <w:t>2</w:t>
      </w:r>
      <w:r w:rsidR="004D08BC" w:rsidRPr="006E5888">
        <w:rPr>
          <w:sz w:val="22"/>
        </w:rPr>
        <w:t>.</w:t>
      </w:r>
      <w:r w:rsidR="004D08BC" w:rsidRPr="006E5888">
        <w:rPr>
          <w:i/>
          <w:sz w:val="22"/>
        </w:rPr>
        <w:t>att</w:t>
      </w:r>
      <w:r w:rsidR="004D08BC" w:rsidRPr="006E5888">
        <w:rPr>
          <w:sz w:val="22"/>
        </w:rPr>
        <w:t xml:space="preserve">. </w:t>
      </w:r>
      <w:r w:rsidR="00254C78" w:rsidRPr="006E5888">
        <w:rPr>
          <w:b/>
          <w:sz w:val="22"/>
        </w:rPr>
        <w:t>Siltumenerģijas izdevumu horizontāla analīze atbilstoši tirgus cenu izmaiņām</w:t>
      </w:r>
    </w:p>
    <w:p w:rsidR="005831D7" w:rsidRPr="006E5888" w:rsidRDefault="005831D7" w:rsidP="005831D7">
      <w:pPr>
        <w:tabs>
          <w:tab w:val="left" w:pos="1010"/>
        </w:tabs>
        <w:spacing w:before="120"/>
        <w:jc w:val="center"/>
        <w:rPr>
          <w:b/>
          <w:sz w:val="8"/>
          <w:szCs w:val="8"/>
        </w:rPr>
      </w:pPr>
    </w:p>
    <w:p w:rsidR="00643088" w:rsidRPr="006E5888" w:rsidRDefault="005218CF" w:rsidP="00643088">
      <w:pPr>
        <w:tabs>
          <w:tab w:val="left" w:pos="1010"/>
        </w:tabs>
        <w:ind w:firstLine="425"/>
        <w:jc w:val="both"/>
        <w:rPr>
          <w:szCs w:val="24"/>
        </w:rPr>
      </w:pPr>
      <w:r w:rsidRPr="006E5888">
        <w:rPr>
          <w:szCs w:val="24"/>
        </w:rPr>
        <w:t>Pēc līdzīga principa</w:t>
      </w:r>
      <w:r w:rsidR="009F0E5E" w:rsidRPr="006E5888">
        <w:rPr>
          <w:szCs w:val="24"/>
        </w:rPr>
        <w:t>,</w:t>
      </w:r>
      <w:r w:rsidRPr="006E5888">
        <w:rPr>
          <w:szCs w:val="24"/>
        </w:rPr>
        <w:t xml:space="preserve"> kā tika analizēti valsts budžeta izdevumi degvielai, tika analizēti arī valsts budžeta izdevumi par apkuri. Attēlā Nr.</w:t>
      </w:r>
      <w:r w:rsidR="00B83846" w:rsidRPr="006E5888">
        <w:rPr>
          <w:szCs w:val="24"/>
        </w:rPr>
        <w:t>1</w:t>
      </w:r>
      <w:r w:rsidR="00653F38" w:rsidRPr="006E5888">
        <w:rPr>
          <w:szCs w:val="24"/>
        </w:rPr>
        <w:t>2</w:t>
      </w:r>
      <w:r w:rsidRPr="006E5888">
        <w:rPr>
          <w:szCs w:val="24"/>
        </w:rPr>
        <w:t xml:space="preserve"> redzams, ka</w:t>
      </w:r>
      <w:r w:rsidR="009F0E5E" w:rsidRPr="006E5888">
        <w:rPr>
          <w:szCs w:val="24"/>
        </w:rPr>
        <w:t>,</w:t>
      </w:r>
      <w:r w:rsidRPr="006E5888">
        <w:rPr>
          <w:szCs w:val="24"/>
        </w:rPr>
        <w:t xml:space="preserve"> krītoties siltumenerģijas cenas indeksam</w:t>
      </w:r>
      <w:r w:rsidR="009F0E5E" w:rsidRPr="006E5888">
        <w:rPr>
          <w:szCs w:val="24"/>
        </w:rPr>
        <w:t>,</w:t>
      </w:r>
      <w:r w:rsidRPr="006E5888">
        <w:rPr>
          <w:szCs w:val="24"/>
        </w:rPr>
        <w:t xml:space="preserve"> valsts budžeta izdevumi par apkuri pieaug. </w:t>
      </w:r>
    </w:p>
    <w:p w:rsidR="001F29C4" w:rsidRPr="006E5888" w:rsidRDefault="005218CF" w:rsidP="00D60572">
      <w:pPr>
        <w:tabs>
          <w:tab w:val="left" w:pos="1010"/>
        </w:tabs>
        <w:ind w:firstLine="425"/>
        <w:jc w:val="both"/>
        <w:rPr>
          <w:szCs w:val="24"/>
        </w:rPr>
      </w:pPr>
      <w:r w:rsidRPr="006E5888">
        <w:rPr>
          <w:szCs w:val="24"/>
        </w:rPr>
        <w:t xml:space="preserve">Kā redzams attēlā siltumenerģijas cenas indekss 2015.gadā salīdzinot ar 2012.gadu ir krities par 14%. Turklāt vidējā izpilde valsts budžeta izdevumiem par apkuri 2014.gadā pret 2015.gadu ir </w:t>
      </w:r>
      <w:r w:rsidR="00773668" w:rsidRPr="006E5888">
        <w:rPr>
          <w:szCs w:val="24"/>
        </w:rPr>
        <w:t>ievērojami zemāki nekā plānotie valsts budžeta izdevumi par apkuri.</w:t>
      </w:r>
    </w:p>
    <w:p w:rsidR="00773668" w:rsidRPr="006E5888" w:rsidRDefault="00B66A5E" w:rsidP="00773668">
      <w:pPr>
        <w:tabs>
          <w:tab w:val="left" w:pos="1010"/>
        </w:tabs>
        <w:spacing w:before="120"/>
        <w:jc w:val="right"/>
        <w:rPr>
          <w:szCs w:val="24"/>
        </w:rPr>
      </w:pPr>
      <w:r w:rsidRPr="006E5888">
        <w:rPr>
          <w:szCs w:val="24"/>
        </w:rPr>
        <w:t>Tabula Nr.</w:t>
      </w:r>
      <w:r w:rsidR="00845823" w:rsidRPr="006E5888">
        <w:rPr>
          <w:szCs w:val="24"/>
        </w:rPr>
        <w:t>1</w:t>
      </w:r>
      <w:r w:rsidR="00824CAC" w:rsidRPr="006E5888">
        <w:rPr>
          <w:szCs w:val="24"/>
        </w:rPr>
        <w:t>5</w:t>
      </w:r>
    </w:p>
    <w:p w:rsidR="004E391B" w:rsidRPr="006E5888" w:rsidRDefault="00EA53A0" w:rsidP="004E391B">
      <w:pPr>
        <w:tabs>
          <w:tab w:val="left" w:pos="1010"/>
        </w:tabs>
        <w:spacing w:before="120" w:after="120"/>
        <w:jc w:val="center"/>
        <w:rPr>
          <w:i/>
          <w:szCs w:val="24"/>
        </w:rPr>
      </w:pPr>
      <w:r w:rsidRPr="006E5888">
        <w:rPr>
          <w:szCs w:val="24"/>
        </w:rPr>
        <w:t xml:space="preserve">Kopsavilkums par </w:t>
      </w:r>
      <w:r w:rsidR="004E391B" w:rsidRPr="006E5888">
        <w:rPr>
          <w:szCs w:val="24"/>
        </w:rPr>
        <w:t>apkures</w:t>
      </w:r>
      <w:r w:rsidRPr="006E5888">
        <w:rPr>
          <w:szCs w:val="24"/>
        </w:rPr>
        <w:t xml:space="preserve"> izdevumu horizontālo analīzi</w:t>
      </w:r>
      <w:r w:rsidR="004E391B" w:rsidRPr="006E5888">
        <w:rPr>
          <w:szCs w:val="24"/>
        </w:rPr>
        <w:t xml:space="preserve">, </w:t>
      </w:r>
      <w:proofErr w:type="spellStart"/>
      <w:r w:rsidR="004E391B" w:rsidRPr="006E5888">
        <w:rPr>
          <w:i/>
          <w:szCs w:val="24"/>
        </w:rPr>
        <w:t>euro</w:t>
      </w:r>
      <w:proofErr w:type="spellEnd"/>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701"/>
        <w:gridCol w:w="1701"/>
      </w:tblGrid>
      <w:tr w:rsidR="006F6A6A" w:rsidRPr="006E5888" w:rsidTr="009616C1">
        <w:trPr>
          <w:trHeight w:val="20"/>
          <w:jc w:val="center"/>
        </w:trPr>
        <w:tc>
          <w:tcPr>
            <w:tcW w:w="4248" w:type="dxa"/>
            <w:shd w:val="clear" w:color="auto" w:fill="D9D9D9" w:themeFill="background1" w:themeFillShade="D9"/>
            <w:noWrap/>
            <w:vAlign w:val="bottom"/>
            <w:hideMark/>
          </w:tcPr>
          <w:p w:rsidR="006F6A6A" w:rsidRPr="006E5888" w:rsidRDefault="006F6A6A" w:rsidP="006F6A6A">
            <w:pPr>
              <w:rPr>
                <w:rFonts w:eastAsia="Times New Roman" w:cs="Times New Roman"/>
                <w:b/>
                <w:bCs/>
                <w:color w:val="000000"/>
                <w:szCs w:val="24"/>
                <w:lang w:eastAsia="lv-LV"/>
              </w:rPr>
            </w:pPr>
          </w:p>
        </w:tc>
        <w:tc>
          <w:tcPr>
            <w:tcW w:w="1701" w:type="dxa"/>
            <w:shd w:val="clear" w:color="auto" w:fill="D9D9D9" w:themeFill="background1" w:themeFillShade="D9"/>
            <w:noWrap/>
            <w:vAlign w:val="bottom"/>
            <w:hideMark/>
          </w:tcPr>
          <w:p w:rsidR="006F6A6A" w:rsidRPr="006E5888" w:rsidRDefault="006F6A6A" w:rsidP="006F6A6A">
            <w:pPr>
              <w:jc w:val="center"/>
              <w:rPr>
                <w:rFonts w:eastAsia="Times New Roman" w:cs="Times New Roman"/>
                <w:b/>
                <w:bCs/>
                <w:color w:val="000000"/>
                <w:szCs w:val="24"/>
                <w:lang w:eastAsia="lv-LV"/>
              </w:rPr>
            </w:pPr>
            <w:r w:rsidRPr="006E5888">
              <w:rPr>
                <w:rFonts w:eastAsia="Times New Roman" w:cs="Times New Roman"/>
                <w:b/>
                <w:bCs/>
                <w:color w:val="000000"/>
                <w:szCs w:val="24"/>
                <w:lang w:eastAsia="lv-LV"/>
              </w:rPr>
              <w:t>2017</w:t>
            </w:r>
          </w:p>
        </w:tc>
        <w:tc>
          <w:tcPr>
            <w:tcW w:w="1701" w:type="dxa"/>
            <w:shd w:val="clear" w:color="auto" w:fill="D9D9D9" w:themeFill="background1" w:themeFillShade="D9"/>
            <w:noWrap/>
            <w:vAlign w:val="bottom"/>
            <w:hideMark/>
          </w:tcPr>
          <w:p w:rsidR="006F6A6A" w:rsidRPr="006E5888" w:rsidRDefault="006F6A6A" w:rsidP="006F6A6A">
            <w:pPr>
              <w:jc w:val="center"/>
              <w:rPr>
                <w:rFonts w:eastAsia="Times New Roman" w:cs="Times New Roman"/>
                <w:b/>
                <w:bCs/>
                <w:color w:val="000000"/>
                <w:szCs w:val="24"/>
                <w:lang w:eastAsia="lv-LV"/>
              </w:rPr>
            </w:pPr>
            <w:r w:rsidRPr="006E5888">
              <w:rPr>
                <w:rFonts w:eastAsia="Times New Roman" w:cs="Times New Roman"/>
                <w:b/>
                <w:bCs/>
                <w:color w:val="000000"/>
                <w:szCs w:val="24"/>
                <w:lang w:eastAsia="lv-LV"/>
              </w:rPr>
              <w:t>2018</w:t>
            </w:r>
          </w:p>
        </w:tc>
      </w:tr>
      <w:tr w:rsidR="006F6A6A" w:rsidRPr="006E5888" w:rsidTr="009616C1">
        <w:trPr>
          <w:trHeight w:val="20"/>
          <w:jc w:val="center"/>
        </w:trPr>
        <w:tc>
          <w:tcPr>
            <w:tcW w:w="4248"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TM</w:t>
            </w:r>
          </w:p>
        </w:tc>
        <w:tc>
          <w:tcPr>
            <w:tcW w:w="1701"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738 702</w:t>
            </w:r>
          </w:p>
        </w:tc>
        <w:tc>
          <w:tcPr>
            <w:tcW w:w="1701"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739 290</w:t>
            </w:r>
          </w:p>
        </w:tc>
      </w:tr>
      <w:tr w:rsidR="006F6A6A" w:rsidRPr="006E5888" w:rsidTr="009616C1">
        <w:trPr>
          <w:trHeight w:val="20"/>
          <w:jc w:val="center"/>
        </w:trPr>
        <w:tc>
          <w:tcPr>
            <w:tcW w:w="4248"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KM</w:t>
            </w:r>
          </w:p>
        </w:tc>
        <w:tc>
          <w:tcPr>
            <w:tcW w:w="1701"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554 027</w:t>
            </w:r>
          </w:p>
        </w:tc>
        <w:tc>
          <w:tcPr>
            <w:tcW w:w="1701"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554 027</w:t>
            </w:r>
          </w:p>
        </w:tc>
      </w:tr>
      <w:tr w:rsidR="006F6A6A" w:rsidRPr="006E5888" w:rsidTr="009616C1">
        <w:trPr>
          <w:trHeight w:val="20"/>
          <w:jc w:val="center"/>
        </w:trPr>
        <w:tc>
          <w:tcPr>
            <w:tcW w:w="4248"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IeM</w:t>
            </w:r>
          </w:p>
        </w:tc>
        <w:tc>
          <w:tcPr>
            <w:tcW w:w="1701"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546 514</w:t>
            </w:r>
          </w:p>
        </w:tc>
        <w:tc>
          <w:tcPr>
            <w:tcW w:w="1701"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546 514</w:t>
            </w:r>
          </w:p>
        </w:tc>
      </w:tr>
      <w:tr w:rsidR="006F6A6A" w:rsidRPr="006E5888" w:rsidTr="009616C1">
        <w:trPr>
          <w:trHeight w:val="20"/>
          <w:jc w:val="center"/>
        </w:trPr>
        <w:tc>
          <w:tcPr>
            <w:tcW w:w="4248"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FM</w:t>
            </w:r>
          </w:p>
        </w:tc>
        <w:tc>
          <w:tcPr>
            <w:tcW w:w="1701"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369 978</w:t>
            </w:r>
          </w:p>
        </w:tc>
        <w:tc>
          <w:tcPr>
            <w:tcW w:w="1701"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370 885</w:t>
            </w:r>
          </w:p>
        </w:tc>
      </w:tr>
      <w:tr w:rsidR="006F6A6A" w:rsidRPr="006E5888" w:rsidTr="009616C1">
        <w:trPr>
          <w:trHeight w:val="20"/>
          <w:jc w:val="center"/>
        </w:trPr>
        <w:tc>
          <w:tcPr>
            <w:tcW w:w="4248"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IZM</w:t>
            </w:r>
          </w:p>
        </w:tc>
        <w:tc>
          <w:tcPr>
            <w:tcW w:w="1701"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273 888</w:t>
            </w:r>
          </w:p>
        </w:tc>
        <w:tc>
          <w:tcPr>
            <w:tcW w:w="1701"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273 888</w:t>
            </w:r>
          </w:p>
        </w:tc>
      </w:tr>
      <w:tr w:rsidR="006F6A6A" w:rsidRPr="006E5888" w:rsidTr="009616C1">
        <w:trPr>
          <w:trHeight w:val="20"/>
          <w:jc w:val="center"/>
        </w:trPr>
        <w:tc>
          <w:tcPr>
            <w:tcW w:w="4248"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ZM</w:t>
            </w:r>
          </w:p>
        </w:tc>
        <w:tc>
          <w:tcPr>
            <w:tcW w:w="1701"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92 178</w:t>
            </w:r>
          </w:p>
        </w:tc>
        <w:tc>
          <w:tcPr>
            <w:tcW w:w="1701"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92 178</w:t>
            </w:r>
          </w:p>
        </w:tc>
      </w:tr>
      <w:tr w:rsidR="006F6A6A" w:rsidRPr="006E5888" w:rsidTr="009616C1">
        <w:trPr>
          <w:trHeight w:val="20"/>
          <w:jc w:val="center"/>
        </w:trPr>
        <w:tc>
          <w:tcPr>
            <w:tcW w:w="4248"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VARAM</w:t>
            </w:r>
          </w:p>
        </w:tc>
        <w:tc>
          <w:tcPr>
            <w:tcW w:w="1701"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78 486</w:t>
            </w:r>
          </w:p>
        </w:tc>
        <w:tc>
          <w:tcPr>
            <w:tcW w:w="1701"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78 486</w:t>
            </w:r>
          </w:p>
        </w:tc>
      </w:tr>
      <w:tr w:rsidR="006F6A6A" w:rsidRPr="006E5888" w:rsidTr="009616C1">
        <w:trPr>
          <w:trHeight w:val="20"/>
          <w:jc w:val="center"/>
        </w:trPr>
        <w:tc>
          <w:tcPr>
            <w:tcW w:w="4248"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VM</w:t>
            </w:r>
          </w:p>
        </w:tc>
        <w:tc>
          <w:tcPr>
            <w:tcW w:w="1701"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51 320</w:t>
            </w:r>
          </w:p>
        </w:tc>
        <w:tc>
          <w:tcPr>
            <w:tcW w:w="1701"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51 320</w:t>
            </w:r>
          </w:p>
        </w:tc>
      </w:tr>
      <w:tr w:rsidR="006F6A6A" w:rsidRPr="006E5888" w:rsidTr="009616C1">
        <w:trPr>
          <w:trHeight w:val="20"/>
          <w:jc w:val="center"/>
        </w:trPr>
        <w:tc>
          <w:tcPr>
            <w:tcW w:w="4248"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EM</w:t>
            </w:r>
          </w:p>
        </w:tc>
        <w:tc>
          <w:tcPr>
            <w:tcW w:w="1701"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47 414</w:t>
            </w:r>
          </w:p>
        </w:tc>
        <w:tc>
          <w:tcPr>
            <w:tcW w:w="1701"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47 414</w:t>
            </w:r>
          </w:p>
        </w:tc>
      </w:tr>
      <w:tr w:rsidR="006F6A6A" w:rsidRPr="006E5888" w:rsidTr="009616C1">
        <w:trPr>
          <w:trHeight w:val="20"/>
          <w:jc w:val="center"/>
        </w:trPr>
        <w:tc>
          <w:tcPr>
            <w:tcW w:w="4248"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SM</w:t>
            </w:r>
          </w:p>
        </w:tc>
        <w:tc>
          <w:tcPr>
            <w:tcW w:w="1701"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42 322</w:t>
            </w:r>
          </w:p>
        </w:tc>
        <w:tc>
          <w:tcPr>
            <w:tcW w:w="1701"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42 322</w:t>
            </w:r>
          </w:p>
        </w:tc>
      </w:tr>
      <w:tr w:rsidR="006F6A6A" w:rsidRPr="006E5888" w:rsidTr="009616C1">
        <w:trPr>
          <w:trHeight w:val="20"/>
          <w:jc w:val="center"/>
        </w:trPr>
        <w:tc>
          <w:tcPr>
            <w:tcW w:w="4248" w:type="dxa"/>
            <w:shd w:val="clear" w:color="auto" w:fill="auto"/>
            <w:noWrap/>
            <w:vAlign w:val="bottom"/>
            <w:hideMark/>
          </w:tcPr>
          <w:p w:rsidR="006F6A6A" w:rsidRPr="006E5888" w:rsidRDefault="006F6A6A" w:rsidP="006F6A6A">
            <w:pPr>
              <w:jc w:val="center"/>
              <w:rPr>
                <w:rFonts w:eastAsia="Times New Roman" w:cs="Times New Roman"/>
                <w:color w:val="000000"/>
                <w:szCs w:val="24"/>
                <w:lang w:eastAsia="lv-LV"/>
              </w:rPr>
            </w:pPr>
            <w:r w:rsidRPr="006E5888">
              <w:rPr>
                <w:rFonts w:eastAsia="Times New Roman" w:cs="Times New Roman"/>
                <w:color w:val="000000"/>
                <w:szCs w:val="24"/>
                <w:lang w:eastAsia="lv-LV"/>
              </w:rPr>
              <w:t>ĀM</w:t>
            </w:r>
          </w:p>
        </w:tc>
        <w:tc>
          <w:tcPr>
            <w:tcW w:w="1701"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41 735</w:t>
            </w:r>
          </w:p>
        </w:tc>
        <w:tc>
          <w:tcPr>
            <w:tcW w:w="1701" w:type="dxa"/>
            <w:shd w:val="clear" w:color="auto" w:fill="auto"/>
            <w:noWrap/>
            <w:vAlign w:val="bottom"/>
            <w:hideMark/>
          </w:tcPr>
          <w:p w:rsidR="006F6A6A" w:rsidRPr="006E5888" w:rsidRDefault="006F6A6A" w:rsidP="006F6A6A">
            <w:pPr>
              <w:jc w:val="right"/>
              <w:rPr>
                <w:rFonts w:eastAsia="Times New Roman" w:cs="Times New Roman"/>
                <w:color w:val="000000"/>
                <w:szCs w:val="24"/>
                <w:lang w:eastAsia="lv-LV"/>
              </w:rPr>
            </w:pPr>
            <w:r w:rsidRPr="006E5888">
              <w:rPr>
                <w:rFonts w:eastAsia="Times New Roman" w:cs="Times New Roman"/>
                <w:color w:val="000000"/>
                <w:szCs w:val="24"/>
                <w:lang w:eastAsia="lv-LV"/>
              </w:rPr>
              <w:t>41 735</w:t>
            </w:r>
          </w:p>
        </w:tc>
      </w:tr>
      <w:tr w:rsidR="006F6A6A" w:rsidRPr="006E5888" w:rsidTr="009616C1">
        <w:trPr>
          <w:trHeight w:val="20"/>
          <w:jc w:val="center"/>
        </w:trPr>
        <w:tc>
          <w:tcPr>
            <w:tcW w:w="4248" w:type="dxa"/>
            <w:shd w:val="clear" w:color="auto" w:fill="D9D9D9" w:themeFill="background1" w:themeFillShade="D9"/>
            <w:noWrap/>
            <w:vAlign w:val="bottom"/>
            <w:hideMark/>
          </w:tcPr>
          <w:p w:rsidR="006F6A6A" w:rsidRPr="006E5888" w:rsidRDefault="006F6A6A" w:rsidP="006F6A6A">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KOPĀ:</w:t>
            </w:r>
          </w:p>
        </w:tc>
        <w:tc>
          <w:tcPr>
            <w:tcW w:w="1701" w:type="dxa"/>
            <w:shd w:val="clear" w:color="auto" w:fill="D9D9D9" w:themeFill="background1" w:themeFillShade="D9"/>
            <w:noWrap/>
            <w:vAlign w:val="bottom"/>
            <w:hideMark/>
          </w:tcPr>
          <w:p w:rsidR="006F6A6A" w:rsidRPr="006E5888" w:rsidRDefault="006F6A6A" w:rsidP="006F6A6A">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2 836 564</w:t>
            </w:r>
          </w:p>
        </w:tc>
        <w:tc>
          <w:tcPr>
            <w:tcW w:w="1701" w:type="dxa"/>
            <w:shd w:val="clear" w:color="auto" w:fill="D9D9D9" w:themeFill="background1" w:themeFillShade="D9"/>
            <w:noWrap/>
            <w:vAlign w:val="bottom"/>
            <w:hideMark/>
          </w:tcPr>
          <w:p w:rsidR="006F6A6A" w:rsidRPr="006E5888" w:rsidRDefault="006F6A6A" w:rsidP="006F6A6A">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2 838 059</w:t>
            </w:r>
          </w:p>
        </w:tc>
      </w:tr>
    </w:tbl>
    <w:p w:rsidR="00786851" w:rsidRPr="006E5888" w:rsidRDefault="003B166B" w:rsidP="006F6A6A">
      <w:pPr>
        <w:tabs>
          <w:tab w:val="left" w:pos="1010"/>
        </w:tabs>
        <w:spacing w:before="120" w:after="120"/>
        <w:ind w:firstLine="709"/>
        <w:jc w:val="both"/>
        <w:rPr>
          <w:szCs w:val="24"/>
        </w:rPr>
      </w:pPr>
      <w:r w:rsidRPr="006E5888">
        <w:rPr>
          <w:szCs w:val="24"/>
        </w:rPr>
        <w:t>Tabulā Nr.</w:t>
      </w:r>
      <w:r w:rsidR="00845823" w:rsidRPr="006E5888">
        <w:rPr>
          <w:szCs w:val="24"/>
        </w:rPr>
        <w:t>1</w:t>
      </w:r>
      <w:r w:rsidR="00824CAC" w:rsidRPr="006E5888">
        <w:rPr>
          <w:szCs w:val="24"/>
        </w:rPr>
        <w:t>5</w:t>
      </w:r>
      <w:r w:rsidRPr="006E5888">
        <w:rPr>
          <w:szCs w:val="24"/>
        </w:rPr>
        <w:t xml:space="preserve"> atspoguļota katras ministrijas 2017. un 2018.gada plāna un vidējās 2014./2015.gada izpildes starpība, kas kopumā 2017. un 2018.gadā veido ietaupījumu </w:t>
      </w:r>
      <w:r w:rsidR="00B83846" w:rsidRPr="006E5888">
        <w:rPr>
          <w:b/>
          <w:szCs w:val="24"/>
        </w:rPr>
        <w:t>2,8</w:t>
      </w:r>
      <w:r w:rsidRPr="006E5888">
        <w:rPr>
          <w:b/>
          <w:szCs w:val="24"/>
        </w:rPr>
        <w:t xml:space="preserve"> milj. </w:t>
      </w:r>
      <w:proofErr w:type="spellStart"/>
      <w:r w:rsidRPr="006E5888">
        <w:rPr>
          <w:b/>
          <w:i/>
          <w:szCs w:val="24"/>
        </w:rPr>
        <w:t>euro</w:t>
      </w:r>
      <w:proofErr w:type="spellEnd"/>
      <w:r w:rsidR="006C1475" w:rsidRPr="006E5888">
        <w:rPr>
          <w:b/>
          <w:szCs w:val="24"/>
        </w:rPr>
        <w:t>.</w:t>
      </w:r>
      <w:r w:rsidR="00D60572" w:rsidRPr="006E5888">
        <w:rPr>
          <w:b/>
          <w:szCs w:val="24"/>
        </w:rPr>
        <w:t xml:space="preserve"> </w:t>
      </w:r>
      <w:r w:rsidR="00D60572" w:rsidRPr="006E5888">
        <w:rPr>
          <w:szCs w:val="24"/>
        </w:rPr>
        <w:t>Detalizēts kopsavilkums par apkures izdevumu horizontālo analīzi sadalījumā pa ministrijām un, t.sk. pa ministriju budžeta programmām/apakšprogrammām pieejams informatīvā ziņojuma</w:t>
      </w:r>
      <w:r w:rsidR="00CE709A" w:rsidRPr="006E5888">
        <w:rPr>
          <w:szCs w:val="24"/>
        </w:rPr>
        <w:t xml:space="preserve"> pielikumā Nr.</w:t>
      </w:r>
      <w:r w:rsidR="00DE4F07" w:rsidRPr="006E5888">
        <w:rPr>
          <w:szCs w:val="24"/>
        </w:rPr>
        <w:t>7</w:t>
      </w:r>
      <w:r w:rsidR="00CE709A" w:rsidRPr="006E5888">
        <w:rPr>
          <w:szCs w:val="24"/>
        </w:rPr>
        <w:t>.</w:t>
      </w:r>
    </w:p>
    <w:p w:rsidR="00786851" w:rsidRPr="006E5888" w:rsidRDefault="00786851" w:rsidP="00786851">
      <w:pPr>
        <w:tabs>
          <w:tab w:val="left" w:pos="1010"/>
        </w:tabs>
        <w:spacing w:before="120" w:after="120"/>
        <w:jc w:val="both"/>
        <w:rPr>
          <w:b/>
          <w:szCs w:val="24"/>
          <w:u w:val="single"/>
        </w:rPr>
      </w:pPr>
      <w:r w:rsidRPr="006E5888">
        <w:rPr>
          <w:b/>
          <w:szCs w:val="24"/>
          <w:u w:val="single"/>
        </w:rPr>
        <w:t>Valsts tēla veidošanas pasākumu un sabiedrisko attiecību īstenošanas izdevumi</w:t>
      </w:r>
    </w:p>
    <w:p w:rsidR="00786851" w:rsidRPr="006E5888" w:rsidRDefault="00786851" w:rsidP="001F29C4">
      <w:pPr>
        <w:shd w:val="clear" w:color="auto" w:fill="FFFFFF" w:themeFill="background1"/>
        <w:tabs>
          <w:tab w:val="left" w:pos="567"/>
        </w:tabs>
        <w:ind w:firstLine="567"/>
        <w:jc w:val="both"/>
        <w:rPr>
          <w:szCs w:val="24"/>
        </w:rPr>
      </w:pPr>
      <w:r w:rsidRPr="006E5888">
        <w:rPr>
          <w:szCs w:val="24"/>
        </w:rPr>
        <w:t>Ministriju izdevumu izvērtēšanas kontekstā atsevišķa uzmanība tika veltīta horizontālai izdevumu pozīcijai, kas vērsta uz delegāciju uzņemšanu, semināru un konferenču rīkošanu un līdzīgiem pasākumiem, kā arī sabiedrisko attiecību īstenošanu (turpmāk – pasākumu nodrošināšanas izdevumi). Tos mēdz dēvēt arī par “reprezentācijas izdevumiem”, taču gadījumā ar valsts budžeta iestādēm šis apzīmējums pilnībā neatspoguļo šo izdevumu patieso būtību – ne tikai pārstāvēt valsti/iestādi, bet arī iestādes funkciju ietvaros nodrošināt informējošus, izglītojošus un popularizējošus pasākumus. Minētie izdevumi ir daļa no iestādes kopējiem administratīvajiem izdevumiem, un tos veido šādas aktivitātes</w:t>
      </w:r>
      <w:r w:rsidRPr="006E5888">
        <w:rPr>
          <w:rStyle w:val="FootnoteReference"/>
          <w:szCs w:val="24"/>
        </w:rPr>
        <w:footnoteReference w:id="8"/>
      </w:r>
      <w:r w:rsidRPr="006E5888">
        <w:rPr>
          <w:szCs w:val="24"/>
        </w:rPr>
        <w:t>:</w:t>
      </w:r>
    </w:p>
    <w:p w:rsidR="00786851" w:rsidRPr="006E5888" w:rsidRDefault="00786851" w:rsidP="00B756BC">
      <w:pPr>
        <w:pStyle w:val="NormalWeb"/>
        <w:numPr>
          <w:ilvl w:val="0"/>
          <w:numId w:val="17"/>
        </w:numPr>
        <w:spacing w:before="0" w:beforeAutospacing="0" w:after="0" w:afterAutospacing="0"/>
        <w:jc w:val="both"/>
      </w:pPr>
      <w:r w:rsidRPr="006E5888">
        <w:t xml:space="preserve">iestādes </w:t>
      </w:r>
      <w:r w:rsidRPr="006E5888">
        <w:rPr>
          <w:rFonts w:eastAsia="Calibri"/>
          <w:kern w:val="24"/>
        </w:rPr>
        <w:t xml:space="preserve">administratīvie izdevumi par saņemtajiem pakalpojumiem citu </w:t>
      </w:r>
      <w:r w:rsidRPr="006E5888">
        <w:rPr>
          <w:rFonts w:eastAsia="Calibri"/>
          <w:bCs/>
          <w:kern w:val="24"/>
        </w:rPr>
        <w:t>institūciju pārstāvju, iekšzemes un ārvalstu delegāciju</w:t>
      </w:r>
      <w:r w:rsidRPr="006E5888">
        <w:rPr>
          <w:rFonts w:eastAsia="Calibri"/>
          <w:kern w:val="24"/>
        </w:rPr>
        <w:t xml:space="preserve"> un citu pasākumu (piemēram, </w:t>
      </w:r>
      <w:r w:rsidRPr="006E5888">
        <w:rPr>
          <w:rFonts w:eastAsia="Calibri"/>
          <w:bCs/>
          <w:kern w:val="24"/>
        </w:rPr>
        <w:t>apspriežu, semināru, kongresu</w:t>
      </w:r>
      <w:r w:rsidRPr="006E5888">
        <w:rPr>
          <w:rFonts w:eastAsia="Calibri"/>
          <w:kern w:val="24"/>
        </w:rPr>
        <w:t xml:space="preserve">) saimnieciskai apkalpošanai (telpu īre, transporta, tulkošanas, ēdināšanas pakalpojumi un citi pakalpojumi), kā arī izdevumi </w:t>
      </w:r>
      <w:r w:rsidRPr="006E5888">
        <w:rPr>
          <w:rFonts w:eastAsia="Calibri"/>
          <w:bCs/>
          <w:kern w:val="24"/>
        </w:rPr>
        <w:t>sabiedrisko attiecību īstenošanai;</w:t>
      </w:r>
    </w:p>
    <w:p w:rsidR="00786851" w:rsidRPr="006E5888" w:rsidRDefault="00786851" w:rsidP="00B756BC">
      <w:pPr>
        <w:pStyle w:val="ListParagraph"/>
        <w:numPr>
          <w:ilvl w:val="0"/>
          <w:numId w:val="17"/>
        </w:numPr>
        <w:shd w:val="clear" w:color="auto" w:fill="FFFFFF" w:themeFill="background1"/>
        <w:tabs>
          <w:tab w:val="left" w:pos="851"/>
        </w:tabs>
        <w:jc w:val="both"/>
        <w:rPr>
          <w:szCs w:val="24"/>
        </w:rPr>
      </w:pPr>
      <w:r w:rsidRPr="006E5888">
        <w:rPr>
          <w:rFonts w:eastAsia="Calibri"/>
          <w:kern w:val="24"/>
        </w:rPr>
        <w:t xml:space="preserve">iestādes administratīvie izdevumi par iegādātām </w:t>
      </w:r>
      <w:r w:rsidRPr="006E5888">
        <w:rPr>
          <w:rFonts w:eastAsia="Calibri"/>
          <w:bCs/>
          <w:kern w:val="24"/>
        </w:rPr>
        <w:t>pārtikas precēm iestādes vajadzībām</w:t>
      </w:r>
      <w:r w:rsidRPr="006E5888">
        <w:rPr>
          <w:rStyle w:val="FootnoteReference"/>
          <w:rFonts w:eastAsia="Calibri"/>
          <w:bCs/>
          <w:kern w:val="24"/>
        </w:rPr>
        <w:footnoteReference w:id="9"/>
      </w:r>
      <w:r w:rsidRPr="006E5888">
        <w:rPr>
          <w:rFonts w:eastAsia="Calibri"/>
          <w:bCs/>
          <w:kern w:val="24"/>
        </w:rPr>
        <w:t xml:space="preserve">, telpu noformēšanas materiāliem, apbalvojumiem, informatīviem materiāliem, dāvanām, </w:t>
      </w:r>
      <w:r w:rsidRPr="006E5888">
        <w:rPr>
          <w:rFonts w:eastAsia="Calibri"/>
          <w:bCs/>
          <w:kern w:val="24"/>
        </w:rPr>
        <w:lastRenderedPageBreak/>
        <w:t>suvenīriem</w:t>
      </w:r>
      <w:r w:rsidRPr="006E5888">
        <w:rPr>
          <w:rFonts w:eastAsia="Calibri"/>
          <w:kern w:val="24"/>
        </w:rPr>
        <w:t xml:space="preserve"> citu institūciju pārstāvjiem, iekšzemes un ārvalstu delegāciju un citu pasākumu (piemēram, apspriežu, semināru, kongresu) organizēšanai, u.c.</w:t>
      </w:r>
    </w:p>
    <w:p w:rsidR="00786851" w:rsidRPr="006E5888" w:rsidRDefault="00786851" w:rsidP="001F29C4">
      <w:pPr>
        <w:shd w:val="clear" w:color="auto" w:fill="FFFFFF" w:themeFill="background1"/>
        <w:tabs>
          <w:tab w:val="left" w:pos="567"/>
        </w:tabs>
        <w:ind w:firstLine="567"/>
        <w:jc w:val="both"/>
        <w:rPr>
          <w:szCs w:val="24"/>
          <w:lang w:eastAsia="lv-LV"/>
        </w:rPr>
      </w:pPr>
      <w:r w:rsidRPr="006E5888">
        <w:rPr>
          <w:szCs w:val="24"/>
          <w:lang w:eastAsia="lv-LV"/>
        </w:rPr>
        <w:t xml:space="preserve">Pasākumu nodrošināšanas izdevumi galvenokārt tiek veikti ar mērķi paaugstināt valsts prestižu sabiedrības (t.sk. ārvalstu), sadarbības partneru, klientu un pašu darbinieku vidū, kā arī veikt no iestādes funkcijām izrietošus izglītojošus un informējošus pasākumus konkrētā sabiedrības </w:t>
      </w:r>
      <w:proofErr w:type="spellStart"/>
      <w:r w:rsidRPr="006E5888">
        <w:rPr>
          <w:szCs w:val="24"/>
          <w:lang w:eastAsia="lv-LV"/>
        </w:rPr>
        <w:t>mērķgrupā</w:t>
      </w:r>
      <w:proofErr w:type="spellEnd"/>
      <w:r w:rsidRPr="006E5888">
        <w:rPr>
          <w:szCs w:val="24"/>
          <w:lang w:eastAsia="lv-LV"/>
        </w:rPr>
        <w:t xml:space="preserve">. Ir svarīgi atbilstošā līmenī nodrošināt dažādu ar valsts budžeta iestādes darbību saistītu semināru, konferenču, lietišķu tikšanos organizēšanu, lai, tiekoties ar ārvalstu, nevalstisko organizāciju un citiem sadarbības partneriem, prezentētu valsti/iestādi kā līdzvērtīgu un respektablu sadarbības partneri, kā arī atbildētu partneriem ar pieklājības žestu. Tāpat valsts pārvaldes iestādei jāveic darbības, kas nepieciešamas sabiedrības informēšanai un izglītošanai institūcijas kompetencē esošajos jautājumos, un jānodrošina virzība uz labākas prakses pārņemšanu un </w:t>
      </w:r>
      <w:proofErr w:type="spellStart"/>
      <w:r w:rsidRPr="006E5888">
        <w:rPr>
          <w:szCs w:val="24"/>
          <w:lang w:eastAsia="lv-LV"/>
        </w:rPr>
        <w:t>atvērtību</w:t>
      </w:r>
      <w:proofErr w:type="spellEnd"/>
      <w:r w:rsidRPr="006E5888">
        <w:rPr>
          <w:szCs w:val="24"/>
          <w:lang w:eastAsia="lv-LV"/>
        </w:rPr>
        <w:t xml:space="preserve"> sabiedrības priekšā. </w:t>
      </w:r>
    </w:p>
    <w:p w:rsidR="00786851" w:rsidRPr="006E5888" w:rsidRDefault="00786851" w:rsidP="0005574D">
      <w:pPr>
        <w:shd w:val="clear" w:color="auto" w:fill="FFFFFF" w:themeFill="background1"/>
        <w:spacing w:after="120"/>
        <w:ind w:firstLine="720"/>
        <w:jc w:val="both"/>
        <w:rPr>
          <w:szCs w:val="24"/>
          <w:lang w:eastAsia="lv-LV"/>
        </w:rPr>
      </w:pPr>
      <w:r w:rsidRPr="006E5888">
        <w:rPr>
          <w:szCs w:val="24"/>
          <w:lang w:eastAsia="lv-LV"/>
        </w:rPr>
        <w:t>FM izvērtēja izdevumu apmēru vis</w:t>
      </w:r>
      <w:r w:rsidR="00A74F21" w:rsidRPr="006E5888">
        <w:rPr>
          <w:szCs w:val="24"/>
          <w:lang w:eastAsia="lv-LV"/>
        </w:rPr>
        <w:t>ās</w:t>
      </w:r>
      <w:r w:rsidRPr="006E5888">
        <w:rPr>
          <w:szCs w:val="24"/>
          <w:lang w:eastAsia="lv-LV"/>
        </w:rPr>
        <w:t xml:space="preserve"> (13) ministrij</w:t>
      </w:r>
      <w:r w:rsidR="00A74F21" w:rsidRPr="006E5888">
        <w:rPr>
          <w:szCs w:val="24"/>
          <w:lang w:eastAsia="lv-LV"/>
        </w:rPr>
        <w:t>ās</w:t>
      </w:r>
      <w:r w:rsidRPr="006E5888">
        <w:rPr>
          <w:szCs w:val="24"/>
          <w:lang w:eastAsia="lv-LV"/>
        </w:rPr>
        <w:t xml:space="preserve"> šajās izdevumu pozīcijās par periodu no 2013.</w:t>
      </w:r>
      <w:r w:rsidR="001F29C4" w:rsidRPr="006E5888">
        <w:rPr>
          <w:szCs w:val="24"/>
          <w:lang w:eastAsia="lv-LV"/>
        </w:rPr>
        <w:t>gada līdz 2018.gadam, kur 2013.–</w:t>
      </w:r>
      <w:r w:rsidRPr="006E5888">
        <w:rPr>
          <w:szCs w:val="24"/>
          <w:lang w:eastAsia="lv-LV"/>
        </w:rPr>
        <w:t>2015.gadiem ir analiz</w:t>
      </w:r>
      <w:r w:rsidR="001F29C4" w:rsidRPr="006E5888">
        <w:rPr>
          <w:szCs w:val="24"/>
          <w:lang w:eastAsia="lv-LV"/>
        </w:rPr>
        <w:t>ēta faktiskā izpilde, bet 2016.–</w:t>
      </w:r>
      <w:r w:rsidRPr="006E5888">
        <w:rPr>
          <w:szCs w:val="24"/>
          <w:lang w:eastAsia="lv-LV"/>
        </w:rPr>
        <w:t xml:space="preserve">2018.gadiem plāns. Izdevumi tika vērtēti </w:t>
      </w:r>
      <w:r w:rsidRPr="006E5888">
        <w:rPr>
          <w:szCs w:val="24"/>
          <w:u w:val="single"/>
          <w:lang w:eastAsia="lv-LV"/>
        </w:rPr>
        <w:t>valsts pamatfunkciju daļā</w:t>
      </w:r>
      <w:r w:rsidRPr="006E5888">
        <w:rPr>
          <w:szCs w:val="24"/>
          <w:lang w:eastAsia="lv-LV"/>
        </w:rPr>
        <w:t xml:space="preserve">, izņemot izdevumus par Latvijas prezidentūru </w:t>
      </w:r>
      <w:r w:rsidR="001F29C4" w:rsidRPr="006E5888">
        <w:rPr>
          <w:szCs w:val="24"/>
          <w:lang w:eastAsia="lv-LV"/>
        </w:rPr>
        <w:t>ES</w:t>
      </w:r>
      <w:r w:rsidRPr="006E5888">
        <w:rPr>
          <w:szCs w:val="24"/>
          <w:lang w:eastAsia="lv-LV"/>
        </w:rPr>
        <w:t xml:space="preserve"> Padomē (kas ir vienreizējais pasākums). Izdevumu apmēra izmaiņas tika analizētas gan absolūtajā izteiksmē, gan arī procentuāli no izdevumiem precēm un pakalpojumiem. Detalizētāk tika analizētas to sešu ministriju budžeta </w:t>
      </w:r>
      <w:r w:rsidR="001F29C4" w:rsidRPr="006E5888">
        <w:rPr>
          <w:szCs w:val="24"/>
          <w:lang w:eastAsia="lv-LV"/>
        </w:rPr>
        <w:t>programmas</w:t>
      </w:r>
      <w:r w:rsidR="00ED05D5" w:rsidRPr="006E5888">
        <w:rPr>
          <w:szCs w:val="24"/>
          <w:lang w:eastAsia="lv-LV"/>
        </w:rPr>
        <w:t>/apakšprogrammas</w:t>
      </w:r>
      <w:r w:rsidR="001F29C4" w:rsidRPr="006E5888">
        <w:rPr>
          <w:szCs w:val="24"/>
          <w:lang w:eastAsia="lv-LV"/>
        </w:rPr>
        <w:t>, kurās 2016.–</w:t>
      </w:r>
      <w:r w:rsidRPr="006E5888">
        <w:rPr>
          <w:szCs w:val="24"/>
          <w:lang w:eastAsia="lv-LV"/>
        </w:rPr>
        <w:t>2018.gados plānojams attiecīgo izdevum</w:t>
      </w:r>
      <w:r w:rsidR="00ED05D5" w:rsidRPr="006E5888">
        <w:rPr>
          <w:szCs w:val="24"/>
          <w:lang w:eastAsia="lv-LV"/>
        </w:rPr>
        <w:t xml:space="preserve">u pieaugums, un attiecīgo </w:t>
      </w:r>
      <w:r w:rsidRPr="006E5888">
        <w:rPr>
          <w:szCs w:val="24"/>
          <w:lang w:eastAsia="lv-LV"/>
        </w:rPr>
        <w:t>programmu</w:t>
      </w:r>
      <w:r w:rsidR="00ED05D5" w:rsidRPr="006E5888">
        <w:rPr>
          <w:szCs w:val="24"/>
          <w:lang w:eastAsia="lv-LV"/>
        </w:rPr>
        <w:t>/apakšprogrammu</w:t>
      </w:r>
      <w:r w:rsidRPr="006E5888">
        <w:rPr>
          <w:szCs w:val="24"/>
          <w:lang w:eastAsia="lv-LV"/>
        </w:rPr>
        <w:t xml:space="preserve"> budžeta paskaidrojumos netika pietiekoši izvērsts skaidrojums pieaugumu iemesliem (</w:t>
      </w:r>
      <w:proofErr w:type="spellStart"/>
      <w:r w:rsidRPr="006E5888">
        <w:rPr>
          <w:szCs w:val="24"/>
          <w:lang w:eastAsia="lv-LV"/>
        </w:rPr>
        <w:t>AiM</w:t>
      </w:r>
      <w:proofErr w:type="spellEnd"/>
      <w:r w:rsidRPr="006E5888">
        <w:rPr>
          <w:szCs w:val="24"/>
          <w:lang w:eastAsia="lv-LV"/>
        </w:rPr>
        <w:t>, EM, IZM, KM, LM, VARAM). Sarunu gaitā attiecīgās ministrijas tika aicinātas sniegt skaidrojumu par izdevumu plānotā pieauguma iemesliem un to ietvaros finansējamām aktivitātēm.</w:t>
      </w:r>
      <w:r w:rsidR="00E60CA7" w:rsidRPr="006E5888">
        <w:rPr>
          <w:szCs w:val="24"/>
          <w:lang w:eastAsia="lv-LV"/>
        </w:rPr>
        <w:t xml:space="preserve"> </w:t>
      </w:r>
      <w:r w:rsidRPr="006E5888">
        <w:rPr>
          <w:szCs w:val="24"/>
          <w:lang w:eastAsia="lv-LV"/>
        </w:rPr>
        <w:t xml:space="preserve">                                                                            </w:t>
      </w:r>
    </w:p>
    <w:p w:rsidR="00786851" w:rsidRPr="006E5888" w:rsidRDefault="005F07D5" w:rsidP="00F907DA">
      <w:pPr>
        <w:pStyle w:val="ListParagraph"/>
        <w:shd w:val="clear" w:color="auto" w:fill="FFFFFF" w:themeFill="background1"/>
        <w:tabs>
          <w:tab w:val="left" w:pos="142"/>
          <w:tab w:val="left" w:pos="284"/>
          <w:tab w:val="left" w:pos="9072"/>
        </w:tabs>
        <w:spacing w:after="60"/>
        <w:ind w:left="0"/>
        <w:jc w:val="center"/>
        <w:rPr>
          <w:szCs w:val="24"/>
          <w:lang w:eastAsia="lv-LV"/>
        </w:rPr>
      </w:pPr>
      <w:r w:rsidRPr="006E5888">
        <w:rPr>
          <w:noProof/>
          <w:lang w:eastAsia="lv-LV"/>
        </w:rPr>
        <w:drawing>
          <wp:inline distT="0" distB="0" distL="0" distR="0" wp14:anchorId="7E764423" wp14:editId="1A20E0A3">
            <wp:extent cx="5266944" cy="2691994"/>
            <wp:effectExtent l="0" t="0" r="10160" b="133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86851" w:rsidRPr="006E5888" w:rsidRDefault="00786851" w:rsidP="00786851">
      <w:pPr>
        <w:shd w:val="clear" w:color="auto" w:fill="FFFFFF" w:themeFill="background1"/>
        <w:spacing w:before="60"/>
        <w:jc w:val="center"/>
        <w:rPr>
          <w:b/>
          <w:sz w:val="22"/>
          <w:lang w:eastAsia="lv-LV"/>
        </w:rPr>
      </w:pPr>
      <w:r w:rsidRPr="006E5888">
        <w:rPr>
          <w:sz w:val="22"/>
          <w:lang w:eastAsia="lv-LV"/>
        </w:rPr>
        <w:t>1</w:t>
      </w:r>
      <w:r w:rsidR="0034713C" w:rsidRPr="006E5888">
        <w:rPr>
          <w:sz w:val="22"/>
          <w:lang w:eastAsia="lv-LV"/>
        </w:rPr>
        <w:t>3</w:t>
      </w:r>
      <w:r w:rsidRPr="006E5888">
        <w:rPr>
          <w:i/>
          <w:sz w:val="22"/>
          <w:lang w:eastAsia="lv-LV"/>
        </w:rPr>
        <w:t>.att.</w:t>
      </w:r>
      <w:r w:rsidR="00824CAC" w:rsidRPr="006E5888">
        <w:rPr>
          <w:i/>
          <w:sz w:val="22"/>
          <w:lang w:eastAsia="lv-LV"/>
        </w:rPr>
        <w:t xml:space="preserve"> </w:t>
      </w:r>
      <w:r w:rsidRPr="006E5888">
        <w:rPr>
          <w:b/>
          <w:sz w:val="22"/>
          <w:lang w:eastAsia="lv-LV"/>
        </w:rPr>
        <w:t xml:space="preserve">Pasākumu nodrošināšanas izdevumi </w:t>
      </w:r>
      <w:r w:rsidR="0053206D" w:rsidRPr="006E5888">
        <w:rPr>
          <w:b/>
          <w:sz w:val="22"/>
          <w:lang w:eastAsia="lv-LV"/>
        </w:rPr>
        <w:t>ministrijas</w:t>
      </w:r>
      <w:r w:rsidRPr="006E5888">
        <w:rPr>
          <w:b/>
          <w:sz w:val="22"/>
          <w:lang w:eastAsia="lv-LV"/>
        </w:rPr>
        <w:t xml:space="preserve"> valsts pamatf</w:t>
      </w:r>
      <w:r w:rsidR="00F354BF" w:rsidRPr="006E5888">
        <w:rPr>
          <w:b/>
          <w:sz w:val="22"/>
          <w:lang w:eastAsia="lv-LV"/>
        </w:rPr>
        <w:t xml:space="preserve">unkciju īstenošanas programmās, </w:t>
      </w:r>
      <w:proofErr w:type="spellStart"/>
      <w:r w:rsidRPr="006E5888">
        <w:rPr>
          <w:i/>
          <w:sz w:val="22"/>
          <w:lang w:eastAsia="lv-LV"/>
        </w:rPr>
        <w:t>euro</w:t>
      </w:r>
      <w:proofErr w:type="spellEnd"/>
    </w:p>
    <w:p w:rsidR="00786851" w:rsidRPr="006E5888" w:rsidRDefault="00786851" w:rsidP="00786851">
      <w:pPr>
        <w:shd w:val="clear" w:color="auto" w:fill="FFFFFF" w:themeFill="background1"/>
        <w:ind w:firstLine="720"/>
        <w:jc w:val="both"/>
        <w:rPr>
          <w:sz w:val="8"/>
          <w:szCs w:val="8"/>
          <w:lang w:eastAsia="lv-LV"/>
        </w:rPr>
      </w:pPr>
    </w:p>
    <w:p w:rsidR="00786851" w:rsidRPr="006E5888" w:rsidRDefault="00786851" w:rsidP="0053206D">
      <w:pPr>
        <w:shd w:val="clear" w:color="auto" w:fill="FFFFFF" w:themeFill="background1"/>
        <w:spacing w:before="120"/>
        <w:ind w:firstLine="720"/>
        <w:jc w:val="both"/>
        <w:rPr>
          <w:szCs w:val="24"/>
          <w:lang w:eastAsia="lv-LV"/>
        </w:rPr>
      </w:pPr>
      <w:r w:rsidRPr="006E5888">
        <w:rPr>
          <w:szCs w:val="24"/>
          <w:lang w:eastAsia="lv-LV"/>
        </w:rPr>
        <w:t>Kopā pasākumu nodrošināšanas izdevumi vis</w:t>
      </w:r>
      <w:r w:rsidR="00A74F21" w:rsidRPr="006E5888">
        <w:rPr>
          <w:szCs w:val="24"/>
          <w:lang w:eastAsia="lv-LV"/>
        </w:rPr>
        <w:t>ās</w:t>
      </w:r>
      <w:r w:rsidRPr="006E5888">
        <w:rPr>
          <w:szCs w:val="24"/>
          <w:lang w:eastAsia="lv-LV"/>
        </w:rPr>
        <w:t xml:space="preserve"> 13 ministrij</w:t>
      </w:r>
      <w:r w:rsidR="00A74F21" w:rsidRPr="006E5888">
        <w:rPr>
          <w:szCs w:val="24"/>
          <w:lang w:eastAsia="lv-LV"/>
        </w:rPr>
        <w:t xml:space="preserve">ās </w:t>
      </w:r>
      <w:r w:rsidRPr="006E5888">
        <w:rPr>
          <w:szCs w:val="24"/>
          <w:lang w:eastAsia="lv-LV"/>
        </w:rPr>
        <w:t xml:space="preserve">2015.gadā veidoja 8 575 025 </w:t>
      </w:r>
      <w:proofErr w:type="spellStart"/>
      <w:r w:rsidRPr="006E5888">
        <w:rPr>
          <w:i/>
          <w:szCs w:val="24"/>
          <w:lang w:eastAsia="lv-LV"/>
        </w:rPr>
        <w:t>euro</w:t>
      </w:r>
      <w:proofErr w:type="spellEnd"/>
      <w:r w:rsidRPr="006E5888">
        <w:rPr>
          <w:szCs w:val="24"/>
          <w:lang w:eastAsia="lv-LV"/>
        </w:rPr>
        <w:t xml:space="preserve"> un 2016.gadam ir plānoti 6 734 599 </w:t>
      </w:r>
      <w:proofErr w:type="spellStart"/>
      <w:r w:rsidRPr="006E5888">
        <w:rPr>
          <w:i/>
          <w:szCs w:val="24"/>
          <w:lang w:eastAsia="lv-LV"/>
        </w:rPr>
        <w:t>euro</w:t>
      </w:r>
      <w:proofErr w:type="spellEnd"/>
      <w:r w:rsidRPr="006E5888">
        <w:rPr>
          <w:szCs w:val="24"/>
          <w:lang w:eastAsia="lv-LV"/>
        </w:rPr>
        <w:t xml:space="preserve"> apmērā. </w:t>
      </w:r>
    </w:p>
    <w:p w:rsidR="00786851" w:rsidRPr="006E5888" w:rsidRDefault="00786851" w:rsidP="00786851">
      <w:pPr>
        <w:shd w:val="clear" w:color="auto" w:fill="FFFFFF" w:themeFill="background1"/>
        <w:ind w:firstLine="720"/>
        <w:jc w:val="both"/>
        <w:rPr>
          <w:szCs w:val="24"/>
          <w:lang w:eastAsia="lv-LV"/>
        </w:rPr>
      </w:pPr>
      <w:r w:rsidRPr="006E5888">
        <w:rPr>
          <w:szCs w:val="24"/>
          <w:lang w:eastAsia="lv-LV"/>
        </w:rPr>
        <w:t>Salīdzinot izdevumus starp ministrij</w:t>
      </w:r>
      <w:r w:rsidR="00A74F21" w:rsidRPr="006E5888">
        <w:rPr>
          <w:szCs w:val="24"/>
          <w:lang w:eastAsia="lv-LV"/>
        </w:rPr>
        <w:t xml:space="preserve">ām </w:t>
      </w:r>
      <w:r w:rsidRPr="006E5888">
        <w:rPr>
          <w:szCs w:val="24"/>
          <w:lang w:eastAsia="lv-LV"/>
        </w:rPr>
        <w:t>(</w:t>
      </w:r>
      <w:r w:rsidR="00824CAC" w:rsidRPr="006E5888">
        <w:rPr>
          <w:szCs w:val="24"/>
          <w:lang w:eastAsia="lv-LV"/>
        </w:rPr>
        <w:t xml:space="preserve">skat. </w:t>
      </w:r>
      <w:r w:rsidRPr="006E5888">
        <w:rPr>
          <w:szCs w:val="24"/>
          <w:lang w:eastAsia="lv-LV"/>
        </w:rPr>
        <w:t>1</w:t>
      </w:r>
      <w:r w:rsidR="0053206D" w:rsidRPr="006E5888">
        <w:rPr>
          <w:szCs w:val="24"/>
          <w:lang w:eastAsia="lv-LV"/>
        </w:rPr>
        <w:t>3</w:t>
      </w:r>
      <w:r w:rsidR="00824CAC" w:rsidRPr="006E5888">
        <w:rPr>
          <w:szCs w:val="24"/>
          <w:lang w:eastAsia="lv-LV"/>
        </w:rPr>
        <w:t>.attēlu</w:t>
      </w:r>
      <w:r w:rsidRPr="006E5888">
        <w:rPr>
          <w:szCs w:val="24"/>
          <w:lang w:eastAsia="lv-LV"/>
        </w:rPr>
        <w:t xml:space="preserve">), var novērot, ka izdevumu apmērs tieši korelē ar ministriju (un to padotības iestāžu) funkcijām un darbību specifiku – </w:t>
      </w:r>
      <w:r w:rsidR="001F29C4" w:rsidRPr="006E5888">
        <w:rPr>
          <w:szCs w:val="24"/>
          <w:lang w:eastAsia="lv-LV"/>
        </w:rPr>
        <w:t>IZM</w:t>
      </w:r>
      <w:r w:rsidRPr="006E5888">
        <w:rPr>
          <w:szCs w:val="24"/>
          <w:lang w:eastAsia="lv-LV"/>
        </w:rPr>
        <w:t xml:space="preserve"> un </w:t>
      </w:r>
      <w:r w:rsidR="001F29C4" w:rsidRPr="006E5888">
        <w:rPr>
          <w:szCs w:val="24"/>
          <w:lang w:eastAsia="lv-LV"/>
        </w:rPr>
        <w:t>KM</w:t>
      </w:r>
      <w:r w:rsidRPr="006E5888">
        <w:rPr>
          <w:szCs w:val="24"/>
          <w:lang w:eastAsia="lv-LV"/>
        </w:rPr>
        <w:t xml:space="preserve"> ir dominējošās komunikācijā ar sabiedrību un kultūras/izglītības pasākumu organizēšanu. </w:t>
      </w:r>
      <w:r w:rsidR="001F29C4" w:rsidRPr="006E5888">
        <w:rPr>
          <w:szCs w:val="24"/>
          <w:lang w:eastAsia="lv-LV"/>
        </w:rPr>
        <w:t>IZM</w:t>
      </w:r>
      <w:r w:rsidRPr="006E5888">
        <w:rPr>
          <w:szCs w:val="24"/>
          <w:lang w:eastAsia="lv-LV"/>
        </w:rPr>
        <w:t xml:space="preserve"> savu funkciju ietvaros nodrošina regulāras apmācības pedagogu kompetences paaugstināšanai, savukārt </w:t>
      </w:r>
      <w:r w:rsidR="001F29C4" w:rsidRPr="006E5888">
        <w:rPr>
          <w:szCs w:val="24"/>
          <w:lang w:eastAsia="lv-LV"/>
        </w:rPr>
        <w:t>KM</w:t>
      </w:r>
      <w:r w:rsidRPr="006E5888">
        <w:rPr>
          <w:szCs w:val="24"/>
          <w:lang w:eastAsia="lv-LV"/>
        </w:rPr>
        <w:t xml:space="preserve"> veic kultūrvides popularizēšanu Latvijā un ārvalstīs, kā arī sadarbojas ar nevalstisko sektoru. </w:t>
      </w:r>
      <w:r w:rsidR="001F29C4" w:rsidRPr="006E5888">
        <w:rPr>
          <w:szCs w:val="24"/>
          <w:lang w:eastAsia="lv-LV"/>
        </w:rPr>
        <w:t>ĀM</w:t>
      </w:r>
      <w:r w:rsidRPr="006E5888">
        <w:rPr>
          <w:szCs w:val="24"/>
          <w:lang w:eastAsia="lv-LV"/>
        </w:rPr>
        <w:t xml:space="preserve"> un </w:t>
      </w:r>
      <w:proofErr w:type="spellStart"/>
      <w:r w:rsidR="001F29C4" w:rsidRPr="006E5888">
        <w:rPr>
          <w:szCs w:val="24"/>
          <w:lang w:eastAsia="lv-LV"/>
        </w:rPr>
        <w:t>AiM</w:t>
      </w:r>
      <w:proofErr w:type="spellEnd"/>
      <w:r w:rsidRPr="006E5888">
        <w:rPr>
          <w:szCs w:val="24"/>
          <w:lang w:eastAsia="lv-LV"/>
        </w:rPr>
        <w:t xml:space="preserve"> kompetences jomā ir sadarbības veicināšana  ar citām valstīm, kas</w:t>
      </w:r>
      <w:r w:rsidR="00ED05D5" w:rsidRPr="006E5888">
        <w:rPr>
          <w:szCs w:val="24"/>
          <w:lang w:eastAsia="lv-LV"/>
        </w:rPr>
        <w:t>,</w:t>
      </w:r>
      <w:r w:rsidRPr="006E5888">
        <w:rPr>
          <w:szCs w:val="24"/>
          <w:lang w:eastAsia="lv-LV"/>
        </w:rPr>
        <w:t xml:space="preserve"> tai skaitā arī saistās ar augstākiem (un dārgākiem) drošības standartiem un diplomātiskā  protokola ievērošanu pasākumu organizēšanā. </w:t>
      </w:r>
      <w:r w:rsidR="001F29C4" w:rsidRPr="006E5888">
        <w:rPr>
          <w:szCs w:val="24"/>
          <w:lang w:eastAsia="lv-LV"/>
        </w:rPr>
        <w:t>EM</w:t>
      </w:r>
      <w:r w:rsidRPr="006E5888">
        <w:rPr>
          <w:szCs w:val="24"/>
          <w:lang w:eastAsia="lv-LV"/>
        </w:rPr>
        <w:t xml:space="preserve"> aktīvi darbojas tūrisma, uzņēmējdarbības un uz zināšanām balstītas </w:t>
      </w:r>
      <w:r w:rsidRPr="006E5888">
        <w:rPr>
          <w:szCs w:val="24"/>
          <w:lang w:eastAsia="lv-LV"/>
        </w:rPr>
        <w:lastRenderedPageBreak/>
        <w:t xml:space="preserve">ekonomikas veicināšanas jomā, kā arī ārējās ekonomiskās politikas ieviešanā. </w:t>
      </w:r>
      <w:r w:rsidR="001F29C4" w:rsidRPr="006E5888">
        <w:rPr>
          <w:szCs w:val="24"/>
          <w:lang w:eastAsia="lv-LV"/>
        </w:rPr>
        <w:t>FM</w:t>
      </w:r>
      <w:r w:rsidRPr="006E5888">
        <w:rPr>
          <w:szCs w:val="24"/>
          <w:lang w:eastAsia="lv-LV"/>
        </w:rPr>
        <w:t xml:space="preserve"> 2016.gadā </w:t>
      </w:r>
      <w:r w:rsidR="004E4C70" w:rsidRPr="006E5888">
        <w:rPr>
          <w:szCs w:val="24"/>
          <w:lang w:eastAsia="lv-LV"/>
        </w:rPr>
        <w:t>ir ieplānots veikt</w:t>
      </w:r>
      <w:r w:rsidRPr="006E5888">
        <w:rPr>
          <w:szCs w:val="24"/>
          <w:lang w:eastAsia="lv-LV"/>
        </w:rPr>
        <w:t xml:space="preserve"> pastiprinātu sabiedrības izglītošanu un informēšanu nodokļu politikas, ēnu ekonomikas mazināšanas, valsts budžeta ieņēmumu un izdevumu struktūras jautājumos.</w:t>
      </w:r>
    </w:p>
    <w:p w:rsidR="00786851" w:rsidRPr="006E5888" w:rsidRDefault="00786851" w:rsidP="001F29C4">
      <w:pPr>
        <w:shd w:val="clear" w:color="auto" w:fill="FFFFFF" w:themeFill="background1"/>
        <w:ind w:firstLine="720"/>
        <w:jc w:val="both"/>
        <w:rPr>
          <w:szCs w:val="24"/>
          <w:lang w:eastAsia="lv-LV"/>
        </w:rPr>
      </w:pPr>
      <w:r w:rsidRPr="006E5888">
        <w:rPr>
          <w:szCs w:val="24"/>
          <w:lang w:eastAsia="lv-LV"/>
        </w:rPr>
        <w:t xml:space="preserve">Apjoma ziņā ietilpīgākie pasākumu nodrošināšanas izdevumi bija </w:t>
      </w:r>
      <w:r w:rsidR="001F29C4" w:rsidRPr="006E5888">
        <w:rPr>
          <w:szCs w:val="24"/>
          <w:lang w:eastAsia="lv-LV"/>
        </w:rPr>
        <w:t>IZM</w:t>
      </w:r>
      <w:r w:rsidRPr="006E5888">
        <w:rPr>
          <w:szCs w:val="24"/>
          <w:lang w:eastAsia="lv-LV"/>
        </w:rPr>
        <w:t xml:space="preserve"> 2015.gadā, kas skaidrojams ar to, ka šajā gadā norisinājās Latvijas Skolu jaunatnes dziesmu un deju svētki</w:t>
      </w:r>
      <w:r w:rsidRPr="006E5888">
        <w:rPr>
          <w:rStyle w:val="FootnoteReference"/>
          <w:szCs w:val="24"/>
          <w:lang w:eastAsia="lv-LV"/>
        </w:rPr>
        <w:footnoteReference w:id="10"/>
      </w:r>
      <w:r w:rsidRPr="006E5888">
        <w:rPr>
          <w:szCs w:val="24"/>
          <w:lang w:eastAsia="lv-LV"/>
        </w:rPr>
        <w:t xml:space="preserve">. Tāpat salīdzinoši lieli pasākumu nodrošināšanas izdevumi bija </w:t>
      </w:r>
      <w:r w:rsidR="001F29C4" w:rsidRPr="006E5888">
        <w:rPr>
          <w:szCs w:val="24"/>
          <w:lang w:eastAsia="lv-LV"/>
        </w:rPr>
        <w:t>KM</w:t>
      </w:r>
      <w:r w:rsidRPr="006E5888">
        <w:rPr>
          <w:szCs w:val="24"/>
          <w:lang w:eastAsia="lv-LV"/>
        </w:rPr>
        <w:t xml:space="preserve"> 2013. un 2014.gadā, kad Rīga bija Eiropas kultūras galvaspilsētas</w:t>
      </w:r>
      <w:r w:rsidRPr="006E5888">
        <w:rPr>
          <w:rStyle w:val="FootnoteReference"/>
          <w:szCs w:val="24"/>
          <w:lang w:eastAsia="lv-LV"/>
        </w:rPr>
        <w:footnoteReference w:id="11"/>
      </w:r>
      <w:r w:rsidRPr="006E5888">
        <w:rPr>
          <w:szCs w:val="24"/>
          <w:lang w:eastAsia="lv-LV"/>
        </w:rPr>
        <w:t xml:space="preserve"> statusā, savukārt 2018.gadā plānoti Latvijas 100-gadei veltīti pasākumi.</w:t>
      </w:r>
    </w:p>
    <w:p w:rsidR="00786851" w:rsidRPr="006E5888" w:rsidRDefault="00786851" w:rsidP="001F29C4">
      <w:pPr>
        <w:shd w:val="clear" w:color="auto" w:fill="FFFFFF" w:themeFill="background1"/>
        <w:ind w:firstLine="720"/>
        <w:jc w:val="both"/>
        <w:rPr>
          <w:szCs w:val="24"/>
          <w:lang w:eastAsia="lv-LV"/>
        </w:rPr>
      </w:pPr>
      <w:r w:rsidRPr="006E5888">
        <w:rPr>
          <w:szCs w:val="24"/>
          <w:lang w:eastAsia="lv-LV"/>
        </w:rPr>
        <w:t>Vērtējot pasākumu nodrošināšanas izdevumu īpatsvaru no kopējiem izdevumiem precēm un pakalpojumiem</w:t>
      </w:r>
      <w:r w:rsidRPr="006E5888">
        <w:rPr>
          <w:rStyle w:val="FootnoteReference"/>
          <w:szCs w:val="24"/>
          <w:lang w:eastAsia="lv-LV"/>
        </w:rPr>
        <w:footnoteReference w:id="12"/>
      </w:r>
      <w:r w:rsidR="00824CAC" w:rsidRPr="006E5888">
        <w:rPr>
          <w:szCs w:val="24"/>
          <w:lang w:eastAsia="lv-LV"/>
        </w:rPr>
        <w:t xml:space="preserve"> (skat. 1</w:t>
      </w:r>
      <w:r w:rsidR="0034713C" w:rsidRPr="006E5888">
        <w:rPr>
          <w:szCs w:val="24"/>
          <w:lang w:eastAsia="lv-LV"/>
        </w:rPr>
        <w:t>4</w:t>
      </w:r>
      <w:r w:rsidRPr="006E5888">
        <w:rPr>
          <w:szCs w:val="24"/>
          <w:lang w:eastAsia="lv-LV"/>
        </w:rPr>
        <w:t>.attēl</w:t>
      </w:r>
      <w:r w:rsidR="00824CAC" w:rsidRPr="006E5888">
        <w:rPr>
          <w:szCs w:val="24"/>
          <w:lang w:eastAsia="lv-LV"/>
        </w:rPr>
        <w:t>u</w:t>
      </w:r>
      <w:r w:rsidRPr="006E5888">
        <w:rPr>
          <w:szCs w:val="24"/>
          <w:lang w:eastAsia="lv-LV"/>
        </w:rPr>
        <w:t xml:space="preserve">), secināms, ka šādi izdevumi var veidot līdz pat 10% no izdevumiem precēm un pakalpojumiem, un var arī svārstīties zem 1%. </w:t>
      </w:r>
      <w:r w:rsidR="0053206D" w:rsidRPr="006E5888">
        <w:rPr>
          <w:szCs w:val="24"/>
          <w:lang w:eastAsia="lv-LV"/>
        </w:rPr>
        <w:t xml:space="preserve">Vislielākais īpatsvars, tāpat kā absolūto vērtību salīdzinājumā ir IZM un KM, kā arī ievērojams īpatsvars ir EM, savukārt </w:t>
      </w:r>
      <w:proofErr w:type="spellStart"/>
      <w:r w:rsidR="0053206D" w:rsidRPr="006E5888">
        <w:rPr>
          <w:szCs w:val="24"/>
          <w:lang w:eastAsia="lv-LV"/>
        </w:rPr>
        <w:t>AiM</w:t>
      </w:r>
      <w:proofErr w:type="spellEnd"/>
      <w:r w:rsidR="0053206D" w:rsidRPr="006E5888">
        <w:rPr>
          <w:szCs w:val="24"/>
          <w:lang w:eastAsia="lv-LV"/>
        </w:rPr>
        <w:t xml:space="preserve"> izdevumu īpatsvars ir viens no mazākajiem, lai gan absolūtās vērtībās, tas bija viens no lielākajiem. Tas skaidrojams ar to, ka EM izdevumi tieši precēm un pakalpojumiem veido salīdzinoši nelielu daļu no kopējiem EM izdevumiem, bet dominē izdevumi subsīdijām un dotācijām. Savukārt </w:t>
      </w:r>
      <w:proofErr w:type="spellStart"/>
      <w:r w:rsidR="0053206D" w:rsidRPr="006E5888">
        <w:rPr>
          <w:szCs w:val="24"/>
          <w:lang w:eastAsia="lv-LV"/>
        </w:rPr>
        <w:t>AiM</w:t>
      </w:r>
      <w:proofErr w:type="spellEnd"/>
      <w:r w:rsidR="0053206D" w:rsidRPr="006E5888">
        <w:rPr>
          <w:szCs w:val="24"/>
          <w:lang w:eastAsia="lv-LV"/>
        </w:rPr>
        <w:t xml:space="preserve"> izdevumu apjoms precēm un pakalpojumiem veido ievērojamu daļu no </w:t>
      </w:r>
      <w:proofErr w:type="spellStart"/>
      <w:r w:rsidR="0053206D" w:rsidRPr="006E5888">
        <w:rPr>
          <w:szCs w:val="24"/>
          <w:lang w:eastAsia="lv-LV"/>
        </w:rPr>
        <w:t>AiM</w:t>
      </w:r>
      <w:proofErr w:type="spellEnd"/>
      <w:r w:rsidR="0053206D" w:rsidRPr="006E5888">
        <w:rPr>
          <w:szCs w:val="24"/>
          <w:lang w:eastAsia="lv-LV"/>
        </w:rPr>
        <w:t xml:space="preserve"> kopējiem izdevumiem. </w:t>
      </w:r>
      <w:r w:rsidRPr="006E5888">
        <w:rPr>
          <w:szCs w:val="24"/>
          <w:lang w:eastAsia="lv-LV"/>
        </w:rPr>
        <w:t xml:space="preserve">Faktiski </w:t>
      </w:r>
      <w:r w:rsidR="00576478" w:rsidRPr="006E5888">
        <w:rPr>
          <w:szCs w:val="24"/>
          <w:lang w:eastAsia="lv-LV"/>
        </w:rPr>
        <w:t>1</w:t>
      </w:r>
      <w:r w:rsidR="0034713C" w:rsidRPr="006E5888">
        <w:rPr>
          <w:szCs w:val="24"/>
          <w:lang w:eastAsia="lv-LV"/>
        </w:rPr>
        <w:t>4</w:t>
      </w:r>
      <w:r w:rsidRPr="006E5888">
        <w:rPr>
          <w:szCs w:val="24"/>
          <w:lang w:eastAsia="lv-LV"/>
        </w:rPr>
        <w:t xml:space="preserve">.attēls uzskatāmi parāda, ka </w:t>
      </w:r>
      <w:r w:rsidR="00A13468" w:rsidRPr="006E5888">
        <w:rPr>
          <w:szCs w:val="24"/>
          <w:lang w:eastAsia="lv-LV"/>
        </w:rPr>
        <w:t>ministrijās</w:t>
      </w:r>
      <w:r w:rsidRPr="006E5888">
        <w:rPr>
          <w:szCs w:val="24"/>
          <w:lang w:eastAsia="lv-LV"/>
        </w:rPr>
        <w:t xml:space="preserve"> nepastāv sakarības starp izdevumiem precēm un pakalpojumiem kopumā un pasākumu nodrošināšanas izdevumiem – noteicošais ir veicamās funkc</w:t>
      </w:r>
      <w:r w:rsidR="006C1475" w:rsidRPr="006E5888">
        <w:rPr>
          <w:szCs w:val="24"/>
          <w:lang w:eastAsia="lv-LV"/>
        </w:rPr>
        <w:t xml:space="preserve">ijas. </w:t>
      </w:r>
    </w:p>
    <w:p w:rsidR="00ED05D5" w:rsidRPr="006E5888" w:rsidRDefault="00ED05D5" w:rsidP="001F29C4">
      <w:pPr>
        <w:shd w:val="clear" w:color="auto" w:fill="FFFFFF" w:themeFill="background1"/>
        <w:ind w:firstLine="720"/>
        <w:jc w:val="both"/>
        <w:rPr>
          <w:sz w:val="8"/>
          <w:szCs w:val="8"/>
          <w:lang w:eastAsia="lv-LV"/>
        </w:rPr>
      </w:pPr>
    </w:p>
    <w:p w:rsidR="00786851" w:rsidRPr="006E5888" w:rsidRDefault="004A1710" w:rsidP="004A1710">
      <w:pPr>
        <w:shd w:val="clear" w:color="auto" w:fill="FFFFFF" w:themeFill="background1"/>
        <w:tabs>
          <w:tab w:val="left" w:pos="426"/>
          <w:tab w:val="left" w:pos="8931"/>
        </w:tabs>
        <w:spacing w:after="120"/>
        <w:jc w:val="center"/>
        <w:rPr>
          <w:b/>
          <w:i/>
          <w:szCs w:val="24"/>
          <w:lang w:eastAsia="lv-LV"/>
        </w:rPr>
      </w:pPr>
      <w:r w:rsidRPr="006E5888">
        <w:rPr>
          <w:noProof/>
          <w:lang w:eastAsia="lv-LV"/>
        </w:rPr>
        <w:drawing>
          <wp:inline distT="0" distB="0" distL="0" distR="0" wp14:anchorId="7A5692AC" wp14:editId="6645B8EF">
            <wp:extent cx="5274260" cy="2713939"/>
            <wp:effectExtent l="0" t="0" r="3175" b="1079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86851" w:rsidRPr="006E5888" w:rsidRDefault="00576478" w:rsidP="00786851">
      <w:pPr>
        <w:jc w:val="center"/>
        <w:rPr>
          <w:b/>
          <w:sz w:val="22"/>
          <w:lang w:eastAsia="lv-LV"/>
        </w:rPr>
      </w:pPr>
      <w:r w:rsidRPr="006E5888">
        <w:rPr>
          <w:sz w:val="22"/>
          <w:lang w:eastAsia="lv-LV"/>
        </w:rPr>
        <w:t>1</w:t>
      </w:r>
      <w:r w:rsidR="0034713C" w:rsidRPr="006E5888">
        <w:rPr>
          <w:sz w:val="22"/>
          <w:lang w:eastAsia="lv-LV"/>
        </w:rPr>
        <w:t>4</w:t>
      </w:r>
      <w:r w:rsidR="00786851" w:rsidRPr="006E5888">
        <w:rPr>
          <w:i/>
          <w:sz w:val="22"/>
          <w:lang w:eastAsia="lv-LV"/>
        </w:rPr>
        <w:t xml:space="preserve">.att. </w:t>
      </w:r>
      <w:r w:rsidR="00786851" w:rsidRPr="006E5888">
        <w:rPr>
          <w:b/>
          <w:sz w:val="22"/>
          <w:lang w:eastAsia="lv-LV"/>
        </w:rPr>
        <w:t>Pasākumu nodrošināšanas i</w:t>
      </w:r>
      <w:r w:rsidR="00824CAC" w:rsidRPr="006E5888">
        <w:rPr>
          <w:b/>
          <w:sz w:val="22"/>
          <w:lang w:eastAsia="lv-LV"/>
        </w:rPr>
        <w:t xml:space="preserve">zdevumi </w:t>
      </w:r>
      <w:r w:rsidR="0053206D" w:rsidRPr="006E5888">
        <w:rPr>
          <w:b/>
          <w:sz w:val="22"/>
          <w:lang w:eastAsia="lv-LV"/>
        </w:rPr>
        <w:t>ministrijā</w:t>
      </w:r>
      <w:r w:rsidR="00824CAC" w:rsidRPr="006E5888">
        <w:rPr>
          <w:b/>
          <w:sz w:val="22"/>
          <w:lang w:eastAsia="lv-LV"/>
        </w:rPr>
        <w:t xml:space="preserve"> % no izdevumiem precēm</w:t>
      </w:r>
      <w:r w:rsidR="00786851" w:rsidRPr="006E5888">
        <w:rPr>
          <w:b/>
          <w:sz w:val="22"/>
          <w:lang w:eastAsia="lv-LV"/>
        </w:rPr>
        <w:t xml:space="preserve"> un pakalpojumi</w:t>
      </w:r>
      <w:r w:rsidR="00824CAC" w:rsidRPr="006E5888">
        <w:rPr>
          <w:b/>
          <w:sz w:val="22"/>
          <w:lang w:eastAsia="lv-LV"/>
        </w:rPr>
        <w:t>em</w:t>
      </w:r>
    </w:p>
    <w:p w:rsidR="00786851" w:rsidRPr="006E5888" w:rsidRDefault="00786851" w:rsidP="00786851">
      <w:pPr>
        <w:jc w:val="both"/>
        <w:rPr>
          <w:sz w:val="22"/>
          <w:lang w:eastAsia="lv-LV"/>
        </w:rPr>
      </w:pPr>
    </w:p>
    <w:p w:rsidR="00786851" w:rsidRPr="006E5888" w:rsidRDefault="00D64085" w:rsidP="00786851">
      <w:pPr>
        <w:shd w:val="clear" w:color="auto" w:fill="FFFFFF" w:themeFill="background1"/>
        <w:ind w:firstLine="720"/>
        <w:jc w:val="both"/>
        <w:rPr>
          <w:szCs w:val="24"/>
          <w:lang w:eastAsia="lv-LV"/>
        </w:rPr>
      </w:pPr>
      <w:r w:rsidRPr="006E5888">
        <w:rPr>
          <w:szCs w:val="24"/>
          <w:lang w:eastAsia="lv-LV"/>
        </w:rPr>
        <w:t xml:space="preserve">Analizējot ministriju </w:t>
      </w:r>
      <w:r w:rsidR="00786851" w:rsidRPr="006E5888">
        <w:rPr>
          <w:szCs w:val="24"/>
          <w:lang w:eastAsia="lv-LV"/>
        </w:rPr>
        <w:t>programmas</w:t>
      </w:r>
      <w:r w:rsidRPr="006E5888">
        <w:rPr>
          <w:szCs w:val="24"/>
          <w:lang w:eastAsia="lv-LV"/>
        </w:rPr>
        <w:t xml:space="preserve">/apakšprogrammas, </w:t>
      </w:r>
      <w:r w:rsidR="00786851" w:rsidRPr="006E5888">
        <w:rPr>
          <w:szCs w:val="24"/>
          <w:lang w:eastAsia="lv-LV"/>
        </w:rPr>
        <w:t>secinām</w:t>
      </w:r>
      <w:r w:rsidR="00824CAC" w:rsidRPr="006E5888">
        <w:rPr>
          <w:szCs w:val="24"/>
          <w:lang w:eastAsia="lv-LV"/>
        </w:rPr>
        <w:t>s</w:t>
      </w:r>
      <w:r w:rsidR="00786851" w:rsidRPr="006E5888">
        <w:rPr>
          <w:szCs w:val="24"/>
          <w:lang w:eastAsia="lv-LV"/>
        </w:rPr>
        <w:t>, ka pasākum</w:t>
      </w:r>
      <w:r w:rsidRPr="006E5888">
        <w:rPr>
          <w:szCs w:val="24"/>
          <w:lang w:eastAsia="lv-LV"/>
        </w:rPr>
        <w:t xml:space="preserve">u nodrošināšanas izdevumi </w:t>
      </w:r>
      <w:r w:rsidR="00786851" w:rsidRPr="006E5888">
        <w:rPr>
          <w:szCs w:val="24"/>
          <w:lang w:eastAsia="lv-LV"/>
        </w:rPr>
        <w:t>programmā</w:t>
      </w:r>
      <w:r w:rsidRPr="006E5888">
        <w:rPr>
          <w:szCs w:val="24"/>
          <w:lang w:eastAsia="lv-LV"/>
        </w:rPr>
        <w:t>/apakšprogrammā</w:t>
      </w:r>
      <w:r w:rsidR="00824CAC" w:rsidRPr="006E5888">
        <w:rPr>
          <w:szCs w:val="24"/>
          <w:lang w:eastAsia="lv-LV"/>
        </w:rPr>
        <w:t xml:space="preserve"> veido dažādu īpatsvaru –</w:t>
      </w:r>
      <w:r w:rsidR="00786851" w:rsidRPr="006E5888">
        <w:rPr>
          <w:szCs w:val="24"/>
          <w:lang w:eastAsia="lv-LV"/>
        </w:rPr>
        <w:t xml:space="preserve"> no 0% līdz pat 100% no izde</w:t>
      </w:r>
      <w:r w:rsidR="00824CAC" w:rsidRPr="006E5888">
        <w:rPr>
          <w:szCs w:val="24"/>
          <w:lang w:eastAsia="lv-LV"/>
        </w:rPr>
        <w:t>vumiem precēm</w:t>
      </w:r>
      <w:r w:rsidRPr="006E5888">
        <w:rPr>
          <w:szCs w:val="24"/>
          <w:lang w:eastAsia="lv-LV"/>
        </w:rPr>
        <w:t xml:space="preserve"> un pakalpojumi</w:t>
      </w:r>
      <w:r w:rsidR="00824CAC" w:rsidRPr="006E5888">
        <w:rPr>
          <w:szCs w:val="24"/>
          <w:lang w:eastAsia="lv-LV"/>
        </w:rPr>
        <w:t>em</w:t>
      </w:r>
      <w:r w:rsidRPr="006E5888">
        <w:rPr>
          <w:szCs w:val="24"/>
          <w:lang w:eastAsia="lv-LV"/>
        </w:rPr>
        <w:t xml:space="preserve">. </w:t>
      </w:r>
      <w:r w:rsidR="00786851" w:rsidRPr="006E5888">
        <w:rPr>
          <w:szCs w:val="24"/>
          <w:lang w:eastAsia="lv-LV"/>
        </w:rPr>
        <w:t>Pasākumu nodrošināšanas izdevum</w:t>
      </w:r>
      <w:r w:rsidRPr="006E5888">
        <w:rPr>
          <w:szCs w:val="24"/>
          <w:lang w:eastAsia="lv-LV"/>
        </w:rPr>
        <w:t xml:space="preserve">i netiek konstatēti tajās </w:t>
      </w:r>
      <w:r w:rsidR="00786851" w:rsidRPr="006E5888">
        <w:rPr>
          <w:szCs w:val="24"/>
          <w:lang w:eastAsia="lv-LV"/>
        </w:rPr>
        <w:t>programmās</w:t>
      </w:r>
      <w:r w:rsidRPr="006E5888">
        <w:rPr>
          <w:szCs w:val="24"/>
          <w:lang w:eastAsia="lv-LV"/>
        </w:rPr>
        <w:t>/apakšprogrammās</w:t>
      </w:r>
      <w:r w:rsidR="00786851" w:rsidRPr="006E5888">
        <w:rPr>
          <w:szCs w:val="24"/>
          <w:lang w:eastAsia="lv-LV"/>
        </w:rPr>
        <w:t>, kuru mērķis konceptuāli nav saistāms ar attiec</w:t>
      </w:r>
      <w:r w:rsidR="00824CAC" w:rsidRPr="006E5888">
        <w:rPr>
          <w:szCs w:val="24"/>
          <w:lang w:eastAsia="lv-LV"/>
        </w:rPr>
        <w:t xml:space="preserve">īgo aktivitāšu organizēšanu, </w:t>
      </w:r>
      <w:r w:rsidR="00786851" w:rsidRPr="006E5888">
        <w:rPr>
          <w:szCs w:val="24"/>
          <w:lang w:eastAsia="lv-LV"/>
        </w:rPr>
        <w:t xml:space="preserve">piemēram, </w:t>
      </w:r>
      <w:r w:rsidR="001F29C4" w:rsidRPr="006E5888">
        <w:rPr>
          <w:szCs w:val="24"/>
          <w:lang w:eastAsia="lv-LV"/>
        </w:rPr>
        <w:t xml:space="preserve">EM </w:t>
      </w:r>
      <w:r w:rsidR="00786851" w:rsidRPr="006E5888">
        <w:rPr>
          <w:szCs w:val="24"/>
          <w:lang w:eastAsia="lv-LV"/>
        </w:rPr>
        <w:t xml:space="preserve">apakšprogramma 29.03.00 “Ēku energoefektivitātes uzlabošana”, </w:t>
      </w:r>
      <w:r w:rsidR="001F29C4" w:rsidRPr="006E5888">
        <w:rPr>
          <w:szCs w:val="24"/>
          <w:lang w:eastAsia="lv-LV"/>
        </w:rPr>
        <w:t>ZM</w:t>
      </w:r>
      <w:r w:rsidR="00786851" w:rsidRPr="006E5888">
        <w:rPr>
          <w:szCs w:val="24"/>
          <w:lang w:eastAsia="lv-LV"/>
        </w:rPr>
        <w:t xml:space="preserve"> programma 26.00.00 “Zemes resursu ilgtspējības saglabāšana”, </w:t>
      </w:r>
      <w:r w:rsidR="001F29C4" w:rsidRPr="006E5888">
        <w:rPr>
          <w:szCs w:val="24"/>
          <w:lang w:eastAsia="lv-LV"/>
        </w:rPr>
        <w:t>LM</w:t>
      </w:r>
      <w:r w:rsidR="00786851" w:rsidRPr="006E5888">
        <w:rPr>
          <w:szCs w:val="24"/>
          <w:lang w:eastAsia="lv-LV"/>
        </w:rPr>
        <w:t xml:space="preserve"> apakšprogramma 05.68.00 “Dzīvokļa pabalstu līdzfinansējuma nodrošināšana pašvaldībām”. Savukārt</w:t>
      </w:r>
      <w:r w:rsidRPr="006E5888">
        <w:rPr>
          <w:szCs w:val="24"/>
          <w:lang w:eastAsia="lv-LV"/>
        </w:rPr>
        <w:t xml:space="preserve"> tajās </w:t>
      </w:r>
      <w:r w:rsidR="00786851" w:rsidRPr="006E5888">
        <w:rPr>
          <w:szCs w:val="24"/>
          <w:lang w:eastAsia="lv-LV"/>
        </w:rPr>
        <w:t>programmās</w:t>
      </w:r>
      <w:r w:rsidRPr="006E5888">
        <w:rPr>
          <w:szCs w:val="24"/>
          <w:lang w:eastAsia="lv-LV"/>
        </w:rPr>
        <w:t>/apakšprogrammās</w:t>
      </w:r>
      <w:r w:rsidR="00786851" w:rsidRPr="006E5888">
        <w:rPr>
          <w:szCs w:val="24"/>
          <w:lang w:eastAsia="lv-LV"/>
        </w:rPr>
        <w:t xml:space="preserve">, kuru mērķis ir saistīts ar informatīvo kampaņu īstenošanu, sadarbības veicināšanu, apmācībām, izglītošanu un valsts pārvaldes pakalpojuma </w:t>
      </w:r>
      <w:r w:rsidR="00786851" w:rsidRPr="006E5888">
        <w:rPr>
          <w:szCs w:val="24"/>
          <w:lang w:eastAsia="lv-LV"/>
        </w:rPr>
        <w:lastRenderedPageBreak/>
        <w:t>popularizēšanu, pasākumu nodrošināšanas izdevumu īpatsvars veido 50%, 70% vai pat 100% no izdev</w:t>
      </w:r>
      <w:r w:rsidR="00824CAC" w:rsidRPr="006E5888">
        <w:rPr>
          <w:szCs w:val="24"/>
          <w:lang w:eastAsia="lv-LV"/>
        </w:rPr>
        <w:t xml:space="preserve">umiem precēm un pakalpojumiem, </w:t>
      </w:r>
      <w:r w:rsidR="00786851" w:rsidRPr="006E5888">
        <w:rPr>
          <w:szCs w:val="24"/>
          <w:lang w:eastAsia="lv-LV"/>
        </w:rPr>
        <w:t xml:space="preserve">piemēram, </w:t>
      </w:r>
      <w:r w:rsidR="001F29C4" w:rsidRPr="006E5888">
        <w:rPr>
          <w:szCs w:val="24"/>
          <w:lang w:eastAsia="lv-LV"/>
        </w:rPr>
        <w:t xml:space="preserve">KM </w:t>
      </w:r>
      <w:r w:rsidR="00786851" w:rsidRPr="006E5888">
        <w:rPr>
          <w:szCs w:val="24"/>
          <w:lang w:eastAsia="lv-LV"/>
        </w:rPr>
        <w:t xml:space="preserve">apakšprogrammā 22.02.00 “Kultūras pasākumi, sadarbības līgumi un programmas” plānotais pasākumu nodrošināšanas izdevumu apmērs 2015.gadā – 51% (147 143 </w:t>
      </w:r>
      <w:proofErr w:type="spellStart"/>
      <w:r w:rsidR="00786851" w:rsidRPr="006E5888">
        <w:rPr>
          <w:i/>
          <w:szCs w:val="24"/>
          <w:lang w:eastAsia="lv-LV"/>
        </w:rPr>
        <w:t>euro</w:t>
      </w:r>
      <w:proofErr w:type="spellEnd"/>
      <w:r w:rsidR="00786851" w:rsidRPr="006E5888">
        <w:rPr>
          <w:szCs w:val="24"/>
          <w:lang w:eastAsia="lv-LV"/>
        </w:rPr>
        <w:t xml:space="preserve">) no precēm un pakalpojumiem, </w:t>
      </w:r>
      <w:r w:rsidR="001F29C4" w:rsidRPr="006E5888">
        <w:rPr>
          <w:szCs w:val="24"/>
          <w:lang w:eastAsia="lv-LV"/>
        </w:rPr>
        <w:t xml:space="preserve">IZM </w:t>
      </w:r>
      <w:r w:rsidR="00786851" w:rsidRPr="006E5888">
        <w:rPr>
          <w:szCs w:val="24"/>
          <w:lang w:eastAsia="lv-LV"/>
        </w:rPr>
        <w:t xml:space="preserve">apakšprogrammā 01.11.00 “Pedagogu profesionālās kompetences pilnveidošana” plānotais pasākumu nodrošināšanas izdevumu apmērs 2016.gadā – 100% (1 092 651 </w:t>
      </w:r>
      <w:proofErr w:type="spellStart"/>
      <w:r w:rsidR="00786851" w:rsidRPr="006E5888">
        <w:rPr>
          <w:i/>
          <w:szCs w:val="24"/>
          <w:lang w:eastAsia="lv-LV"/>
        </w:rPr>
        <w:t>euro</w:t>
      </w:r>
      <w:proofErr w:type="spellEnd"/>
      <w:r w:rsidR="00786851" w:rsidRPr="006E5888">
        <w:rPr>
          <w:szCs w:val="24"/>
          <w:lang w:eastAsia="lv-LV"/>
        </w:rPr>
        <w:t xml:space="preserve">) no precēm un pakalpojumiem, </w:t>
      </w:r>
      <w:r w:rsidR="001F29C4" w:rsidRPr="006E5888">
        <w:rPr>
          <w:szCs w:val="24"/>
          <w:lang w:eastAsia="lv-LV"/>
        </w:rPr>
        <w:t>LM</w:t>
      </w:r>
      <w:r w:rsidR="00786851" w:rsidRPr="006E5888">
        <w:rPr>
          <w:szCs w:val="24"/>
          <w:lang w:eastAsia="lv-LV"/>
        </w:rPr>
        <w:t xml:space="preserve"> apakšprogrammā 22.02.00 “Valsts programma bērnu un ģimenes stāvokļa uzlabošanai” plānotais pasākumu nodrošināšanas izdevumu apmērs 2016.gadā</w:t>
      </w:r>
      <w:r w:rsidRPr="006E5888">
        <w:rPr>
          <w:szCs w:val="24"/>
          <w:lang w:eastAsia="lv-LV"/>
        </w:rPr>
        <w:t xml:space="preserve"> –</w:t>
      </w:r>
      <w:r w:rsidR="00786851" w:rsidRPr="006E5888">
        <w:rPr>
          <w:szCs w:val="24"/>
          <w:lang w:eastAsia="lv-LV"/>
        </w:rPr>
        <w:t xml:space="preserve"> 49% (107 270 </w:t>
      </w:r>
      <w:proofErr w:type="spellStart"/>
      <w:r w:rsidR="00786851" w:rsidRPr="006E5888">
        <w:rPr>
          <w:i/>
          <w:szCs w:val="24"/>
          <w:lang w:eastAsia="lv-LV"/>
        </w:rPr>
        <w:t>euro</w:t>
      </w:r>
      <w:proofErr w:type="spellEnd"/>
      <w:r w:rsidR="00786851" w:rsidRPr="006E5888">
        <w:rPr>
          <w:szCs w:val="24"/>
          <w:lang w:eastAsia="lv-LV"/>
        </w:rPr>
        <w:t>) no precēm un pakalpojumiem. Svārstības attiecīgajā izdevumu apmērā tiek pamatotas ar izmaiņām finansējamo pasākumu skaitā un mērogā. Veiktā</w:t>
      </w:r>
      <w:r w:rsidRPr="006E5888">
        <w:rPr>
          <w:szCs w:val="24"/>
          <w:lang w:eastAsia="lv-LV"/>
        </w:rPr>
        <w:t xml:space="preserve"> </w:t>
      </w:r>
      <w:r w:rsidR="00786851" w:rsidRPr="006E5888">
        <w:rPr>
          <w:szCs w:val="24"/>
          <w:lang w:eastAsia="lv-LV"/>
        </w:rPr>
        <w:t>programmu</w:t>
      </w:r>
      <w:r w:rsidRPr="006E5888">
        <w:rPr>
          <w:szCs w:val="24"/>
          <w:lang w:eastAsia="lv-LV"/>
        </w:rPr>
        <w:t>/apakšprogrammu</w:t>
      </w:r>
      <w:r w:rsidR="00786851" w:rsidRPr="006E5888">
        <w:rPr>
          <w:szCs w:val="24"/>
          <w:lang w:eastAsia="lv-LV"/>
        </w:rPr>
        <w:t xml:space="preserve"> satura analīze apstiprina secinājumu, ka noteicošais faktors izde</w:t>
      </w:r>
      <w:r w:rsidRPr="006E5888">
        <w:rPr>
          <w:szCs w:val="24"/>
          <w:lang w:eastAsia="lv-LV"/>
        </w:rPr>
        <w:t xml:space="preserve">vumu apmērā ir attiecīgās </w:t>
      </w:r>
      <w:r w:rsidR="00786851" w:rsidRPr="006E5888">
        <w:rPr>
          <w:szCs w:val="24"/>
          <w:lang w:eastAsia="lv-LV"/>
        </w:rPr>
        <w:t>programmas</w:t>
      </w:r>
      <w:r w:rsidRPr="006E5888">
        <w:rPr>
          <w:szCs w:val="24"/>
          <w:lang w:eastAsia="lv-LV"/>
        </w:rPr>
        <w:t>/apakšprogrammas</w:t>
      </w:r>
      <w:r w:rsidR="00786851" w:rsidRPr="006E5888">
        <w:rPr>
          <w:szCs w:val="24"/>
          <w:lang w:eastAsia="lv-LV"/>
        </w:rPr>
        <w:t xml:space="preserve"> mērķis un tās ietvaros veicamās funkcijas.</w:t>
      </w:r>
    </w:p>
    <w:p w:rsidR="00786851" w:rsidRPr="006E5888" w:rsidRDefault="00786851" w:rsidP="008D117A">
      <w:pPr>
        <w:shd w:val="clear" w:color="auto" w:fill="FFFFFF" w:themeFill="background1"/>
        <w:spacing w:after="120"/>
        <w:ind w:firstLine="720"/>
        <w:jc w:val="both"/>
        <w:rPr>
          <w:szCs w:val="24"/>
          <w:lang w:eastAsia="lv-LV"/>
        </w:rPr>
      </w:pPr>
      <w:r w:rsidRPr="006E5888">
        <w:rPr>
          <w:szCs w:val="24"/>
          <w:lang w:eastAsia="lv-LV"/>
        </w:rPr>
        <w:t>Lai iegūtu vispusīgu skatījumu uz pasākumu nodrošināšanas izdevumu iespējamo korelāciju ar iestādi/budžeta programmu raksturojošiem lielumiem, tika analizēts attiecīgo izdevumu apmērs pret resora vidējo amata vietu skaitu (</w:t>
      </w:r>
      <w:r w:rsidR="00824CAC" w:rsidRPr="006E5888">
        <w:rPr>
          <w:szCs w:val="24"/>
          <w:lang w:eastAsia="lv-LV"/>
        </w:rPr>
        <w:t>skat. 1</w:t>
      </w:r>
      <w:r w:rsidR="008D117A" w:rsidRPr="006E5888">
        <w:rPr>
          <w:szCs w:val="24"/>
          <w:lang w:eastAsia="lv-LV"/>
        </w:rPr>
        <w:t>5</w:t>
      </w:r>
      <w:r w:rsidR="00824CAC" w:rsidRPr="006E5888">
        <w:rPr>
          <w:szCs w:val="24"/>
          <w:lang w:eastAsia="lv-LV"/>
        </w:rPr>
        <w:t>.attēlu</w:t>
      </w:r>
      <w:r w:rsidRPr="006E5888">
        <w:rPr>
          <w:szCs w:val="24"/>
          <w:lang w:eastAsia="lv-LV"/>
        </w:rPr>
        <w:t xml:space="preserve">), izmantojot datus tikai par valsts pamatfunkciju daļas amata vietām. Kā redzams </w:t>
      </w:r>
      <w:r w:rsidR="00576478" w:rsidRPr="006E5888">
        <w:rPr>
          <w:szCs w:val="24"/>
          <w:lang w:eastAsia="lv-LV"/>
        </w:rPr>
        <w:t>1</w:t>
      </w:r>
      <w:r w:rsidR="008D117A" w:rsidRPr="006E5888">
        <w:rPr>
          <w:szCs w:val="24"/>
          <w:lang w:eastAsia="lv-LV"/>
        </w:rPr>
        <w:t>5</w:t>
      </w:r>
      <w:r w:rsidRPr="006E5888">
        <w:rPr>
          <w:szCs w:val="24"/>
          <w:lang w:eastAsia="lv-LV"/>
        </w:rPr>
        <w:t xml:space="preserve">.attēlā, izdevumu apmērs uz vienu amata vietu krasi atšķiras un arī pamatā saistās ar ministrijas funkcijām un darba specifiku. Pasākumu organizēšanas izdevumi uz vienu amata vietu svārstās ap 15-30 </w:t>
      </w:r>
      <w:proofErr w:type="spellStart"/>
      <w:r w:rsidRPr="006E5888">
        <w:rPr>
          <w:i/>
          <w:szCs w:val="24"/>
          <w:lang w:eastAsia="lv-LV"/>
        </w:rPr>
        <w:t>euro</w:t>
      </w:r>
      <w:proofErr w:type="spellEnd"/>
      <w:r w:rsidRPr="006E5888">
        <w:rPr>
          <w:szCs w:val="24"/>
          <w:lang w:eastAsia="lv-LV"/>
        </w:rPr>
        <w:t xml:space="preserve"> to ministriju resoros, kas arī 1</w:t>
      </w:r>
      <w:r w:rsidR="00D64085" w:rsidRPr="006E5888">
        <w:rPr>
          <w:szCs w:val="24"/>
          <w:lang w:eastAsia="lv-LV"/>
        </w:rPr>
        <w:t>5</w:t>
      </w:r>
      <w:r w:rsidRPr="006E5888">
        <w:rPr>
          <w:szCs w:val="24"/>
          <w:lang w:eastAsia="lv-LV"/>
        </w:rPr>
        <w:t>.attēlā nebija dominējošās (</w:t>
      </w:r>
      <w:r w:rsidR="001F29C4" w:rsidRPr="006E5888">
        <w:rPr>
          <w:szCs w:val="24"/>
          <w:lang w:eastAsia="lv-LV"/>
        </w:rPr>
        <w:t>ZM</w:t>
      </w:r>
      <w:r w:rsidRPr="006E5888">
        <w:rPr>
          <w:szCs w:val="24"/>
          <w:lang w:eastAsia="lv-LV"/>
        </w:rPr>
        <w:t xml:space="preserve">, </w:t>
      </w:r>
      <w:r w:rsidR="001F29C4" w:rsidRPr="006E5888">
        <w:rPr>
          <w:szCs w:val="24"/>
          <w:lang w:eastAsia="lv-LV"/>
        </w:rPr>
        <w:t>LM</w:t>
      </w:r>
      <w:r w:rsidRPr="006E5888">
        <w:rPr>
          <w:szCs w:val="24"/>
          <w:lang w:eastAsia="lv-LV"/>
        </w:rPr>
        <w:t xml:space="preserve">, </w:t>
      </w:r>
      <w:r w:rsidR="001F29C4" w:rsidRPr="006E5888">
        <w:rPr>
          <w:szCs w:val="24"/>
          <w:lang w:eastAsia="lv-LV"/>
        </w:rPr>
        <w:t>TM</w:t>
      </w:r>
      <w:r w:rsidRPr="006E5888">
        <w:rPr>
          <w:szCs w:val="24"/>
          <w:lang w:eastAsia="lv-LV"/>
        </w:rPr>
        <w:t xml:space="preserve">, </w:t>
      </w:r>
      <w:r w:rsidR="001F29C4" w:rsidRPr="006E5888">
        <w:rPr>
          <w:szCs w:val="24"/>
          <w:lang w:eastAsia="lv-LV"/>
        </w:rPr>
        <w:t>VM</w:t>
      </w:r>
      <w:r w:rsidRPr="006E5888">
        <w:rPr>
          <w:szCs w:val="24"/>
          <w:lang w:eastAsia="lv-LV"/>
        </w:rPr>
        <w:t xml:space="preserve">, </w:t>
      </w:r>
      <w:r w:rsidR="001F29C4" w:rsidRPr="006E5888">
        <w:rPr>
          <w:szCs w:val="24"/>
          <w:lang w:eastAsia="lv-LV"/>
        </w:rPr>
        <w:t>IeM</w:t>
      </w:r>
      <w:r w:rsidRPr="006E5888">
        <w:rPr>
          <w:szCs w:val="24"/>
          <w:lang w:eastAsia="lv-LV"/>
        </w:rPr>
        <w:t xml:space="preserve">). Attiecīgie izdevumi </w:t>
      </w:r>
      <w:r w:rsidR="001F29C4" w:rsidRPr="006E5888">
        <w:rPr>
          <w:szCs w:val="24"/>
          <w:lang w:eastAsia="lv-LV"/>
        </w:rPr>
        <w:t>ĀM</w:t>
      </w:r>
      <w:r w:rsidRPr="006E5888">
        <w:rPr>
          <w:szCs w:val="24"/>
          <w:lang w:eastAsia="lv-LV"/>
        </w:rPr>
        <w:t xml:space="preserve"> tiecas uz 2</w:t>
      </w:r>
      <w:r w:rsidR="00824CAC" w:rsidRPr="006E5888">
        <w:rPr>
          <w:szCs w:val="24"/>
          <w:lang w:eastAsia="lv-LV"/>
        </w:rPr>
        <w:t xml:space="preserve"> </w:t>
      </w:r>
      <w:r w:rsidRPr="006E5888">
        <w:rPr>
          <w:szCs w:val="24"/>
          <w:lang w:eastAsia="lv-LV"/>
        </w:rPr>
        <w:t xml:space="preserve">000 </w:t>
      </w:r>
      <w:proofErr w:type="spellStart"/>
      <w:r w:rsidRPr="006E5888">
        <w:rPr>
          <w:i/>
          <w:szCs w:val="24"/>
          <w:lang w:eastAsia="lv-LV"/>
        </w:rPr>
        <w:t>euro</w:t>
      </w:r>
      <w:proofErr w:type="spellEnd"/>
      <w:r w:rsidRPr="006E5888">
        <w:rPr>
          <w:szCs w:val="24"/>
          <w:lang w:eastAsia="lv-LV"/>
        </w:rPr>
        <w:t xml:space="preserve"> uz vienu amata vietu, kas norāda uz to, ka šo nodarbināto funkcijas pamatā ir saistītas ar sadarbības veicināšanu un starpvalstu attiecību nodibināšanu. Savukārt </w:t>
      </w:r>
      <w:proofErr w:type="spellStart"/>
      <w:r w:rsidR="001F29C4" w:rsidRPr="006E5888">
        <w:rPr>
          <w:szCs w:val="24"/>
          <w:lang w:eastAsia="lv-LV"/>
        </w:rPr>
        <w:t>AiM</w:t>
      </w:r>
      <w:proofErr w:type="spellEnd"/>
      <w:r w:rsidRPr="006E5888">
        <w:rPr>
          <w:szCs w:val="24"/>
          <w:lang w:eastAsia="lv-LV"/>
        </w:rPr>
        <w:t xml:space="preserve"> resorā šie izdevumi ir ap 150 </w:t>
      </w:r>
      <w:proofErr w:type="spellStart"/>
      <w:r w:rsidRPr="006E5888">
        <w:rPr>
          <w:i/>
          <w:szCs w:val="24"/>
          <w:lang w:eastAsia="lv-LV"/>
        </w:rPr>
        <w:t>euro</w:t>
      </w:r>
      <w:proofErr w:type="spellEnd"/>
      <w:r w:rsidRPr="006E5888">
        <w:rPr>
          <w:szCs w:val="24"/>
          <w:lang w:eastAsia="lv-LV"/>
        </w:rPr>
        <w:t xml:space="preserve"> uz amata </w:t>
      </w:r>
      <w:r w:rsidR="00A13468" w:rsidRPr="006E5888">
        <w:rPr>
          <w:szCs w:val="24"/>
          <w:lang w:eastAsia="lv-LV"/>
        </w:rPr>
        <w:t>vietu. Pārējo ministriju</w:t>
      </w:r>
      <w:r w:rsidRPr="006E5888">
        <w:rPr>
          <w:szCs w:val="24"/>
          <w:lang w:eastAsia="lv-LV"/>
        </w:rPr>
        <w:t xml:space="preserve"> attiecīgie izdevumi uz vienu amata vietu svārstās no viena simta līdz vairākiem simtiem </w:t>
      </w:r>
      <w:proofErr w:type="spellStart"/>
      <w:r w:rsidRPr="006E5888">
        <w:rPr>
          <w:i/>
          <w:szCs w:val="24"/>
          <w:lang w:eastAsia="lv-LV"/>
        </w:rPr>
        <w:t>euro</w:t>
      </w:r>
      <w:proofErr w:type="spellEnd"/>
      <w:r w:rsidRPr="006E5888">
        <w:rPr>
          <w:szCs w:val="24"/>
          <w:lang w:eastAsia="lv-LV"/>
        </w:rPr>
        <w:t xml:space="preserve">, un skaidri izteikta sakarība starp </w:t>
      </w:r>
      <w:r w:rsidR="00BC1AA6" w:rsidRPr="006E5888">
        <w:rPr>
          <w:szCs w:val="24"/>
          <w:lang w:eastAsia="lv-LV"/>
        </w:rPr>
        <w:t>šiem lielumiem netiek novērota.</w:t>
      </w:r>
    </w:p>
    <w:p w:rsidR="00D93CA0" w:rsidRPr="006E5888" w:rsidRDefault="00D93CA0" w:rsidP="00BC1AA6">
      <w:pPr>
        <w:shd w:val="clear" w:color="auto" w:fill="FFFFFF" w:themeFill="background1"/>
        <w:ind w:firstLine="720"/>
        <w:jc w:val="both"/>
        <w:rPr>
          <w:sz w:val="8"/>
          <w:szCs w:val="8"/>
          <w:lang w:eastAsia="lv-LV"/>
        </w:rPr>
      </w:pPr>
    </w:p>
    <w:p w:rsidR="00786851" w:rsidRPr="006E5888" w:rsidRDefault="00AF42A9" w:rsidP="001B321F">
      <w:pPr>
        <w:shd w:val="clear" w:color="auto" w:fill="FFFFFF" w:themeFill="background1"/>
        <w:spacing w:after="60"/>
        <w:jc w:val="center"/>
        <w:rPr>
          <w:szCs w:val="24"/>
          <w:lang w:eastAsia="lv-LV"/>
        </w:rPr>
      </w:pPr>
      <w:r w:rsidRPr="006E5888">
        <w:rPr>
          <w:noProof/>
          <w:lang w:eastAsia="lv-LV"/>
        </w:rPr>
        <w:drawing>
          <wp:inline distT="0" distB="0" distL="0" distR="0" wp14:anchorId="1BD48AC2" wp14:editId="43DBF776">
            <wp:extent cx="5274310" cy="2984601"/>
            <wp:effectExtent l="0" t="0" r="2540" b="63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86851" w:rsidRPr="006E5888" w:rsidRDefault="00576478" w:rsidP="001B321F">
      <w:pPr>
        <w:shd w:val="clear" w:color="auto" w:fill="FFFFFF" w:themeFill="background1"/>
        <w:jc w:val="center"/>
        <w:rPr>
          <w:b/>
          <w:i/>
          <w:sz w:val="22"/>
          <w:lang w:eastAsia="lv-LV"/>
        </w:rPr>
      </w:pPr>
      <w:r w:rsidRPr="006E5888">
        <w:rPr>
          <w:sz w:val="22"/>
          <w:lang w:eastAsia="lv-LV"/>
        </w:rPr>
        <w:t>1</w:t>
      </w:r>
      <w:r w:rsidR="008D117A" w:rsidRPr="006E5888">
        <w:rPr>
          <w:sz w:val="22"/>
          <w:lang w:eastAsia="lv-LV"/>
        </w:rPr>
        <w:t>5</w:t>
      </w:r>
      <w:r w:rsidR="00786851" w:rsidRPr="006E5888">
        <w:rPr>
          <w:i/>
          <w:sz w:val="22"/>
          <w:lang w:eastAsia="lv-LV"/>
        </w:rPr>
        <w:t xml:space="preserve">.att. </w:t>
      </w:r>
      <w:r w:rsidR="00786851" w:rsidRPr="006E5888">
        <w:rPr>
          <w:b/>
          <w:sz w:val="22"/>
          <w:lang w:eastAsia="lv-LV"/>
        </w:rPr>
        <w:t xml:space="preserve">Pasākumu nodrošināšanas izdevumi uz vienu amata vietu resorā </w:t>
      </w:r>
      <w:r w:rsidR="00786851" w:rsidRPr="006E5888">
        <w:rPr>
          <w:sz w:val="22"/>
          <w:lang w:eastAsia="lv-LV"/>
        </w:rPr>
        <w:t>(</w:t>
      </w:r>
      <w:proofErr w:type="spellStart"/>
      <w:r w:rsidR="00786851" w:rsidRPr="006E5888">
        <w:rPr>
          <w:i/>
          <w:sz w:val="22"/>
          <w:lang w:eastAsia="lv-LV"/>
        </w:rPr>
        <w:t>euro</w:t>
      </w:r>
      <w:proofErr w:type="spellEnd"/>
      <w:r w:rsidR="00786851" w:rsidRPr="006E5888">
        <w:rPr>
          <w:sz w:val="22"/>
          <w:lang w:eastAsia="lv-LV"/>
        </w:rPr>
        <w:t>)</w:t>
      </w:r>
    </w:p>
    <w:p w:rsidR="00786851" w:rsidRPr="006E5888" w:rsidRDefault="00786851" w:rsidP="00786851">
      <w:pPr>
        <w:shd w:val="clear" w:color="auto" w:fill="FFFFFF" w:themeFill="background1"/>
        <w:spacing w:before="120"/>
        <w:jc w:val="both"/>
        <w:rPr>
          <w:sz w:val="8"/>
          <w:szCs w:val="8"/>
          <w:lang w:eastAsia="lv-LV"/>
        </w:rPr>
      </w:pPr>
    </w:p>
    <w:p w:rsidR="00051C30" w:rsidRPr="006E5888" w:rsidRDefault="00786851" w:rsidP="001F29C4">
      <w:pPr>
        <w:ind w:firstLine="709"/>
        <w:jc w:val="both"/>
        <w:rPr>
          <w:szCs w:val="24"/>
        </w:rPr>
      </w:pPr>
      <w:r w:rsidRPr="006E5888">
        <w:rPr>
          <w:szCs w:val="24"/>
        </w:rPr>
        <w:t xml:space="preserve">Secināms, ka </w:t>
      </w:r>
      <w:r w:rsidR="00A13468" w:rsidRPr="006E5888">
        <w:rPr>
          <w:szCs w:val="24"/>
        </w:rPr>
        <w:t>ministrijās</w:t>
      </w:r>
      <w:r w:rsidRPr="006E5888">
        <w:rPr>
          <w:szCs w:val="24"/>
        </w:rPr>
        <w:t xml:space="preserve"> </w:t>
      </w:r>
      <w:r w:rsidR="00D93CA0" w:rsidRPr="006E5888">
        <w:rPr>
          <w:szCs w:val="24"/>
        </w:rPr>
        <w:t xml:space="preserve">un to budžeta </w:t>
      </w:r>
      <w:r w:rsidRPr="006E5888">
        <w:rPr>
          <w:szCs w:val="24"/>
        </w:rPr>
        <w:t>programmās</w:t>
      </w:r>
      <w:r w:rsidR="00D93CA0" w:rsidRPr="006E5888">
        <w:rPr>
          <w:szCs w:val="24"/>
        </w:rPr>
        <w:t>/apakšprogrammās</w:t>
      </w:r>
      <w:r w:rsidRPr="006E5888">
        <w:rPr>
          <w:szCs w:val="24"/>
        </w:rPr>
        <w:t xml:space="preserve"> nav vienotas sakarības starp </w:t>
      </w:r>
      <w:r w:rsidRPr="006E5888">
        <w:rPr>
          <w:szCs w:val="24"/>
          <w:lang w:eastAsia="lv-LV"/>
        </w:rPr>
        <w:t xml:space="preserve">pasākumu nodrošināšanas </w:t>
      </w:r>
      <w:r w:rsidRPr="006E5888">
        <w:rPr>
          <w:szCs w:val="24"/>
        </w:rPr>
        <w:t>izdevumu apmēru un kād</w:t>
      </w:r>
      <w:r w:rsidR="00824CAC" w:rsidRPr="006E5888">
        <w:rPr>
          <w:szCs w:val="24"/>
        </w:rPr>
        <w:t>iem citiem lielumiem (izdevumi p</w:t>
      </w:r>
      <w:r w:rsidRPr="006E5888">
        <w:rPr>
          <w:szCs w:val="24"/>
        </w:rPr>
        <w:t>rec</w:t>
      </w:r>
      <w:r w:rsidR="00824CAC" w:rsidRPr="006E5888">
        <w:rPr>
          <w:szCs w:val="24"/>
        </w:rPr>
        <w:t>ēm</w:t>
      </w:r>
      <w:r w:rsidRPr="006E5888">
        <w:rPr>
          <w:szCs w:val="24"/>
        </w:rPr>
        <w:t xml:space="preserve"> un pakalpojumi</w:t>
      </w:r>
      <w:r w:rsidR="00824CAC" w:rsidRPr="006E5888">
        <w:rPr>
          <w:szCs w:val="24"/>
        </w:rPr>
        <w:t>em</w:t>
      </w:r>
      <w:r w:rsidRPr="006E5888">
        <w:rPr>
          <w:szCs w:val="24"/>
        </w:rPr>
        <w:t>, budžeta programmā iesaistīto amata vietu skaits, utt</w:t>
      </w:r>
      <w:r w:rsidR="00D93CA0" w:rsidRPr="006E5888">
        <w:rPr>
          <w:szCs w:val="24"/>
        </w:rPr>
        <w:t>.</w:t>
      </w:r>
      <w:r w:rsidRPr="006E5888">
        <w:rPr>
          <w:szCs w:val="24"/>
        </w:rPr>
        <w:t xml:space="preserve">), tomēr ir izteikti novērojama šo izdevumu apmēra </w:t>
      </w:r>
      <w:r w:rsidRPr="006E5888">
        <w:rPr>
          <w:b/>
          <w:szCs w:val="24"/>
        </w:rPr>
        <w:t>sasaiste ar ministrijas</w:t>
      </w:r>
      <w:r w:rsidR="00A13468" w:rsidRPr="006E5888">
        <w:rPr>
          <w:b/>
          <w:szCs w:val="24"/>
        </w:rPr>
        <w:t xml:space="preserve"> </w:t>
      </w:r>
      <w:r w:rsidRPr="006E5888">
        <w:rPr>
          <w:b/>
          <w:szCs w:val="24"/>
        </w:rPr>
        <w:t>funkcijām</w:t>
      </w:r>
      <w:r w:rsidRPr="006E5888">
        <w:rPr>
          <w:szCs w:val="24"/>
        </w:rPr>
        <w:t xml:space="preserve">. Ņemot vērā arī nozaru unikalitāti un aktivitāšu daudzveidību, kas tiek finansētas attiecīgo izdevumu ietvaros, vienota regulējuma izstrāde ar apmēru ierobežojumu visām nozarēm šajā jomā nav iespējama. Lemjot par </w:t>
      </w:r>
      <w:r w:rsidRPr="006E5888">
        <w:rPr>
          <w:szCs w:val="24"/>
          <w:lang w:eastAsia="lv-LV"/>
        </w:rPr>
        <w:t>pasākumu nodrošināšanas</w:t>
      </w:r>
      <w:r w:rsidRPr="006E5888">
        <w:rPr>
          <w:szCs w:val="24"/>
        </w:rPr>
        <w:t xml:space="preserve"> izdevumu apmēriem (tāpat kā par jebkuriem citiem iestādes </w:t>
      </w:r>
      <w:r w:rsidRPr="006E5888">
        <w:rPr>
          <w:szCs w:val="24"/>
        </w:rPr>
        <w:lastRenderedPageBreak/>
        <w:t>darbības nodrošināšanai nepieciešamajiem izdevumiem), iestādes vadītājiem ir jāvadās no objektīvas nepieciešamības un jāseko, lai izdevumi būtu samērīgi ar pasākuma veidu, nozīmīgumu, pieejamiem finanšu resursiem, kas būtu izlietoti efektīvi un racionāli. Katrā ministrij</w:t>
      </w:r>
      <w:r w:rsidR="00A13468" w:rsidRPr="006E5888">
        <w:rPr>
          <w:szCs w:val="24"/>
        </w:rPr>
        <w:t xml:space="preserve">ā </w:t>
      </w:r>
      <w:r w:rsidRPr="006E5888">
        <w:rPr>
          <w:szCs w:val="24"/>
        </w:rPr>
        <w:t xml:space="preserve">būtu nepieciešams </w:t>
      </w:r>
      <w:r w:rsidRPr="006E5888">
        <w:rPr>
          <w:b/>
          <w:szCs w:val="24"/>
        </w:rPr>
        <w:t>iekšējais normatīvais akts</w:t>
      </w:r>
      <w:r w:rsidRPr="006E5888">
        <w:rPr>
          <w:szCs w:val="24"/>
        </w:rPr>
        <w:t xml:space="preserve"> (kas daudzos resoros jau pastāv), kur tiktu atrunāta attiecīgo pasākumu veikšanas un ar to saistīto izdevumu noteikšanas kārtība, kā arī nozares specifikai piemērotie izdevumu sliekšņi atbilstošajās izdevumu pozīcijās. Savukārt, lai nodrošinātu mini</w:t>
      </w:r>
      <w:r w:rsidR="00A13468" w:rsidRPr="006E5888">
        <w:rPr>
          <w:szCs w:val="24"/>
        </w:rPr>
        <w:t>strijās</w:t>
      </w:r>
      <w:r w:rsidRPr="006E5888">
        <w:rPr>
          <w:szCs w:val="24"/>
        </w:rPr>
        <w:t xml:space="preserve"> vienotu pieeju minēto izdevumu noteikšanai un akcentētu atbildību par budžeta līdzekļu efektīvu izmantošanu, izmantojams šim mērķim sagatavotais metodiskais materiāls, kurā sniegti principi un ieteikumi – Valsts pārvaldes iestādes administratīvo un tēla veidošanas pasākumu nodrošināšanas izdevumu vadlīnijas (</w:t>
      </w:r>
      <w:r w:rsidR="00217075" w:rsidRPr="006E5888">
        <w:rPr>
          <w:szCs w:val="24"/>
        </w:rPr>
        <w:t xml:space="preserve">informatīvā </w:t>
      </w:r>
      <w:r w:rsidRPr="006E5888">
        <w:rPr>
          <w:szCs w:val="24"/>
        </w:rPr>
        <w:t xml:space="preserve">ziņojuma </w:t>
      </w:r>
      <w:r w:rsidR="00217075" w:rsidRPr="006E5888">
        <w:rPr>
          <w:szCs w:val="24"/>
        </w:rPr>
        <w:t>p</w:t>
      </w:r>
      <w:r w:rsidRPr="006E5888">
        <w:rPr>
          <w:szCs w:val="24"/>
        </w:rPr>
        <w:t>ielikums Nr.</w:t>
      </w:r>
      <w:r w:rsidR="00DE4F07" w:rsidRPr="006E5888">
        <w:rPr>
          <w:szCs w:val="24"/>
        </w:rPr>
        <w:t>8</w:t>
      </w:r>
      <w:r w:rsidRPr="006E5888">
        <w:rPr>
          <w:szCs w:val="24"/>
        </w:rPr>
        <w:t xml:space="preserve">).  </w:t>
      </w:r>
    </w:p>
    <w:p w:rsidR="001F29C4" w:rsidRPr="006E5888" w:rsidRDefault="001F29C4" w:rsidP="001F29C4">
      <w:pPr>
        <w:ind w:firstLine="709"/>
        <w:jc w:val="both"/>
        <w:rPr>
          <w:sz w:val="8"/>
          <w:szCs w:val="8"/>
        </w:rPr>
      </w:pPr>
    </w:p>
    <w:p w:rsidR="0066589B" w:rsidRPr="006E5888" w:rsidRDefault="0006544C" w:rsidP="001F29C4">
      <w:pPr>
        <w:pStyle w:val="Heading2"/>
        <w:rPr>
          <w:rFonts w:ascii="Times New Roman" w:hAnsi="Times New Roman" w:cs="Times New Roman"/>
          <w:b/>
          <w:sz w:val="24"/>
          <w:szCs w:val="24"/>
        </w:rPr>
      </w:pPr>
      <w:r w:rsidRPr="006E5888">
        <w:rPr>
          <w:rFonts w:ascii="Times New Roman" w:hAnsi="Times New Roman" w:cs="Times New Roman"/>
          <w:b/>
          <w:color w:val="auto"/>
          <w:sz w:val="24"/>
          <w:szCs w:val="24"/>
        </w:rPr>
        <w:t xml:space="preserve"> </w:t>
      </w:r>
      <w:bookmarkStart w:id="6" w:name="_Toc451340344"/>
      <w:r w:rsidR="00F72914" w:rsidRPr="006E5888">
        <w:rPr>
          <w:rFonts w:ascii="Times New Roman" w:hAnsi="Times New Roman" w:cs="Times New Roman"/>
          <w:b/>
          <w:color w:val="auto"/>
          <w:sz w:val="24"/>
          <w:szCs w:val="24"/>
        </w:rPr>
        <w:t xml:space="preserve">4.3. </w:t>
      </w:r>
      <w:r w:rsidRPr="006E5888">
        <w:rPr>
          <w:rFonts w:ascii="Times New Roman" w:hAnsi="Times New Roman" w:cs="Times New Roman"/>
          <w:b/>
          <w:color w:val="auto"/>
          <w:sz w:val="24"/>
          <w:szCs w:val="24"/>
        </w:rPr>
        <w:t>VALSTS BUDŽETA ATTĪSTĪBAS DAĻAS ANALĪZE</w:t>
      </w:r>
      <w:bookmarkEnd w:id="6"/>
    </w:p>
    <w:p w:rsidR="0066589B" w:rsidRPr="006E5888" w:rsidRDefault="0066589B" w:rsidP="00EB2E98">
      <w:pPr>
        <w:tabs>
          <w:tab w:val="left" w:pos="1010"/>
        </w:tabs>
        <w:spacing w:before="120"/>
        <w:ind w:firstLine="709"/>
        <w:jc w:val="both"/>
        <w:rPr>
          <w:szCs w:val="24"/>
        </w:rPr>
      </w:pPr>
      <w:r w:rsidRPr="006E5888">
        <w:rPr>
          <w:szCs w:val="24"/>
        </w:rPr>
        <w:t xml:space="preserve">Veicot izdevumu pārskatīšanu, tika veikta </w:t>
      </w:r>
      <w:r w:rsidR="00EB2E98" w:rsidRPr="006E5888">
        <w:rPr>
          <w:szCs w:val="24"/>
        </w:rPr>
        <w:t>apstākļu aktualizācijas analīze (piemēram, aktualizētas IKP prognozes vai ar normatīvo aktu terminētu pasākumu finansēšanas pārtraukšana u.tml.), kā arī JPI (attīstības daļai) piešķirtā finansējum</w:t>
      </w:r>
      <w:r w:rsidR="00A13468" w:rsidRPr="006E5888">
        <w:rPr>
          <w:szCs w:val="24"/>
        </w:rPr>
        <w:t>a</w:t>
      </w:r>
      <w:r w:rsidR="00EB2E98" w:rsidRPr="006E5888">
        <w:rPr>
          <w:szCs w:val="24"/>
        </w:rPr>
        <w:t xml:space="preserve"> </w:t>
      </w:r>
      <w:r w:rsidRPr="006E5888">
        <w:rPr>
          <w:szCs w:val="24"/>
        </w:rPr>
        <w:t>anal</w:t>
      </w:r>
      <w:r w:rsidR="00EB2E98" w:rsidRPr="006E5888">
        <w:rPr>
          <w:szCs w:val="24"/>
        </w:rPr>
        <w:t>īze</w:t>
      </w:r>
      <w:r w:rsidRPr="006E5888">
        <w:rPr>
          <w:szCs w:val="24"/>
        </w:rPr>
        <w:t xml:space="preserve">. </w:t>
      </w:r>
    </w:p>
    <w:p w:rsidR="00AC4939" w:rsidRPr="006E5888" w:rsidRDefault="00AC4939" w:rsidP="00AC4939">
      <w:pPr>
        <w:tabs>
          <w:tab w:val="left" w:pos="1010"/>
        </w:tabs>
        <w:spacing w:before="120"/>
        <w:jc w:val="right"/>
        <w:rPr>
          <w:szCs w:val="24"/>
        </w:rPr>
      </w:pPr>
      <w:r w:rsidRPr="006E5888">
        <w:rPr>
          <w:szCs w:val="24"/>
        </w:rPr>
        <w:t>Tabula Nr.1</w:t>
      </w:r>
      <w:r w:rsidR="00824CAC" w:rsidRPr="006E5888">
        <w:rPr>
          <w:szCs w:val="24"/>
        </w:rPr>
        <w:t>6</w:t>
      </w:r>
    </w:p>
    <w:p w:rsidR="00EB2E98" w:rsidRPr="006E5888" w:rsidRDefault="00AC4939" w:rsidP="00AC4939">
      <w:pPr>
        <w:spacing w:before="120" w:after="120"/>
        <w:ind w:firstLine="567"/>
        <w:jc w:val="center"/>
        <w:rPr>
          <w:rFonts w:cs="Times New Roman"/>
          <w:szCs w:val="24"/>
        </w:rPr>
      </w:pPr>
      <w:r w:rsidRPr="006E5888">
        <w:rPr>
          <w:rFonts w:cs="Times New Roman"/>
          <w:szCs w:val="24"/>
        </w:rPr>
        <w:t xml:space="preserve">Kopsavilkums par </w:t>
      </w:r>
      <w:r w:rsidR="00F6467D" w:rsidRPr="006E5888">
        <w:rPr>
          <w:rFonts w:cs="Times New Roman"/>
          <w:szCs w:val="24"/>
        </w:rPr>
        <w:t>valsts budžeta attīstības daļas</w:t>
      </w:r>
      <w:r w:rsidRPr="006E5888">
        <w:rPr>
          <w:rFonts w:cs="Times New Roman"/>
          <w:szCs w:val="24"/>
        </w:rPr>
        <w:t xml:space="preserve"> analīzi</w:t>
      </w:r>
    </w:p>
    <w:tbl>
      <w:tblPr>
        <w:tblW w:w="9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4962"/>
        <w:gridCol w:w="1780"/>
        <w:gridCol w:w="1480"/>
      </w:tblGrid>
      <w:tr w:rsidR="009616C1" w:rsidRPr="006E5888" w:rsidTr="006519C3">
        <w:trPr>
          <w:trHeight w:val="20"/>
        </w:trPr>
        <w:tc>
          <w:tcPr>
            <w:tcW w:w="1256" w:type="dxa"/>
            <w:shd w:val="clear" w:color="auto" w:fill="D9D9D9" w:themeFill="background1" w:themeFillShade="D9"/>
          </w:tcPr>
          <w:p w:rsidR="009616C1" w:rsidRPr="006E5888" w:rsidRDefault="006519C3" w:rsidP="006519C3">
            <w:pPr>
              <w:jc w:val="center"/>
              <w:rPr>
                <w:rFonts w:eastAsia="Times New Roman" w:cs="Times New Roman"/>
                <w:b/>
                <w:bCs/>
                <w:color w:val="000000"/>
                <w:szCs w:val="24"/>
                <w:lang w:eastAsia="lv-LV"/>
              </w:rPr>
            </w:pPr>
            <w:r w:rsidRPr="006E5888">
              <w:rPr>
                <w:rFonts w:eastAsia="Times New Roman" w:cs="Times New Roman"/>
                <w:b/>
                <w:bCs/>
                <w:color w:val="000000"/>
                <w:szCs w:val="24"/>
                <w:lang w:eastAsia="lv-LV"/>
              </w:rPr>
              <w:t>Ministrija</w:t>
            </w:r>
          </w:p>
        </w:tc>
        <w:tc>
          <w:tcPr>
            <w:tcW w:w="4962" w:type="dxa"/>
            <w:shd w:val="clear" w:color="auto" w:fill="D9D9D9" w:themeFill="background1" w:themeFillShade="D9"/>
            <w:noWrap/>
            <w:vAlign w:val="bottom"/>
            <w:hideMark/>
          </w:tcPr>
          <w:p w:rsidR="009616C1" w:rsidRPr="006E5888" w:rsidRDefault="006519C3" w:rsidP="006519C3">
            <w:pPr>
              <w:jc w:val="center"/>
              <w:rPr>
                <w:rFonts w:eastAsia="Times New Roman" w:cs="Times New Roman"/>
                <w:b/>
                <w:bCs/>
                <w:color w:val="000000"/>
                <w:szCs w:val="24"/>
                <w:lang w:eastAsia="lv-LV"/>
              </w:rPr>
            </w:pPr>
            <w:r w:rsidRPr="006E5888">
              <w:rPr>
                <w:rFonts w:cs="Times New Roman"/>
                <w:b/>
                <w:szCs w:val="24"/>
              </w:rPr>
              <w:t>Budžeta programma/apakšprogramma</w:t>
            </w:r>
          </w:p>
        </w:tc>
        <w:tc>
          <w:tcPr>
            <w:tcW w:w="1780" w:type="dxa"/>
            <w:shd w:val="clear" w:color="auto" w:fill="D9D9D9" w:themeFill="background1" w:themeFillShade="D9"/>
            <w:noWrap/>
            <w:vAlign w:val="bottom"/>
            <w:hideMark/>
          </w:tcPr>
          <w:p w:rsidR="009616C1" w:rsidRPr="006E5888" w:rsidRDefault="009616C1" w:rsidP="006519C3">
            <w:pPr>
              <w:jc w:val="center"/>
              <w:rPr>
                <w:rFonts w:eastAsia="Times New Roman" w:cs="Times New Roman"/>
                <w:b/>
                <w:bCs/>
                <w:color w:val="000000"/>
                <w:szCs w:val="24"/>
                <w:lang w:eastAsia="lv-LV"/>
              </w:rPr>
            </w:pPr>
            <w:r w:rsidRPr="006E5888">
              <w:rPr>
                <w:rFonts w:eastAsia="Times New Roman" w:cs="Times New Roman"/>
                <w:b/>
                <w:bCs/>
                <w:color w:val="000000"/>
                <w:szCs w:val="24"/>
                <w:lang w:eastAsia="lv-LV"/>
              </w:rPr>
              <w:t>2017</w:t>
            </w:r>
          </w:p>
        </w:tc>
        <w:tc>
          <w:tcPr>
            <w:tcW w:w="1480" w:type="dxa"/>
            <w:shd w:val="clear" w:color="auto" w:fill="D9D9D9" w:themeFill="background1" w:themeFillShade="D9"/>
            <w:noWrap/>
            <w:vAlign w:val="bottom"/>
            <w:hideMark/>
          </w:tcPr>
          <w:p w:rsidR="009616C1" w:rsidRPr="006E5888" w:rsidRDefault="009616C1" w:rsidP="006519C3">
            <w:pPr>
              <w:jc w:val="center"/>
              <w:rPr>
                <w:rFonts w:eastAsia="Times New Roman" w:cs="Times New Roman"/>
                <w:b/>
                <w:bCs/>
                <w:color w:val="000000"/>
                <w:szCs w:val="24"/>
                <w:lang w:eastAsia="lv-LV"/>
              </w:rPr>
            </w:pPr>
            <w:r w:rsidRPr="006E5888">
              <w:rPr>
                <w:rFonts w:eastAsia="Times New Roman" w:cs="Times New Roman"/>
                <w:b/>
                <w:bCs/>
                <w:color w:val="000000"/>
                <w:szCs w:val="24"/>
                <w:lang w:eastAsia="lv-LV"/>
              </w:rPr>
              <w:t>2018</w:t>
            </w:r>
          </w:p>
        </w:tc>
      </w:tr>
      <w:tr w:rsidR="009616C1" w:rsidRPr="006E5888" w:rsidTr="006519C3">
        <w:trPr>
          <w:trHeight w:val="20"/>
        </w:trPr>
        <w:tc>
          <w:tcPr>
            <w:tcW w:w="6218" w:type="dxa"/>
            <w:gridSpan w:val="2"/>
          </w:tcPr>
          <w:p w:rsidR="009616C1" w:rsidRPr="006E5888" w:rsidRDefault="009616C1" w:rsidP="006519C3">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Apstākļu aktualizācija</w:t>
            </w:r>
          </w:p>
        </w:tc>
        <w:tc>
          <w:tcPr>
            <w:tcW w:w="1780" w:type="dxa"/>
            <w:shd w:val="clear" w:color="auto" w:fill="auto"/>
            <w:noWrap/>
            <w:vAlign w:val="center"/>
            <w:hideMark/>
          </w:tcPr>
          <w:p w:rsidR="009616C1" w:rsidRPr="006E5888" w:rsidRDefault="009616C1" w:rsidP="006519C3">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21 684 364</w:t>
            </w:r>
          </w:p>
        </w:tc>
        <w:tc>
          <w:tcPr>
            <w:tcW w:w="1480" w:type="dxa"/>
            <w:shd w:val="clear" w:color="auto" w:fill="auto"/>
            <w:noWrap/>
            <w:vAlign w:val="center"/>
            <w:hideMark/>
          </w:tcPr>
          <w:p w:rsidR="009616C1" w:rsidRPr="006E5888" w:rsidRDefault="009616C1" w:rsidP="006519C3">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20 182 112</w:t>
            </w:r>
          </w:p>
        </w:tc>
      </w:tr>
      <w:tr w:rsidR="009616C1" w:rsidRPr="006E5888" w:rsidTr="006519C3">
        <w:trPr>
          <w:trHeight w:val="20"/>
        </w:trPr>
        <w:tc>
          <w:tcPr>
            <w:tcW w:w="1256" w:type="dxa"/>
            <w:vAlign w:val="center"/>
          </w:tcPr>
          <w:p w:rsidR="009616C1" w:rsidRPr="006E5888" w:rsidRDefault="009616C1" w:rsidP="006519C3">
            <w:pPr>
              <w:ind w:firstLineChars="11" w:firstLine="26"/>
              <w:rPr>
                <w:rFonts w:eastAsia="Times New Roman" w:cs="Times New Roman"/>
                <w:color w:val="000000"/>
                <w:szCs w:val="24"/>
                <w:lang w:eastAsia="lv-LV"/>
              </w:rPr>
            </w:pPr>
            <w:proofErr w:type="spellStart"/>
            <w:r w:rsidRPr="006E5888">
              <w:rPr>
                <w:rFonts w:eastAsia="Times New Roman" w:cs="Times New Roman"/>
                <w:b/>
                <w:bCs/>
                <w:color w:val="000000"/>
                <w:szCs w:val="24"/>
                <w:lang w:eastAsia="lv-LV"/>
              </w:rPr>
              <w:t>A</w:t>
            </w:r>
            <w:r w:rsidR="00C24E4B" w:rsidRPr="006E5888">
              <w:rPr>
                <w:rFonts w:eastAsia="Times New Roman" w:cs="Times New Roman"/>
                <w:b/>
                <w:bCs/>
                <w:color w:val="000000"/>
                <w:szCs w:val="24"/>
                <w:lang w:eastAsia="lv-LV"/>
              </w:rPr>
              <w:t>i</w:t>
            </w:r>
            <w:r w:rsidRPr="006E5888">
              <w:rPr>
                <w:rFonts w:eastAsia="Times New Roman" w:cs="Times New Roman"/>
                <w:b/>
                <w:bCs/>
                <w:color w:val="000000"/>
                <w:szCs w:val="24"/>
                <w:lang w:eastAsia="lv-LV"/>
              </w:rPr>
              <w:t>M</w:t>
            </w:r>
            <w:proofErr w:type="spellEnd"/>
          </w:p>
        </w:tc>
        <w:tc>
          <w:tcPr>
            <w:tcW w:w="4962" w:type="dxa"/>
            <w:shd w:val="clear" w:color="auto" w:fill="auto"/>
            <w:noWrap/>
            <w:vAlign w:val="bottom"/>
            <w:hideMark/>
          </w:tcPr>
          <w:p w:rsidR="009616C1" w:rsidRPr="006E5888" w:rsidRDefault="009616C1" w:rsidP="006519C3">
            <w:pPr>
              <w:jc w:val="both"/>
              <w:rPr>
                <w:rFonts w:eastAsia="Times New Roman" w:cs="Times New Roman"/>
                <w:color w:val="000000"/>
                <w:szCs w:val="24"/>
                <w:lang w:eastAsia="lv-LV"/>
              </w:rPr>
            </w:pPr>
            <w:r w:rsidRPr="006E5888">
              <w:rPr>
                <w:rFonts w:eastAsia="Times New Roman" w:cs="Times New Roman"/>
                <w:color w:val="000000"/>
                <w:szCs w:val="24"/>
                <w:lang w:eastAsia="lv-LV"/>
              </w:rPr>
              <w:t>AM resors kopā</w:t>
            </w:r>
          </w:p>
        </w:tc>
        <w:tc>
          <w:tcPr>
            <w:tcW w:w="1780" w:type="dxa"/>
            <w:shd w:val="clear" w:color="auto" w:fill="auto"/>
            <w:noWrap/>
            <w:vAlign w:val="center"/>
            <w:hideMark/>
          </w:tcPr>
          <w:p w:rsidR="009616C1" w:rsidRPr="006E5888" w:rsidRDefault="009616C1" w:rsidP="006519C3">
            <w:pPr>
              <w:jc w:val="right"/>
              <w:rPr>
                <w:rFonts w:eastAsia="Times New Roman" w:cs="Times New Roman"/>
                <w:color w:val="000000"/>
                <w:szCs w:val="24"/>
                <w:lang w:eastAsia="lv-LV"/>
              </w:rPr>
            </w:pPr>
            <w:r w:rsidRPr="006E5888">
              <w:rPr>
                <w:rFonts w:eastAsia="Times New Roman" w:cs="Times New Roman"/>
                <w:color w:val="000000"/>
                <w:szCs w:val="24"/>
                <w:lang w:eastAsia="lv-LV"/>
              </w:rPr>
              <w:t>15 732 878</w:t>
            </w:r>
          </w:p>
        </w:tc>
        <w:tc>
          <w:tcPr>
            <w:tcW w:w="1480" w:type="dxa"/>
            <w:shd w:val="clear" w:color="auto" w:fill="auto"/>
            <w:noWrap/>
            <w:vAlign w:val="center"/>
            <w:hideMark/>
          </w:tcPr>
          <w:p w:rsidR="009616C1" w:rsidRPr="006E5888" w:rsidRDefault="009616C1" w:rsidP="006519C3">
            <w:pPr>
              <w:jc w:val="right"/>
              <w:rPr>
                <w:rFonts w:eastAsia="Times New Roman" w:cs="Times New Roman"/>
                <w:color w:val="000000"/>
                <w:szCs w:val="24"/>
                <w:lang w:eastAsia="lv-LV"/>
              </w:rPr>
            </w:pPr>
            <w:r w:rsidRPr="006E5888">
              <w:rPr>
                <w:rFonts w:eastAsia="Times New Roman" w:cs="Times New Roman"/>
                <w:color w:val="000000"/>
                <w:szCs w:val="24"/>
                <w:lang w:eastAsia="lv-LV"/>
              </w:rPr>
              <w:t>18 313 000</w:t>
            </w:r>
          </w:p>
        </w:tc>
      </w:tr>
      <w:tr w:rsidR="009616C1" w:rsidRPr="006E5888" w:rsidTr="006519C3">
        <w:trPr>
          <w:trHeight w:val="20"/>
        </w:trPr>
        <w:tc>
          <w:tcPr>
            <w:tcW w:w="1256" w:type="dxa"/>
            <w:vMerge w:val="restart"/>
            <w:vAlign w:val="center"/>
          </w:tcPr>
          <w:p w:rsidR="009616C1" w:rsidRPr="006E5888" w:rsidRDefault="009616C1" w:rsidP="006519C3">
            <w:pPr>
              <w:rPr>
                <w:rFonts w:eastAsia="Times New Roman" w:cs="Times New Roman"/>
                <w:color w:val="000000"/>
                <w:szCs w:val="24"/>
                <w:lang w:eastAsia="lv-LV"/>
              </w:rPr>
            </w:pPr>
            <w:r w:rsidRPr="006E5888">
              <w:rPr>
                <w:rFonts w:eastAsia="Times New Roman" w:cs="Times New Roman"/>
                <w:b/>
                <w:bCs/>
                <w:color w:val="000000"/>
                <w:szCs w:val="24"/>
                <w:lang w:eastAsia="lv-LV"/>
              </w:rPr>
              <w:t>IZM</w:t>
            </w:r>
          </w:p>
        </w:tc>
        <w:tc>
          <w:tcPr>
            <w:tcW w:w="4962" w:type="dxa"/>
            <w:shd w:val="clear" w:color="auto" w:fill="auto"/>
            <w:noWrap/>
            <w:vAlign w:val="bottom"/>
            <w:hideMark/>
          </w:tcPr>
          <w:p w:rsidR="009616C1" w:rsidRPr="006E5888" w:rsidRDefault="009616C1" w:rsidP="006519C3">
            <w:pPr>
              <w:jc w:val="both"/>
              <w:rPr>
                <w:rFonts w:eastAsia="Times New Roman" w:cs="Times New Roman"/>
                <w:color w:val="000000"/>
                <w:szCs w:val="24"/>
                <w:lang w:eastAsia="lv-LV"/>
              </w:rPr>
            </w:pPr>
            <w:r w:rsidRPr="006E5888">
              <w:rPr>
                <w:rFonts w:eastAsia="Times New Roman" w:cs="Times New Roman"/>
                <w:color w:val="000000"/>
                <w:szCs w:val="24"/>
                <w:lang w:eastAsia="lv-LV"/>
              </w:rPr>
              <w:t>02.01.00 Profesionālās izglītības programmu īstenošana</w:t>
            </w:r>
          </w:p>
        </w:tc>
        <w:tc>
          <w:tcPr>
            <w:tcW w:w="1780" w:type="dxa"/>
            <w:shd w:val="clear" w:color="auto" w:fill="auto"/>
            <w:noWrap/>
            <w:vAlign w:val="center"/>
            <w:hideMark/>
          </w:tcPr>
          <w:p w:rsidR="009616C1" w:rsidRPr="006E5888" w:rsidRDefault="009616C1" w:rsidP="006519C3">
            <w:pPr>
              <w:jc w:val="right"/>
              <w:rPr>
                <w:rFonts w:eastAsia="Times New Roman" w:cs="Times New Roman"/>
                <w:color w:val="000000"/>
                <w:szCs w:val="24"/>
                <w:lang w:eastAsia="lv-LV"/>
              </w:rPr>
            </w:pPr>
            <w:r w:rsidRPr="006E5888">
              <w:rPr>
                <w:rFonts w:eastAsia="Times New Roman" w:cs="Times New Roman"/>
                <w:color w:val="000000"/>
                <w:szCs w:val="24"/>
                <w:lang w:eastAsia="lv-LV"/>
              </w:rPr>
              <w:t>1 255 400</w:t>
            </w:r>
          </w:p>
        </w:tc>
        <w:tc>
          <w:tcPr>
            <w:tcW w:w="1480" w:type="dxa"/>
            <w:shd w:val="clear" w:color="auto" w:fill="auto"/>
            <w:noWrap/>
            <w:vAlign w:val="center"/>
            <w:hideMark/>
          </w:tcPr>
          <w:p w:rsidR="009616C1" w:rsidRPr="006E5888" w:rsidRDefault="009616C1" w:rsidP="006519C3">
            <w:pPr>
              <w:jc w:val="right"/>
              <w:rPr>
                <w:rFonts w:eastAsia="Times New Roman" w:cs="Times New Roman"/>
                <w:color w:val="000000"/>
                <w:szCs w:val="24"/>
                <w:lang w:eastAsia="lv-LV"/>
              </w:rPr>
            </w:pPr>
            <w:r w:rsidRPr="006E5888">
              <w:rPr>
                <w:rFonts w:eastAsia="Times New Roman" w:cs="Times New Roman"/>
                <w:color w:val="000000"/>
                <w:szCs w:val="24"/>
                <w:lang w:eastAsia="lv-LV"/>
              </w:rPr>
              <w:t>1 255 400</w:t>
            </w:r>
          </w:p>
        </w:tc>
      </w:tr>
      <w:tr w:rsidR="009616C1" w:rsidRPr="006E5888" w:rsidTr="006519C3">
        <w:trPr>
          <w:trHeight w:val="20"/>
        </w:trPr>
        <w:tc>
          <w:tcPr>
            <w:tcW w:w="1256" w:type="dxa"/>
            <w:vMerge/>
            <w:vAlign w:val="center"/>
          </w:tcPr>
          <w:p w:rsidR="009616C1" w:rsidRPr="006E5888" w:rsidRDefault="009616C1" w:rsidP="006519C3">
            <w:pPr>
              <w:ind w:firstLineChars="200" w:firstLine="480"/>
              <w:rPr>
                <w:rFonts w:eastAsia="Times New Roman" w:cs="Times New Roman"/>
                <w:color w:val="000000"/>
                <w:szCs w:val="24"/>
                <w:lang w:eastAsia="lv-LV"/>
              </w:rPr>
            </w:pPr>
          </w:p>
        </w:tc>
        <w:tc>
          <w:tcPr>
            <w:tcW w:w="4962" w:type="dxa"/>
            <w:shd w:val="clear" w:color="auto" w:fill="auto"/>
            <w:noWrap/>
            <w:vAlign w:val="bottom"/>
            <w:hideMark/>
          </w:tcPr>
          <w:p w:rsidR="009616C1" w:rsidRPr="006E5888" w:rsidRDefault="009616C1" w:rsidP="006519C3">
            <w:pPr>
              <w:jc w:val="both"/>
              <w:rPr>
                <w:rFonts w:eastAsia="Times New Roman" w:cs="Times New Roman"/>
                <w:color w:val="000000"/>
                <w:szCs w:val="24"/>
                <w:lang w:eastAsia="lv-LV"/>
              </w:rPr>
            </w:pPr>
            <w:r w:rsidRPr="006E5888">
              <w:rPr>
                <w:rFonts w:eastAsia="Times New Roman" w:cs="Times New Roman"/>
                <w:color w:val="000000"/>
                <w:szCs w:val="24"/>
                <w:lang w:eastAsia="lv-LV"/>
              </w:rPr>
              <w:t>09.23.00 Valsta ilgtermiņa saistības sportā – dotācijas Latvijas Olimpiskajai komitejai (LOK) – valsts galvoto aizdevumu atmaksai</w:t>
            </w:r>
          </w:p>
        </w:tc>
        <w:tc>
          <w:tcPr>
            <w:tcW w:w="1780" w:type="dxa"/>
            <w:shd w:val="clear" w:color="auto" w:fill="auto"/>
            <w:noWrap/>
            <w:vAlign w:val="center"/>
            <w:hideMark/>
          </w:tcPr>
          <w:p w:rsidR="009616C1" w:rsidRPr="006E5888" w:rsidRDefault="009616C1" w:rsidP="006519C3">
            <w:pPr>
              <w:jc w:val="right"/>
              <w:rPr>
                <w:rFonts w:eastAsia="Times New Roman" w:cs="Times New Roman"/>
                <w:color w:val="000000"/>
                <w:szCs w:val="24"/>
                <w:lang w:eastAsia="lv-LV"/>
              </w:rPr>
            </w:pPr>
            <w:r w:rsidRPr="006E5888">
              <w:rPr>
                <w:rFonts w:eastAsia="Times New Roman" w:cs="Times New Roman"/>
                <w:color w:val="000000"/>
                <w:szCs w:val="24"/>
                <w:lang w:eastAsia="lv-LV"/>
              </w:rPr>
              <w:t>1 113 481</w:t>
            </w:r>
          </w:p>
        </w:tc>
        <w:tc>
          <w:tcPr>
            <w:tcW w:w="1480" w:type="dxa"/>
            <w:shd w:val="clear" w:color="auto" w:fill="auto"/>
            <w:noWrap/>
            <w:vAlign w:val="center"/>
            <w:hideMark/>
          </w:tcPr>
          <w:p w:rsidR="009616C1" w:rsidRPr="006E5888" w:rsidRDefault="009616C1" w:rsidP="006519C3">
            <w:pPr>
              <w:jc w:val="right"/>
              <w:rPr>
                <w:rFonts w:eastAsia="Times New Roman" w:cs="Times New Roman"/>
                <w:color w:val="000000"/>
                <w:szCs w:val="24"/>
                <w:lang w:eastAsia="lv-LV"/>
              </w:rPr>
            </w:pPr>
            <w:r w:rsidRPr="006E5888">
              <w:rPr>
                <w:rFonts w:eastAsia="Times New Roman" w:cs="Times New Roman"/>
                <w:color w:val="000000"/>
                <w:szCs w:val="24"/>
                <w:lang w:eastAsia="lv-LV"/>
              </w:rPr>
              <w:t>284 244</w:t>
            </w:r>
          </w:p>
        </w:tc>
      </w:tr>
      <w:tr w:rsidR="009616C1" w:rsidRPr="006E5888" w:rsidTr="006519C3">
        <w:trPr>
          <w:trHeight w:val="20"/>
        </w:trPr>
        <w:tc>
          <w:tcPr>
            <w:tcW w:w="1256" w:type="dxa"/>
            <w:vMerge/>
            <w:vAlign w:val="center"/>
          </w:tcPr>
          <w:p w:rsidR="009616C1" w:rsidRPr="006E5888" w:rsidRDefault="009616C1" w:rsidP="006519C3">
            <w:pPr>
              <w:ind w:firstLineChars="200" w:firstLine="480"/>
              <w:rPr>
                <w:rFonts w:eastAsia="Times New Roman" w:cs="Times New Roman"/>
                <w:color w:val="000000"/>
                <w:szCs w:val="24"/>
                <w:lang w:eastAsia="lv-LV"/>
              </w:rPr>
            </w:pPr>
          </w:p>
        </w:tc>
        <w:tc>
          <w:tcPr>
            <w:tcW w:w="4962" w:type="dxa"/>
            <w:shd w:val="clear" w:color="auto" w:fill="auto"/>
            <w:noWrap/>
            <w:vAlign w:val="bottom"/>
            <w:hideMark/>
          </w:tcPr>
          <w:p w:rsidR="009616C1" w:rsidRPr="006E5888" w:rsidRDefault="009616C1" w:rsidP="006519C3">
            <w:pPr>
              <w:jc w:val="both"/>
              <w:rPr>
                <w:rFonts w:eastAsia="Times New Roman" w:cs="Times New Roman"/>
                <w:color w:val="000000"/>
                <w:szCs w:val="24"/>
                <w:lang w:eastAsia="lv-LV"/>
              </w:rPr>
            </w:pPr>
            <w:r w:rsidRPr="006E5888">
              <w:rPr>
                <w:rFonts w:eastAsia="Times New Roman" w:cs="Times New Roman"/>
                <w:color w:val="000000"/>
                <w:szCs w:val="24"/>
                <w:lang w:eastAsia="lv-LV"/>
              </w:rPr>
              <w:t>01.07.00 Dotācija brīvpusdienu nodrošināšanai 1., 2. un 3.klases izglītojamiem</w:t>
            </w:r>
          </w:p>
        </w:tc>
        <w:tc>
          <w:tcPr>
            <w:tcW w:w="1780" w:type="dxa"/>
            <w:shd w:val="clear" w:color="auto" w:fill="auto"/>
            <w:noWrap/>
            <w:vAlign w:val="center"/>
            <w:hideMark/>
          </w:tcPr>
          <w:p w:rsidR="009616C1" w:rsidRPr="006E5888" w:rsidRDefault="009616C1" w:rsidP="006519C3">
            <w:pPr>
              <w:jc w:val="right"/>
              <w:rPr>
                <w:rFonts w:eastAsia="Times New Roman" w:cs="Times New Roman"/>
                <w:color w:val="000000"/>
                <w:szCs w:val="24"/>
                <w:lang w:eastAsia="lv-LV"/>
              </w:rPr>
            </w:pPr>
            <w:r w:rsidRPr="006E5888">
              <w:rPr>
                <w:rFonts w:eastAsia="Times New Roman" w:cs="Times New Roman"/>
                <w:color w:val="000000"/>
                <w:szCs w:val="24"/>
                <w:lang w:eastAsia="lv-LV"/>
              </w:rPr>
              <w:t>417 115</w:t>
            </w:r>
          </w:p>
        </w:tc>
        <w:tc>
          <w:tcPr>
            <w:tcW w:w="1480" w:type="dxa"/>
            <w:shd w:val="clear" w:color="auto" w:fill="auto"/>
            <w:noWrap/>
            <w:vAlign w:val="center"/>
            <w:hideMark/>
          </w:tcPr>
          <w:p w:rsidR="009616C1" w:rsidRPr="006E5888" w:rsidRDefault="009616C1" w:rsidP="006519C3">
            <w:pPr>
              <w:jc w:val="right"/>
              <w:rPr>
                <w:rFonts w:eastAsia="Times New Roman" w:cs="Times New Roman"/>
                <w:color w:val="000000"/>
                <w:szCs w:val="24"/>
                <w:lang w:eastAsia="lv-LV"/>
              </w:rPr>
            </w:pPr>
            <w:r w:rsidRPr="006E5888">
              <w:rPr>
                <w:rFonts w:eastAsia="Times New Roman" w:cs="Times New Roman"/>
                <w:color w:val="000000"/>
                <w:szCs w:val="24"/>
                <w:lang w:eastAsia="lv-LV"/>
              </w:rPr>
              <w:t>309 468</w:t>
            </w:r>
          </w:p>
        </w:tc>
      </w:tr>
      <w:tr w:rsidR="009616C1" w:rsidRPr="006E5888" w:rsidTr="006519C3">
        <w:trPr>
          <w:trHeight w:val="20"/>
        </w:trPr>
        <w:tc>
          <w:tcPr>
            <w:tcW w:w="1256" w:type="dxa"/>
            <w:vAlign w:val="center"/>
          </w:tcPr>
          <w:p w:rsidR="009616C1" w:rsidRPr="006E5888" w:rsidRDefault="006519C3" w:rsidP="006519C3">
            <w:pPr>
              <w:rPr>
                <w:rFonts w:eastAsia="Times New Roman" w:cs="Times New Roman"/>
                <w:color w:val="000000"/>
                <w:szCs w:val="24"/>
                <w:lang w:eastAsia="lv-LV"/>
              </w:rPr>
            </w:pPr>
            <w:r w:rsidRPr="006E5888">
              <w:rPr>
                <w:rFonts w:eastAsia="Times New Roman" w:cs="Times New Roman"/>
                <w:b/>
                <w:bCs/>
                <w:color w:val="000000"/>
                <w:szCs w:val="24"/>
                <w:lang w:eastAsia="lv-LV"/>
              </w:rPr>
              <w:t>FM</w:t>
            </w:r>
          </w:p>
        </w:tc>
        <w:tc>
          <w:tcPr>
            <w:tcW w:w="4962" w:type="dxa"/>
            <w:shd w:val="clear" w:color="auto" w:fill="auto"/>
            <w:noWrap/>
            <w:vAlign w:val="bottom"/>
            <w:hideMark/>
          </w:tcPr>
          <w:p w:rsidR="009616C1" w:rsidRPr="006E5888" w:rsidRDefault="009616C1" w:rsidP="006519C3">
            <w:pPr>
              <w:jc w:val="both"/>
              <w:rPr>
                <w:rFonts w:eastAsia="Times New Roman" w:cs="Times New Roman"/>
                <w:color w:val="000000"/>
                <w:szCs w:val="24"/>
                <w:lang w:eastAsia="lv-LV"/>
              </w:rPr>
            </w:pPr>
            <w:r w:rsidRPr="006E5888">
              <w:rPr>
                <w:rFonts w:eastAsia="Times New Roman" w:cs="Times New Roman"/>
                <w:color w:val="000000"/>
                <w:szCs w:val="24"/>
                <w:lang w:eastAsia="lv-LV"/>
              </w:rPr>
              <w:t xml:space="preserve">41.13.00 Finansējums VAS </w:t>
            </w:r>
            <w:r w:rsidR="006519C3" w:rsidRPr="006E5888">
              <w:rPr>
                <w:rFonts w:eastAsia="Times New Roman" w:cs="Times New Roman"/>
                <w:color w:val="000000"/>
                <w:szCs w:val="24"/>
                <w:lang w:eastAsia="lv-LV"/>
              </w:rPr>
              <w:t>“</w:t>
            </w:r>
            <w:r w:rsidRPr="006E5888">
              <w:rPr>
                <w:rFonts w:eastAsia="Times New Roman" w:cs="Times New Roman"/>
                <w:color w:val="000000"/>
                <w:szCs w:val="24"/>
                <w:lang w:eastAsia="lv-LV"/>
              </w:rPr>
              <w:t>Valsts nekustamie īpašumi</w:t>
            </w:r>
            <w:r w:rsidR="006519C3" w:rsidRPr="006E5888">
              <w:rPr>
                <w:rFonts w:eastAsia="Times New Roman" w:cs="Times New Roman"/>
                <w:color w:val="000000"/>
                <w:szCs w:val="24"/>
                <w:lang w:eastAsia="lv-LV"/>
              </w:rPr>
              <w:t>”</w:t>
            </w:r>
            <w:r w:rsidRPr="006E5888">
              <w:rPr>
                <w:rFonts w:eastAsia="Times New Roman" w:cs="Times New Roman"/>
                <w:color w:val="000000"/>
                <w:szCs w:val="24"/>
                <w:lang w:eastAsia="lv-LV"/>
              </w:rPr>
              <w:t xml:space="preserve"> īstenojamiem projektiem un pasākumiem</w:t>
            </w:r>
          </w:p>
        </w:tc>
        <w:tc>
          <w:tcPr>
            <w:tcW w:w="1780" w:type="dxa"/>
            <w:shd w:val="clear" w:color="auto" w:fill="auto"/>
            <w:noWrap/>
            <w:vAlign w:val="center"/>
            <w:hideMark/>
          </w:tcPr>
          <w:p w:rsidR="009616C1" w:rsidRPr="006E5888" w:rsidRDefault="009616C1" w:rsidP="006519C3">
            <w:pPr>
              <w:jc w:val="right"/>
              <w:rPr>
                <w:rFonts w:eastAsia="Times New Roman" w:cs="Times New Roman"/>
                <w:color w:val="000000"/>
                <w:szCs w:val="24"/>
                <w:lang w:eastAsia="lv-LV"/>
              </w:rPr>
            </w:pPr>
            <w:r w:rsidRPr="006E5888">
              <w:rPr>
                <w:rFonts w:eastAsia="Times New Roman" w:cs="Times New Roman"/>
                <w:color w:val="000000"/>
                <w:szCs w:val="24"/>
                <w:lang w:eastAsia="lv-LV"/>
              </w:rPr>
              <w:t>2 354 997</w:t>
            </w:r>
          </w:p>
        </w:tc>
        <w:tc>
          <w:tcPr>
            <w:tcW w:w="1480" w:type="dxa"/>
            <w:shd w:val="clear" w:color="auto" w:fill="auto"/>
            <w:noWrap/>
            <w:vAlign w:val="center"/>
            <w:hideMark/>
          </w:tcPr>
          <w:p w:rsidR="009616C1" w:rsidRPr="006E5888" w:rsidRDefault="009616C1" w:rsidP="006519C3">
            <w:pPr>
              <w:jc w:val="right"/>
              <w:rPr>
                <w:rFonts w:eastAsia="Times New Roman" w:cs="Times New Roman"/>
                <w:color w:val="000000"/>
                <w:szCs w:val="24"/>
                <w:lang w:eastAsia="lv-LV"/>
              </w:rPr>
            </w:pPr>
          </w:p>
        </w:tc>
      </w:tr>
      <w:tr w:rsidR="009616C1" w:rsidRPr="006E5888" w:rsidTr="006519C3">
        <w:trPr>
          <w:trHeight w:val="20"/>
        </w:trPr>
        <w:tc>
          <w:tcPr>
            <w:tcW w:w="1256" w:type="dxa"/>
            <w:vAlign w:val="center"/>
          </w:tcPr>
          <w:p w:rsidR="009616C1" w:rsidRPr="006E5888" w:rsidRDefault="006519C3" w:rsidP="006519C3">
            <w:pPr>
              <w:rPr>
                <w:rFonts w:eastAsia="Times New Roman" w:cs="Times New Roman"/>
                <w:color w:val="000000"/>
                <w:szCs w:val="24"/>
                <w:lang w:eastAsia="lv-LV"/>
              </w:rPr>
            </w:pPr>
            <w:r w:rsidRPr="006E5888">
              <w:rPr>
                <w:rFonts w:eastAsia="Times New Roman" w:cs="Times New Roman"/>
                <w:b/>
                <w:bCs/>
                <w:color w:val="000000"/>
                <w:szCs w:val="24"/>
                <w:lang w:eastAsia="lv-LV"/>
              </w:rPr>
              <w:t>VARAM</w:t>
            </w:r>
          </w:p>
        </w:tc>
        <w:tc>
          <w:tcPr>
            <w:tcW w:w="4962" w:type="dxa"/>
            <w:shd w:val="clear" w:color="auto" w:fill="auto"/>
            <w:noWrap/>
            <w:vAlign w:val="bottom"/>
            <w:hideMark/>
          </w:tcPr>
          <w:p w:rsidR="009616C1" w:rsidRPr="006E5888" w:rsidRDefault="009616C1" w:rsidP="006519C3">
            <w:pPr>
              <w:jc w:val="both"/>
              <w:rPr>
                <w:rFonts w:eastAsia="Times New Roman" w:cs="Times New Roman"/>
                <w:color w:val="000000"/>
                <w:szCs w:val="24"/>
                <w:lang w:eastAsia="lv-LV"/>
              </w:rPr>
            </w:pPr>
            <w:r w:rsidRPr="006E5888">
              <w:rPr>
                <w:rFonts w:eastAsia="Times New Roman" w:cs="Times New Roman"/>
                <w:color w:val="000000"/>
                <w:szCs w:val="24"/>
                <w:lang w:eastAsia="lv-LV"/>
              </w:rPr>
              <w:t>97.00.00 Nozaru vadība un politikas plānošana</w:t>
            </w:r>
          </w:p>
        </w:tc>
        <w:tc>
          <w:tcPr>
            <w:tcW w:w="1780" w:type="dxa"/>
            <w:shd w:val="clear" w:color="auto" w:fill="auto"/>
            <w:noWrap/>
            <w:vAlign w:val="center"/>
            <w:hideMark/>
          </w:tcPr>
          <w:p w:rsidR="009616C1" w:rsidRPr="006E5888" w:rsidRDefault="009616C1" w:rsidP="006519C3">
            <w:pPr>
              <w:jc w:val="right"/>
              <w:rPr>
                <w:rFonts w:eastAsia="Times New Roman" w:cs="Times New Roman"/>
                <w:color w:val="000000"/>
                <w:szCs w:val="24"/>
                <w:lang w:eastAsia="lv-LV"/>
              </w:rPr>
            </w:pPr>
            <w:r w:rsidRPr="006E5888">
              <w:rPr>
                <w:rFonts w:eastAsia="Times New Roman" w:cs="Times New Roman"/>
                <w:color w:val="000000"/>
                <w:szCs w:val="24"/>
                <w:lang w:eastAsia="lv-LV"/>
              </w:rPr>
              <w:t>790 493</w:t>
            </w:r>
          </w:p>
        </w:tc>
        <w:tc>
          <w:tcPr>
            <w:tcW w:w="1480" w:type="dxa"/>
            <w:shd w:val="clear" w:color="auto" w:fill="auto"/>
            <w:noWrap/>
            <w:vAlign w:val="center"/>
            <w:hideMark/>
          </w:tcPr>
          <w:p w:rsidR="009616C1" w:rsidRPr="006E5888" w:rsidRDefault="009616C1" w:rsidP="006519C3">
            <w:pPr>
              <w:jc w:val="right"/>
              <w:rPr>
                <w:rFonts w:eastAsia="Times New Roman" w:cs="Times New Roman"/>
                <w:color w:val="000000"/>
                <w:szCs w:val="24"/>
                <w:lang w:eastAsia="lv-LV"/>
              </w:rPr>
            </w:pPr>
          </w:p>
        </w:tc>
      </w:tr>
      <w:tr w:rsidR="009616C1" w:rsidRPr="006E5888" w:rsidTr="00EF7FEF">
        <w:trPr>
          <w:trHeight w:val="20"/>
        </w:trPr>
        <w:tc>
          <w:tcPr>
            <w:tcW w:w="1256" w:type="dxa"/>
            <w:shd w:val="clear" w:color="auto" w:fill="auto"/>
            <w:vAlign w:val="center"/>
          </w:tcPr>
          <w:p w:rsidR="009616C1" w:rsidRPr="00EF7FEF" w:rsidRDefault="006519C3" w:rsidP="006519C3">
            <w:pPr>
              <w:rPr>
                <w:rFonts w:eastAsia="Times New Roman" w:cs="Times New Roman"/>
                <w:color w:val="000000"/>
                <w:szCs w:val="24"/>
                <w:lang w:eastAsia="lv-LV"/>
              </w:rPr>
            </w:pPr>
            <w:r w:rsidRPr="00EF7FEF">
              <w:rPr>
                <w:rFonts w:eastAsia="Times New Roman" w:cs="Times New Roman"/>
                <w:b/>
                <w:bCs/>
                <w:color w:val="000000"/>
                <w:szCs w:val="24"/>
                <w:lang w:eastAsia="lv-LV"/>
              </w:rPr>
              <w:t>ZM</w:t>
            </w:r>
          </w:p>
        </w:tc>
        <w:tc>
          <w:tcPr>
            <w:tcW w:w="4962" w:type="dxa"/>
            <w:shd w:val="clear" w:color="auto" w:fill="auto"/>
            <w:noWrap/>
            <w:vAlign w:val="bottom"/>
            <w:hideMark/>
          </w:tcPr>
          <w:p w:rsidR="009616C1" w:rsidRPr="00EF7FEF" w:rsidRDefault="009616C1" w:rsidP="006519C3">
            <w:pPr>
              <w:jc w:val="both"/>
              <w:rPr>
                <w:rFonts w:eastAsia="Times New Roman" w:cs="Times New Roman"/>
                <w:color w:val="000000"/>
                <w:szCs w:val="24"/>
                <w:lang w:eastAsia="lv-LV"/>
              </w:rPr>
            </w:pPr>
            <w:r w:rsidRPr="00EF7FEF">
              <w:rPr>
                <w:rFonts w:eastAsia="Times New Roman" w:cs="Times New Roman"/>
                <w:color w:val="000000"/>
                <w:szCs w:val="24"/>
                <w:lang w:eastAsia="lv-LV"/>
              </w:rPr>
              <w:t>97.00.00 Nozaru vadība un politikas plānošana</w:t>
            </w:r>
          </w:p>
        </w:tc>
        <w:tc>
          <w:tcPr>
            <w:tcW w:w="1780" w:type="dxa"/>
            <w:shd w:val="clear" w:color="auto" w:fill="auto"/>
            <w:noWrap/>
            <w:vAlign w:val="center"/>
            <w:hideMark/>
          </w:tcPr>
          <w:p w:rsidR="009616C1" w:rsidRPr="00EF7FEF" w:rsidRDefault="009616C1" w:rsidP="006519C3">
            <w:pPr>
              <w:jc w:val="right"/>
              <w:rPr>
                <w:rFonts w:eastAsia="Times New Roman" w:cs="Times New Roman"/>
                <w:color w:val="000000"/>
                <w:szCs w:val="24"/>
                <w:lang w:eastAsia="lv-LV"/>
              </w:rPr>
            </w:pPr>
            <w:r w:rsidRPr="00EF7FEF">
              <w:rPr>
                <w:rFonts w:eastAsia="Times New Roman" w:cs="Times New Roman"/>
                <w:color w:val="000000"/>
                <w:szCs w:val="24"/>
                <w:lang w:eastAsia="lv-LV"/>
              </w:rPr>
              <w:t>20 000</w:t>
            </w:r>
          </w:p>
        </w:tc>
        <w:tc>
          <w:tcPr>
            <w:tcW w:w="1480" w:type="dxa"/>
            <w:shd w:val="clear" w:color="auto" w:fill="auto"/>
            <w:noWrap/>
            <w:vAlign w:val="center"/>
            <w:hideMark/>
          </w:tcPr>
          <w:p w:rsidR="009616C1" w:rsidRPr="00EF7FEF" w:rsidRDefault="009616C1" w:rsidP="006519C3">
            <w:pPr>
              <w:jc w:val="right"/>
              <w:rPr>
                <w:rFonts w:eastAsia="Times New Roman" w:cs="Times New Roman"/>
                <w:color w:val="000000"/>
                <w:szCs w:val="24"/>
                <w:lang w:eastAsia="lv-LV"/>
              </w:rPr>
            </w:pPr>
            <w:r w:rsidRPr="00EF7FEF">
              <w:rPr>
                <w:rFonts w:eastAsia="Times New Roman" w:cs="Times New Roman"/>
                <w:color w:val="000000"/>
                <w:szCs w:val="24"/>
                <w:lang w:eastAsia="lv-LV"/>
              </w:rPr>
              <w:t>20 000</w:t>
            </w:r>
            <w:bookmarkStart w:id="7" w:name="_GoBack"/>
            <w:bookmarkEnd w:id="7"/>
          </w:p>
        </w:tc>
      </w:tr>
      <w:tr w:rsidR="006519C3" w:rsidRPr="006E5888" w:rsidTr="003F7196">
        <w:trPr>
          <w:trHeight w:val="20"/>
        </w:trPr>
        <w:tc>
          <w:tcPr>
            <w:tcW w:w="6218" w:type="dxa"/>
            <w:gridSpan w:val="2"/>
            <w:vAlign w:val="center"/>
          </w:tcPr>
          <w:p w:rsidR="006519C3" w:rsidRPr="006E5888" w:rsidRDefault="006519C3" w:rsidP="006519C3">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Pārdales no JPI</w:t>
            </w:r>
          </w:p>
        </w:tc>
        <w:tc>
          <w:tcPr>
            <w:tcW w:w="1780" w:type="dxa"/>
            <w:shd w:val="clear" w:color="auto" w:fill="auto"/>
            <w:noWrap/>
            <w:vAlign w:val="center"/>
            <w:hideMark/>
          </w:tcPr>
          <w:p w:rsidR="006519C3" w:rsidRPr="006E5888" w:rsidRDefault="006519C3" w:rsidP="006519C3">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819 647</w:t>
            </w:r>
          </w:p>
        </w:tc>
        <w:tc>
          <w:tcPr>
            <w:tcW w:w="1480" w:type="dxa"/>
            <w:shd w:val="clear" w:color="auto" w:fill="auto"/>
            <w:noWrap/>
            <w:vAlign w:val="center"/>
            <w:hideMark/>
          </w:tcPr>
          <w:p w:rsidR="006519C3" w:rsidRPr="006E5888" w:rsidRDefault="006519C3" w:rsidP="006519C3">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819 647</w:t>
            </w:r>
          </w:p>
        </w:tc>
      </w:tr>
      <w:tr w:rsidR="009616C1" w:rsidRPr="006E5888" w:rsidTr="006519C3">
        <w:trPr>
          <w:trHeight w:val="20"/>
        </w:trPr>
        <w:tc>
          <w:tcPr>
            <w:tcW w:w="1256" w:type="dxa"/>
            <w:vAlign w:val="center"/>
          </w:tcPr>
          <w:p w:rsidR="009616C1" w:rsidRPr="006E5888" w:rsidRDefault="006519C3" w:rsidP="006519C3">
            <w:pPr>
              <w:rPr>
                <w:rFonts w:eastAsia="Times New Roman" w:cs="Times New Roman"/>
                <w:color w:val="000000"/>
                <w:szCs w:val="24"/>
                <w:lang w:eastAsia="lv-LV"/>
              </w:rPr>
            </w:pPr>
            <w:r w:rsidRPr="006E5888">
              <w:rPr>
                <w:rFonts w:eastAsia="Times New Roman" w:cs="Times New Roman"/>
                <w:b/>
                <w:bCs/>
                <w:color w:val="000000"/>
                <w:szCs w:val="24"/>
                <w:lang w:eastAsia="lv-LV"/>
              </w:rPr>
              <w:t>TM</w:t>
            </w:r>
          </w:p>
        </w:tc>
        <w:tc>
          <w:tcPr>
            <w:tcW w:w="4962" w:type="dxa"/>
            <w:shd w:val="clear" w:color="auto" w:fill="auto"/>
            <w:noWrap/>
            <w:vAlign w:val="bottom"/>
            <w:hideMark/>
          </w:tcPr>
          <w:p w:rsidR="009616C1" w:rsidRPr="006E5888" w:rsidRDefault="009616C1" w:rsidP="006519C3">
            <w:pPr>
              <w:jc w:val="both"/>
              <w:rPr>
                <w:rFonts w:eastAsia="Times New Roman" w:cs="Times New Roman"/>
                <w:color w:val="000000"/>
                <w:szCs w:val="24"/>
                <w:lang w:eastAsia="lv-LV"/>
              </w:rPr>
            </w:pPr>
            <w:r w:rsidRPr="006E5888">
              <w:rPr>
                <w:rFonts w:eastAsia="Times New Roman" w:cs="Times New Roman"/>
                <w:color w:val="000000"/>
                <w:szCs w:val="24"/>
                <w:lang w:eastAsia="lv-LV"/>
              </w:rPr>
              <w:t>04.01.00 Ieslodzījuma vietas</w:t>
            </w:r>
          </w:p>
        </w:tc>
        <w:tc>
          <w:tcPr>
            <w:tcW w:w="1780" w:type="dxa"/>
            <w:shd w:val="clear" w:color="auto" w:fill="auto"/>
            <w:noWrap/>
            <w:vAlign w:val="center"/>
            <w:hideMark/>
          </w:tcPr>
          <w:p w:rsidR="009616C1" w:rsidRPr="006E5888" w:rsidRDefault="009616C1" w:rsidP="006519C3">
            <w:pPr>
              <w:jc w:val="right"/>
              <w:rPr>
                <w:rFonts w:eastAsia="Times New Roman" w:cs="Times New Roman"/>
                <w:color w:val="000000"/>
                <w:szCs w:val="24"/>
                <w:lang w:eastAsia="lv-LV"/>
              </w:rPr>
            </w:pPr>
            <w:r w:rsidRPr="006E5888">
              <w:rPr>
                <w:rFonts w:eastAsia="Times New Roman" w:cs="Times New Roman"/>
                <w:color w:val="000000"/>
                <w:szCs w:val="24"/>
                <w:lang w:eastAsia="lv-LV"/>
              </w:rPr>
              <w:t>342 383</w:t>
            </w:r>
          </w:p>
        </w:tc>
        <w:tc>
          <w:tcPr>
            <w:tcW w:w="1480" w:type="dxa"/>
            <w:shd w:val="clear" w:color="auto" w:fill="auto"/>
            <w:noWrap/>
            <w:vAlign w:val="center"/>
            <w:hideMark/>
          </w:tcPr>
          <w:p w:rsidR="009616C1" w:rsidRPr="006E5888" w:rsidRDefault="009616C1" w:rsidP="006519C3">
            <w:pPr>
              <w:jc w:val="right"/>
              <w:rPr>
                <w:rFonts w:eastAsia="Times New Roman" w:cs="Times New Roman"/>
                <w:color w:val="000000"/>
                <w:szCs w:val="24"/>
                <w:lang w:eastAsia="lv-LV"/>
              </w:rPr>
            </w:pPr>
            <w:r w:rsidRPr="006E5888">
              <w:rPr>
                <w:rFonts w:eastAsia="Times New Roman" w:cs="Times New Roman"/>
                <w:color w:val="000000"/>
                <w:szCs w:val="24"/>
                <w:lang w:eastAsia="lv-LV"/>
              </w:rPr>
              <w:t>342 383</w:t>
            </w:r>
          </w:p>
        </w:tc>
      </w:tr>
      <w:tr w:rsidR="009616C1" w:rsidRPr="006E5888" w:rsidTr="006519C3">
        <w:trPr>
          <w:trHeight w:val="20"/>
        </w:trPr>
        <w:tc>
          <w:tcPr>
            <w:tcW w:w="1256" w:type="dxa"/>
            <w:vAlign w:val="center"/>
          </w:tcPr>
          <w:p w:rsidR="009616C1" w:rsidRPr="006E5888" w:rsidRDefault="009616C1" w:rsidP="006519C3">
            <w:pPr>
              <w:ind w:firstLineChars="200" w:firstLine="480"/>
              <w:rPr>
                <w:rFonts w:eastAsia="Times New Roman" w:cs="Times New Roman"/>
                <w:color w:val="000000"/>
                <w:szCs w:val="24"/>
                <w:lang w:eastAsia="lv-LV"/>
              </w:rPr>
            </w:pPr>
          </w:p>
        </w:tc>
        <w:tc>
          <w:tcPr>
            <w:tcW w:w="4962" w:type="dxa"/>
            <w:shd w:val="clear" w:color="auto" w:fill="auto"/>
            <w:noWrap/>
            <w:vAlign w:val="bottom"/>
            <w:hideMark/>
          </w:tcPr>
          <w:p w:rsidR="009616C1" w:rsidRPr="006E5888" w:rsidRDefault="009616C1" w:rsidP="006519C3">
            <w:pPr>
              <w:jc w:val="both"/>
              <w:rPr>
                <w:rFonts w:eastAsia="Times New Roman" w:cs="Times New Roman"/>
                <w:color w:val="000000"/>
                <w:szCs w:val="24"/>
                <w:lang w:eastAsia="lv-LV"/>
              </w:rPr>
            </w:pPr>
            <w:r w:rsidRPr="006E5888">
              <w:rPr>
                <w:rFonts w:eastAsia="Times New Roman" w:cs="Times New Roman"/>
                <w:color w:val="000000"/>
                <w:szCs w:val="24"/>
                <w:lang w:eastAsia="lv-LV"/>
              </w:rPr>
              <w:t>03.03.00 Juridiskās palīdzības nodrošināšana</w:t>
            </w:r>
          </w:p>
        </w:tc>
        <w:tc>
          <w:tcPr>
            <w:tcW w:w="1780" w:type="dxa"/>
            <w:shd w:val="clear" w:color="auto" w:fill="auto"/>
            <w:noWrap/>
            <w:vAlign w:val="center"/>
            <w:hideMark/>
          </w:tcPr>
          <w:p w:rsidR="009616C1" w:rsidRPr="006E5888" w:rsidRDefault="009616C1" w:rsidP="006519C3">
            <w:pPr>
              <w:jc w:val="right"/>
              <w:rPr>
                <w:rFonts w:eastAsia="Times New Roman" w:cs="Times New Roman"/>
                <w:color w:val="000000"/>
                <w:szCs w:val="24"/>
                <w:lang w:eastAsia="lv-LV"/>
              </w:rPr>
            </w:pPr>
            <w:r w:rsidRPr="006E5888">
              <w:rPr>
                <w:rFonts w:eastAsia="Times New Roman" w:cs="Times New Roman"/>
                <w:color w:val="000000"/>
                <w:szCs w:val="24"/>
                <w:lang w:eastAsia="lv-LV"/>
              </w:rPr>
              <w:t>284 977</w:t>
            </w:r>
          </w:p>
        </w:tc>
        <w:tc>
          <w:tcPr>
            <w:tcW w:w="1480" w:type="dxa"/>
            <w:shd w:val="clear" w:color="auto" w:fill="auto"/>
            <w:noWrap/>
            <w:vAlign w:val="center"/>
            <w:hideMark/>
          </w:tcPr>
          <w:p w:rsidR="009616C1" w:rsidRPr="006E5888" w:rsidRDefault="009616C1" w:rsidP="006519C3">
            <w:pPr>
              <w:jc w:val="right"/>
              <w:rPr>
                <w:rFonts w:eastAsia="Times New Roman" w:cs="Times New Roman"/>
                <w:color w:val="000000"/>
                <w:szCs w:val="24"/>
                <w:lang w:eastAsia="lv-LV"/>
              </w:rPr>
            </w:pPr>
            <w:r w:rsidRPr="006E5888">
              <w:rPr>
                <w:rFonts w:eastAsia="Times New Roman" w:cs="Times New Roman"/>
                <w:color w:val="000000"/>
                <w:szCs w:val="24"/>
                <w:lang w:eastAsia="lv-LV"/>
              </w:rPr>
              <w:t>284 977</w:t>
            </w:r>
          </w:p>
        </w:tc>
      </w:tr>
      <w:tr w:rsidR="009616C1" w:rsidRPr="006E5888" w:rsidTr="006519C3">
        <w:trPr>
          <w:trHeight w:val="20"/>
        </w:trPr>
        <w:tc>
          <w:tcPr>
            <w:tcW w:w="1256" w:type="dxa"/>
            <w:vAlign w:val="center"/>
          </w:tcPr>
          <w:p w:rsidR="009616C1" w:rsidRPr="006E5888" w:rsidRDefault="009616C1" w:rsidP="006519C3">
            <w:pPr>
              <w:ind w:firstLineChars="200" w:firstLine="480"/>
              <w:rPr>
                <w:rFonts w:eastAsia="Times New Roman" w:cs="Times New Roman"/>
                <w:color w:val="000000"/>
                <w:szCs w:val="24"/>
                <w:lang w:eastAsia="lv-LV"/>
              </w:rPr>
            </w:pPr>
          </w:p>
        </w:tc>
        <w:tc>
          <w:tcPr>
            <w:tcW w:w="4962" w:type="dxa"/>
            <w:shd w:val="clear" w:color="auto" w:fill="auto"/>
            <w:noWrap/>
            <w:vAlign w:val="bottom"/>
            <w:hideMark/>
          </w:tcPr>
          <w:p w:rsidR="009616C1" w:rsidRPr="006E5888" w:rsidRDefault="009616C1" w:rsidP="006519C3">
            <w:pPr>
              <w:jc w:val="both"/>
              <w:rPr>
                <w:rFonts w:eastAsia="Times New Roman" w:cs="Times New Roman"/>
                <w:color w:val="000000"/>
                <w:szCs w:val="24"/>
                <w:lang w:eastAsia="lv-LV"/>
              </w:rPr>
            </w:pPr>
            <w:r w:rsidRPr="006E5888">
              <w:rPr>
                <w:rFonts w:eastAsia="Times New Roman" w:cs="Times New Roman"/>
                <w:color w:val="000000"/>
                <w:szCs w:val="24"/>
                <w:lang w:eastAsia="lv-LV"/>
              </w:rPr>
              <w:t>03.02.00 Apgabaltiesas un rajona (pilsētu) tiesas</w:t>
            </w:r>
          </w:p>
        </w:tc>
        <w:tc>
          <w:tcPr>
            <w:tcW w:w="1780" w:type="dxa"/>
            <w:shd w:val="clear" w:color="auto" w:fill="auto"/>
            <w:noWrap/>
            <w:vAlign w:val="center"/>
            <w:hideMark/>
          </w:tcPr>
          <w:p w:rsidR="009616C1" w:rsidRPr="006E5888" w:rsidRDefault="009616C1" w:rsidP="006519C3">
            <w:pPr>
              <w:jc w:val="right"/>
              <w:rPr>
                <w:rFonts w:eastAsia="Times New Roman" w:cs="Times New Roman"/>
                <w:color w:val="000000"/>
                <w:szCs w:val="24"/>
                <w:lang w:eastAsia="lv-LV"/>
              </w:rPr>
            </w:pPr>
            <w:r w:rsidRPr="006E5888">
              <w:rPr>
                <w:rFonts w:eastAsia="Times New Roman" w:cs="Times New Roman"/>
                <w:color w:val="000000"/>
                <w:szCs w:val="24"/>
                <w:lang w:eastAsia="lv-LV"/>
              </w:rPr>
              <w:t>192 287</w:t>
            </w:r>
          </w:p>
        </w:tc>
        <w:tc>
          <w:tcPr>
            <w:tcW w:w="1480" w:type="dxa"/>
            <w:shd w:val="clear" w:color="auto" w:fill="auto"/>
            <w:noWrap/>
            <w:vAlign w:val="center"/>
            <w:hideMark/>
          </w:tcPr>
          <w:p w:rsidR="009616C1" w:rsidRPr="006E5888" w:rsidRDefault="009616C1" w:rsidP="006519C3">
            <w:pPr>
              <w:jc w:val="right"/>
              <w:rPr>
                <w:rFonts w:eastAsia="Times New Roman" w:cs="Times New Roman"/>
                <w:color w:val="000000"/>
                <w:szCs w:val="24"/>
                <w:lang w:eastAsia="lv-LV"/>
              </w:rPr>
            </w:pPr>
            <w:r w:rsidRPr="006E5888">
              <w:rPr>
                <w:rFonts w:eastAsia="Times New Roman" w:cs="Times New Roman"/>
                <w:color w:val="000000"/>
                <w:szCs w:val="24"/>
                <w:lang w:eastAsia="lv-LV"/>
              </w:rPr>
              <w:t>192 287</w:t>
            </w:r>
          </w:p>
        </w:tc>
      </w:tr>
      <w:tr w:rsidR="006519C3" w:rsidRPr="006E5888" w:rsidTr="003F7196">
        <w:trPr>
          <w:trHeight w:val="20"/>
        </w:trPr>
        <w:tc>
          <w:tcPr>
            <w:tcW w:w="6218" w:type="dxa"/>
            <w:gridSpan w:val="2"/>
            <w:shd w:val="clear" w:color="auto" w:fill="D9D9D9" w:themeFill="background1" w:themeFillShade="D9"/>
          </w:tcPr>
          <w:p w:rsidR="006519C3" w:rsidRPr="006E5888" w:rsidRDefault="006519C3" w:rsidP="006519C3">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KOPĀ:</w:t>
            </w:r>
          </w:p>
        </w:tc>
        <w:tc>
          <w:tcPr>
            <w:tcW w:w="1780" w:type="dxa"/>
            <w:shd w:val="clear" w:color="auto" w:fill="D9D9D9" w:themeFill="background1" w:themeFillShade="D9"/>
            <w:noWrap/>
            <w:vAlign w:val="center"/>
            <w:hideMark/>
          </w:tcPr>
          <w:p w:rsidR="006519C3" w:rsidRPr="006E5888" w:rsidRDefault="006519C3" w:rsidP="006519C3">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22 504 011</w:t>
            </w:r>
          </w:p>
        </w:tc>
        <w:tc>
          <w:tcPr>
            <w:tcW w:w="1480" w:type="dxa"/>
            <w:shd w:val="clear" w:color="auto" w:fill="D9D9D9" w:themeFill="background1" w:themeFillShade="D9"/>
            <w:noWrap/>
            <w:vAlign w:val="center"/>
            <w:hideMark/>
          </w:tcPr>
          <w:p w:rsidR="006519C3" w:rsidRPr="006E5888" w:rsidRDefault="006519C3" w:rsidP="006519C3">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21 001 759</w:t>
            </w:r>
          </w:p>
        </w:tc>
      </w:tr>
    </w:tbl>
    <w:p w:rsidR="00D14834" w:rsidRPr="006E5888" w:rsidRDefault="00491900" w:rsidP="006519C3">
      <w:pPr>
        <w:tabs>
          <w:tab w:val="left" w:pos="1010"/>
        </w:tabs>
        <w:spacing w:before="120" w:after="120"/>
        <w:ind w:firstLine="709"/>
        <w:jc w:val="both"/>
        <w:rPr>
          <w:szCs w:val="24"/>
        </w:rPr>
      </w:pPr>
      <w:r w:rsidRPr="006E5888">
        <w:rPr>
          <w:szCs w:val="24"/>
        </w:rPr>
        <w:t xml:space="preserve">Izvērsta analīze par </w:t>
      </w:r>
      <w:r w:rsidR="009F68CC" w:rsidRPr="006E5888">
        <w:rPr>
          <w:szCs w:val="24"/>
        </w:rPr>
        <w:t>apstākļu aktualizācijas</w:t>
      </w:r>
      <w:r w:rsidRPr="006E5888">
        <w:rPr>
          <w:szCs w:val="24"/>
        </w:rPr>
        <w:t xml:space="preserve"> analīzi</w:t>
      </w:r>
      <w:r w:rsidR="009F68CC" w:rsidRPr="006E5888">
        <w:rPr>
          <w:szCs w:val="24"/>
        </w:rPr>
        <w:t xml:space="preserve"> un pārdalēm no JPI</w:t>
      </w:r>
      <w:r w:rsidRPr="006E5888">
        <w:rPr>
          <w:szCs w:val="24"/>
        </w:rPr>
        <w:t xml:space="preserve">, detalizēti aplūkojot katru ministriju, tai skaitā ministrijas programmu/apakšprogrammu pieejama informatīvā ziņojuma </w:t>
      </w:r>
      <w:r w:rsidR="00CE709A" w:rsidRPr="006E5888">
        <w:rPr>
          <w:szCs w:val="24"/>
        </w:rPr>
        <w:t>pielikumā Nr.</w:t>
      </w:r>
      <w:r w:rsidR="00DE4F07" w:rsidRPr="006E5888">
        <w:rPr>
          <w:szCs w:val="24"/>
        </w:rPr>
        <w:t>9</w:t>
      </w:r>
      <w:r w:rsidR="00CE709A" w:rsidRPr="006E5888">
        <w:rPr>
          <w:szCs w:val="24"/>
        </w:rPr>
        <w:t>.</w:t>
      </w:r>
      <w:r w:rsidR="00BC1AA6" w:rsidRPr="006E5888">
        <w:rPr>
          <w:szCs w:val="24"/>
        </w:rPr>
        <w:t xml:space="preserve"> </w:t>
      </w:r>
    </w:p>
    <w:p w:rsidR="00583742" w:rsidRPr="006E5888" w:rsidRDefault="00F72914" w:rsidP="00EA2F33">
      <w:pPr>
        <w:pStyle w:val="Heading2"/>
        <w:spacing w:before="240"/>
        <w:rPr>
          <w:rFonts w:ascii="Times New Roman" w:eastAsia="Times New Roman" w:hAnsi="Times New Roman" w:cs="Times New Roman"/>
          <w:b/>
          <w:color w:val="auto"/>
          <w:sz w:val="24"/>
          <w:szCs w:val="24"/>
          <w:lang w:eastAsia="lv-LV"/>
        </w:rPr>
      </w:pPr>
      <w:bookmarkStart w:id="8" w:name="_Toc451340345"/>
      <w:r w:rsidRPr="006E5888">
        <w:rPr>
          <w:rFonts w:ascii="Times New Roman" w:eastAsia="Times New Roman" w:hAnsi="Times New Roman" w:cs="Times New Roman"/>
          <w:b/>
          <w:color w:val="auto"/>
          <w:sz w:val="24"/>
          <w:szCs w:val="24"/>
          <w:lang w:eastAsia="lv-LV"/>
        </w:rPr>
        <w:t xml:space="preserve">4.4. </w:t>
      </w:r>
      <w:r w:rsidR="00583742" w:rsidRPr="006E5888">
        <w:rPr>
          <w:rFonts w:ascii="Times New Roman" w:eastAsia="Times New Roman" w:hAnsi="Times New Roman" w:cs="Times New Roman"/>
          <w:b/>
          <w:color w:val="auto"/>
          <w:sz w:val="24"/>
          <w:szCs w:val="24"/>
          <w:lang w:eastAsia="lv-LV"/>
        </w:rPr>
        <w:t>AUDITA UN REVĪZIJAS ZIŅOJUMU ANALĪZE</w:t>
      </w:r>
      <w:bookmarkEnd w:id="8"/>
    </w:p>
    <w:p w:rsidR="00EA2F33" w:rsidRPr="006E5888" w:rsidRDefault="00EA2F33" w:rsidP="00B10A25">
      <w:pPr>
        <w:autoSpaceDE w:val="0"/>
        <w:autoSpaceDN w:val="0"/>
        <w:adjustRightInd w:val="0"/>
        <w:rPr>
          <w:rFonts w:cs="Times New Roman"/>
          <w:b/>
          <w:sz w:val="8"/>
          <w:szCs w:val="8"/>
        </w:rPr>
      </w:pPr>
    </w:p>
    <w:p w:rsidR="00B10A25" w:rsidRPr="006E5888" w:rsidRDefault="00B10A25" w:rsidP="003F78A4">
      <w:pPr>
        <w:autoSpaceDE w:val="0"/>
        <w:autoSpaceDN w:val="0"/>
        <w:adjustRightInd w:val="0"/>
        <w:rPr>
          <w:rFonts w:cs="Times New Roman"/>
          <w:b/>
          <w:szCs w:val="24"/>
          <w:u w:val="single"/>
        </w:rPr>
      </w:pPr>
      <w:r w:rsidRPr="006E5888">
        <w:rPr>
          <w:rFonts w:cs="Times New Roman"/>
          <w:b/>
          <w:szCs w:val="24"/>
          <w:u w:val="single"/>
        </w:rPr>
        <w:t>Avansa maks</w:t>
      </w:r>
      <w:r w:rsidR="003F78A4" w:rsidRPr="006E5888">
        <w:rPr>
          <w:rFonts w:cs="Times New Roman"/>
          <w:b/>
          <w:szCs w:val="24"/>
          <w:u w:val="single"/>
        </w:rPr>
        <w:t xml:space="preserve">ājumu veikšanas pilnveidošana  </w:t>
      </w:r>
    </w:p>
    <w:p w:rsidR="00B10A25" w:rsidRPr="006E5888" w:rsidRDefault="00B10A25" w:rsidP="00B10A25">
      <w:pPr>
        <w:autoSpaceDE w:val="0"/>
        <w:autoSpaceDN w:val="0"/>
        <w:adjustRightInd w:val="0"/>
        <w:ind w:firstLine="720"/>
        <w:jc w:val="both"/>
        <w:rPr>
          <w:rFonts w:cs="Times New Roman"/>
          <w:szCs w:val="24"/>
        </w:rPr>
      </w:pPr>
      <w:r w:rsidRPr="006E5888">
        <w:rPr>
          <w:rFonts w:cs="Times New Roman"/>
          <w:szCs w:val="24"/>
        </w:rPr>
        <w:t xml:space="preserve">Atbilstoši </w:t>
      </w:r>
      <w:proofErr w:type="spellStart"/>
      <w:r w:rsidR="001E120F" w:rsidRPr="006E5888">
        <w:rPr>
          <w:rFonts w:cs="Times New Roman"/>
          <w:szCs w:val="24"/>
        </w:rPr>
        <w:t>VKo</w:t>
      </w:r>
      <w:proofErr w:type="spellEnd"/>
      <w:r w:rsidRPr="006E5888">
        <w:rPr>
          <w:rFonts w:cs="Times New Roman"/>
          <w:szCs w:val="24"/>
        </w:rPr>
        <w:t xml:space="preserve"> revīzijas ziņojumos konstatētajam, nozaru ministrij</w:t>
      </w:r>
      <w:r w:rsidR="00A13468" w:rsidRPr="006E5888">
        <w:rPr>
          <w:rFonts w:cs="Times New Roman"/>
          <w:szCs w:val="24"/>
        </w:rPr>
        <w:t>ās</w:t>
      </w:r>
      <w:r w:rsidR="00824CAC" w:rsidRPr="006E5888">
        <w:rPr>
          <w:rFonts w:cs="Times New Roman"/>
          <w:szCs w:val="24"/>
        </w:rPr>
        <w:t xml:space="preserve"> 2014.</w:t>
      </w:r>
      <w:r w:rsidRPr="006E5888">
        <w:rPr>
          <w:rFonts w:cs="Times New Roman"/>
          <w:szCs w:val="24"/>
        </w:rPr>
        <w:t>gadā tika veikti nepamato</w:t>
      </w:r>
      <w:r w:rsidR="00824CAC" w:rsidRPr="006E5888">
        <w:rPr>
          <w:rFonts w:cs="Times New Roman"/>
          <w:szCs w:val="24"/>
        </w:rPr>
        <w:t>ti avansa maksājumi 2,76 milj.</w:t>
      </w:r>
      <w:r w:rsidRPr="006E5888">
        <w:rPr>
          <w:rFonts w:cs="Times New Roman"/>
          <w:szCs w:val="24"/>
        </w:rPr>
        <w:t xml:space="preserve"> </w:t>
      </w:r>
      <w:proofErr w:type="spellStart"/>
      <w:r w:rsidRPr="006E5888">
        <w:rPr>
          <w:rFonts w:cs="Times New Roman"/>
          <w:i/>
          <w:szCs w:val="24"/>
        </w:rPr>
        <w:t>euro</w:t>
      </w:r>
      <w:proofErr w:type="spellEnd"/>
      <w:r w:rsidRPr="006E5888">
        <w:rPr>
          <w:rFonts w:cs="Times New Roman"/>
          <w:szCs w:val="24"/>
        </w:rPr>
        <w:t xml:space="preserve"> apmērā, kas sastādīja apmēram 0,04 % no valsts budžeta kopējiem izdevumiem. Tādēļ jautājums par ministriju un citu centrālo valsts iestāžu avansa maksājumiem tika izskatīts MK 2015.gada 1.decembra sēdē, kur tika pieņemts </w:t>
      </w:r>
      <w:r w:rsidRPr="006E5888">
        <w:rPr>
          <w:rFonts w:cs="Times New Roman"/>
          <w:szCs w:val="24"/>
          <w:lang w:eastAsia="lv-LV"/>
        </w:rPr>
        <w:t xml:space="preserve">zināšanai FM iesniegtais informatīvais ziņojums “Par ministriju un citu centrālo valsts iestāžu avansa </w:t>
      </w:r>
      <w:r w:rsidRPr="006E5888">
        <w:rPr>
          <w:rFonts w:cs="Times New Roman"/>
          <w:szCs w:val="24"/>
          <w:lang w:eastAsia="lv-LV"/>
        </w:rPr>
        <w:lastRenderedPageBreak/>
        <w:t>maksājumiem”.</w:t>
      </w:r>
      <w:r w:rsidRPr="006E5888">
        <w:rPr>
          <w:rFonts w:cs="Times New Roman"/>
          <w:szCs w:val="24"/>
        </w:rPr>
        <w:t xml:space="preserve"> Lai mazinātu nepamatotu avansu maksāšanas praksi turpmākajos gados, MK </w:t>
      </w:r>
      <w:r w:rsidR="00824CAC" w:rsidRPr="006E5888">
        <w:rPr>
          <w:rFonts w:cs="Times New Roman"/>
          <w:szCs w:val="24"/>
        </w:rPr>
        <w:t>2015.gada 1.</w:t>
      </w:r>
      <w:r w:rsidRPr="006E5888">
        <w:rPr>
          <w:rFonts w:cs="Times New Roman"/>
          <w:szCs w:val="24"/>
        </w:rPr>
        <w:t>decembra sēdes protokolā Nr.64 50§ tika noteikts pienākums ministriju (tai skaitā to padotības iestāžu) un citu centrālo valsts iestāžu vadītājiem:</w:t>
      </w:r>
    </w:p>
    <w:p w:rsidR="00B10A25" w:rsidRPr="006E5888" w:rsidRDefault="00B10A25" w:rsidP="00B756BC">
      <w:pPr>
        <w:numPr>
          <w:ilvl w:val="0"/>
          <w:numId w:val="15"/>
        </w:numPr>
        <w:jc w:val="both"/>
        <w:rPr>
          <w:rFonts w:cs="Times New Roman"/>
          <w:szCs w:val="24"/>
          <w:lang w:eastAsia="lv-LV"/>
        </w:rPr>
      </w:pPr>
      <w:r w:rsidRPr="006E5888">
        <w:rPr>
          <w:rFonts w:cs="Times New Roman"/>
          <w:szCs w:val="24"/>
          <w:lang w:eastAsia="lv-LV"/>
        </w:rPr>
        <w:t>nodrošināt, ka nodokļu maksājumi tiek veikti atbilstoši normatīvajos aktos nodokļu jomā noteiktajiem nomaksas termiņiem;</w:t>
      </w:r>
    </w:p>
    <w:p w:rsidR="00B10A25" w:rsidRPr="006E5888" w:rsidRDefault="00B10A25" w:rsidP="00B756BC">
      <w:pPr>
        <w:numPr>
          <w:ilvl w:val="0"/>
          <w:numId w:val="15"/>
        </w:numPr>
        <w:jc w:val="both"/>
        <w:rPr>
          <w:rFonts w:cs="Times New Roman"/>
          <w:szCs w:val="24"/>
          <w:lang w:eastAsia="lv-LV"/>
        </w:rPr>
      </w:pPr>
      <w:r w:rsidRPr="006E5888">
        <w:rPr>
          <w:rFonts w:cs="Times New Roman"/>
          <w:szCs w:val="24"/>
          <w:lang w:eastAsia="lv-LV"/>
        </w:rPr>
        <w:t>nodrošināt, ka avansa maksājumi tiek veikti tādā apmērā un kārtībā, kā tas paredzēts saskaņā ar normatīvajos aktos noteiktā kārtībā noslēgtajiem līgumiem.</w:t>
      </w:r>
    </w:p>
    <w:p w:rsidR="00B9123E" w:rsidRPr="006E5888" w:rsidRDefault="00B10A25" w:rsidP="001809D2">
      <w:pPr>
        <w:autoSpaceDE w:val="0"/>
        <w:autoSpaceDN w:val="0"/>
        <w:adjustRightInd w:val="0"/>
        <w:ind w:firstLine="709"/>
        <w:jc w:val="both"/>
      </w:pPr>
      <w:r w:rsidRPr="006E5888">
        <w:rPr>
          <w:rFonts w:cs="Times New Roman"/>
          <w:szCs w:val="24"/>
        </w:rPr>
        <w:t xml:space="preserve">Valsts budžeta izdevumu izvērtēšanas kontekstā tika analizēta avansa maksājumu pamatotība. Izvērtēšanas sarunu laikā jautājums par nepamatoti veiktajiem avansu maksājumiem tika izrunāts ar visām ministrijām, kurām </w:t>
      </w:r>
      <w:proofErr w:type="spellStart"/>
      <w:r w:rsidR="001E120F" w:rsidRPr="006E5888">
        <w:rPr>
          <w:rFonts w:cs="Times New Roman"/>
          <w:szCs w:val="24"/>
        </w:rPr>
        <w:t>VKo</w:t>
      </w:r>
      <w:proofErr w:type="spellEnd"/>
      <w:r w:rsidRPr="006E5888">
        <w:rPr>
          <w:rFonts w:cs="Times New Roman"/>
          <w:szCs w:val="24"/>
        </w:rPr>
        <w:t xml:space="preserve"> revīzijas </w:t>
      </w:r>
      <w:r w:rsidR="00824CAC" w:rsidRPr="006E5888">
        <w:rPr>
          <w:rFonts w:cs="Times New Roman"/>
          <w:szCs w:val="24"/>
        </w:rPr>
        <w:t>ziņojumos tika konstatēti 2014.</w:t>
      </w:r>
      <w:r w:rsidRPr="006E5888">
        <w:rPr>
          <w:rFonts w:cs="Times New Roman"/>
          <w:szCs w:val="24"/>
        </w:rPr>
        <w:t>gadā veikti šādi avansu maksājumi. Šīs pozīcijas analīze jau ir kļuvusi par izdevumu izvērtēšanas procesa sastāvdaļu un arī turpmāk tam tiks pievērsta uzmanība, tai skaitā izvērtējot iespējas rosināt finansējuma samazinājumu tām iestādēm, kurās būs vērojami sistemātiski un būtiski pārkāpumi avansu jomā. Tāpat FM, vērtējot iestāžu pieprasījumus līdzekļu pārdalēm vai neparedzēto gadījumu finansēšanai, pastiprināti pievērsīs uzmanību tām nozaru ministrijām, ku</w:t>
      </w:r>
      <w:r w:rsidR="00A13468" w:rsidRPr="006E5888">
        <w:rPr>
          <w:rFonts w:cs="Times New Roman"/>
          <w:szCs w:val="24"/>
        </w:rPr>
        <w:t xml:space="preserve">rās atbilstoši </w:t>
      </w:r>
      <w:proofErr w:type="spellStart"/>
      <w:r w:rsidR="00A13468" w:rsidRPr="006E5888">
        <w:rPr>
          <w:rFonts w:cs="Times New Roman"/>
          <w:szCs w:val="24"/>
        </w:rPr>
        <w:t>VKo</w:t>
      </w:r>
      <w:proofErr w:type="spellEnd"/>
      <w:r w:rsidRPr="006E5888">
        <w:rPr>
          <w:rFonts w:cs="Times New Roman"/>
          <w:szCs w:val="24"/>
        </w:rPr>
        <w:t xml:space="preserve"> revīzijas </w:t>
      </w:r>
      <w:proofErr w:type="spellStart"/>
      <w:r w:rsidRPr="006E5888">
        <w:rPr>
          <w:rFonts w:cs="Times New Roman"/>
          <w:szCs w:val="24"/>
        </w:rPr>
        <w:t>ziņojumiemveikti</w:t>
      </w:r>
      <w:proofErr w:type="spellEnd"/>
      <w:r w:rsidRPr="006E5888">
        <w:rPr>
          <w:rFonts w:cs="Times New Roman"/>
          <w:szCs w:val="24"/>
        </w:rPr>
        <w:t xml:space="preserve"> pārkāpumi avansa jomā.</w:t>
      </w:r>
    </w:p>
    <w:p w:rsidR="00F768C1" w:rsidRPr="006E5888" w:rsidRDefault="00CA1C2E" w:rsidP="001E120F">
      <w:pPr>
        <w:pStyle w:val="Heading1"/>
        <w:numPr>
          <w:ilvl w:val="0"/>
          <w:numId w:val="6"/>
        </w:numPr>
        <w:spacing w:after="120"/>
        <w:ind w:left="1066" w:hanging="357"/>
        <w:rPr>
          <w:rFonts w:ascii="Times New Roman" w:hAnsi="Times New Roman" w:cs="Times New Roman"/>
          <w:b/>
          <w:color w:val="auto"/>
          <w:sz w:val="24"/>
          <w:szCs w:val="24"/>
        </w:rPr>
      </w:pPr>
      <w:bookmarkStart w:id="9" w:name="_Toc451340346"/>
      <w:r w:rsidRPr="006E5888">
        <w:rPr>
          <w:rFonts w:ascii="Times New Roman" w:hAnsi="Times New Roman" w:cs="Times New Roman"/>
          <w:b/>
          <w:color w:val="auto"/>
          <w:sz w:val="24"/>
          <w:szCs w:val="24"/>
        </w:rPr>
        <w:t>NULLES BUDŽETA PRINCIPA IEVIEŠANAS IESPĒJAS</w:t>
      </w:r>
      <w:bookmarkEnd w:id="9"/>
    </w:p>
    <w:p w:rsidR="001B321F" w:rsidRPr="006E5888" w:rsidRDefault="001B321F" w:rsidP="001B321F">
      <w:pPr>
        <w:rPr>
          <w:sz w:val="8"/>
          <w:szCs w:val="8"/>
        </w:rPr>
      </w:pPr>
    </w:p>
    <w:p w:rsidR="0043671D" w:rsidRPr="006E5888" w:rsidRDefault="0043671D" w:rsidP="0043671D">
      <w:pPr>
        <w:ind w:firstLine="709"/>
        <w:jc w:val="both"/>
      </w:pPr>
      <w:r w:rsidRPr="006E5888">
        <w:t>Ar nulles budžeta palīdzību iespējams gūt skaidrību, kādi pakalpojumi tiks sniegti, vienlaikus nulles budžeta procesā ir iespēja izvērtēt un apstiprināt katru posteni, nevis tikai izmaiņas. Nulles budžeta veidošanai ir nepieciešama ļoti detalizēta informācija.</w:t>
      </w:r>
    </w:p>
    <w:p w:rsidR="00453C9C" w:rsidRPr="006E5888" w:rsidRDefault="00453C9C" w:rsidP="00453C9C">
      <w:pPr>
        <w:jc w:val="both"/>
        <w:rPr>
          <w:sz w:val="8"/>
          <w:szCs w:val="8"/>
        </w:rPr>
      </w:pPr>
    </w:p>
    <w:p w:rsidR="00453C9C" w:rsidRPr="006E5888" w:rsidRDefault="00453C9C" w:rsidP="00824CAC">
      <w:pPr>
        <w:spacing w:after="60"/>
        <w:jc w:val="both"/>
        <w:rPr>
          <w:b/>
          <w:u w:val="single"/>
        </w:rPr>
      </w:pPr>
      <w:r w:rsidRPr="006E5888">
        <w:rPr>
          <w:b/>
          <w:u w:val="single"/>
        </w:rPr>
        <w:t>Nulles budžeta teorētiskais aspekts</w:t>
      </w:r>
      <w:r w:rsidR="00824CAC" w:rsidRPr="006E5888">
        <w:rPr>
          <w:b/>
          <w:u w:val="single"/>
        </w:rPr>
        <w:t>:</w:t>
      </w:r>
    </w:p>
    <w:p w:rsidR="001B321F" w:rsidRPr="006E5888" w:rsidRDefault="00E73FFA" w:rsidP="00B756BC">
      <w:pPr>
        <w:pStyle w:val="ListParagraph"/>
        <w:numPr>
          <w:ilvl w:val="0"/>
          <w:numId w:val="19"/>
        </w:numPr>
      </w:pPr>
      <w:r w:rsidRPr="006E5888">
        <w:t>Nulles budžeta cikls</w:t>
      </w:r>
    </w:p>
    <w:p w:rsidR="00453C9C" w:rsidRPr="006E5888" w:rsidRDefault="00453C9C" w:rsidP="00453C9C">
      <w:pPr>
        <w:ind w:firstLine="709"/>
        <w:jc w:val="both"/>
      </w:pPr>
      <w:r w:rsidRPr="006E5888">
        <w:t>Nulles budžeta ciklu iziet katra iestāde (aģentūra, skola, padome utt.), atbildot tikai par sevi un iesniedzot priekšlikumus hierarhijā no lejas uz augšu. Noslēgumā nozares vadītājs (ministrs) redz visu spēles laukumu. Pastāv alternatīva nulles budžetu veidot uzreiz nozares līmenī, šādā gadījumā iestādes ietvaros jāveido darba grupas, kas labi pārzina savas atbildības jomas (jo šaurāka tēma, jo labāk).</w:t>
      </w:r>
    </w:p>
    <w:p w:rsidR="00453C9C" w:rsidRPr="006E5888" w:rsidRDefault="00984DC7" w:rsidP="00453C9C">
      <w:pPr>
        <w:jc w:val="both"/>
      </w:pPr>
      <w:r w:rsidRPr="006E5888">
        <w:rPr>
          <w:noProof/>
          <w:lang w:eastAsia="lv-LV"/>
        </w:rPr>
        <mc:AlternateContent>
          <mc:Choice Requires="wpg">
            <w:drawing>
              <wp:anchor distT="0" distB="0" distL="114300" distR="114300" simplePos="0" relativeHeight="251702272" behindDoc="0" locked="0" layoutInCell="1" allowOverlap="1" wp14:anchorId="68B1528A" wp14:editId="75B86ED1">
                <wp:simplePos x="0" y="0"/>
                <wp:positionH relativeFrom="margin">
                  <wp:posOffset>712089</wp:posOffset>
                </wp:positionH>
                <wp:positionV relativeFrom="paragraph">
                  <wp:posOffset>9957</wp:posOffset>
                </wp:positionV>
                <wp:extent cx="4491533" cy="1923897"/>
                <wp:effectExtent l="0" t="0" r="4445" b="19685"/>
                <wp:wrapNone/>
                <wp:docPr id="45" name="Group 45"/>
                <wp:cNvGraphicFramePr/>
                <a:graphic xmlns:a="http://schemas.openxmlformats.org/drawingml/2006/main">
                  <a:graphicData uri="http://schemas.microsoft.com/office/word/2010/wordprocessingGroup">
                    <wpg:wgp>
                      <wpg:cNvGrpSpPr/>
                      <wpg:grpSpPr>
                        <a:xfrm>
                          <a:off x="0" y="0"/>
                          <a:ext cx="4491533" cy="1923897"/>
                          <a:chOff x="0" y="0"/>
                          <a:chExt cx="4037990" cy="2384755"/>
                        </a:xfrm>
                      </wpg:grpSpPr>
                      <wpg:grpSp>
                        <wpg:cNvPr id="34" name="Group 34"/>
                        <wpg:cNvGrpSpPr/>
                        <wpg:grpSpPr>
                          <a:xfrm>
                            <a:off x="14630" y="0"/>
                            <a:ext cx="4008730" cy="2384755"/>
                            <a:chOff x="0" y="0"/>
                            <a:chExt cx="4052621" cy="2494483"/>
                          </a:xfrm>
                        </wpg:grpSpPr>
                        <wps:wsp>
                          <wps:cNvPr id="11" name="Oval 11"/>
                          <wps:cNvSpPr/>
                          <wps:spPr>
                            <a:xfrm>
                              <a:off x="994867" y="863194"/>
                              <a:ext cx="797357" cy="687629"/>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Oval 12"/>
                          <wps:cNvSpPr/>
                          <wps:spPr>
                            <a:xfrm>
                              <a:off x="0" y="431597"/>
                              <a:ext cx="760781" cy="672998"/>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val 17"/>
                          <wps:cNvSpPr/>
                          <wps:spPr>
                            <a:xfrm>
                              <a:off x="14630" y="1587399"/>
                              <a:ext cx="775411" cy="672998"/>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Oval 18"/>
                          <wps:cNvSpPr/>
                          <wps:spPr>
                            <a:xfrm>
                              <a:off x="1302105" y="1858061"/>
                              <a:ext cx="716890" cy="636422"/>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Oval 20"/>
                          <wps:cNvSpPr/>
                          <wps:spPr>
                            <a:xfrm>
                              <a:off x="2194560" y="526695"/>
                              <a:ext cx="782726" cy="724204"/>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a:off x="3255264" y="1163117"/>
                              <a:ext cx="790041" cy="702259"/>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Oval 22"/>
                          <wps:cNvSpPr/>
                          <wps:spPr>
                            <a:xfrm>
                              <a:off x="3255264" y="0"/>
                              <a:ext cx="797357" cy="71689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Left Arrow 25"/>
                          <wps:cNvSpPr/>
                          <wps:spPr>
                            <a:xfrm rot="1403495">
                              <a:off x="746150" y="826618"/>
                              <a:ext cx="270663" cy="299923"/>
                            </a:xfrm>
                            <a:prstGeom prst="left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Left Arrow 26"/>
                          <wps:cNvSpPr/>
                          <wps:spPr>
                            <a:xfrm rot="19405865">
                              <a:off x="811987" y="1419149"/>
                              <a:ext cx="270663" cy="299923"/>
                            </a:xfrm>
                            <a:prstGeom prst="left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Left Arrow 27"/>
                          <wps:cNvSpPr/>
                          <wps:spPr>
                            <a:xfrm rot="15726154">
                              <a:off x="1422806" y="1554480"/>
                              <a:ext cx="270663" cy="299923"/>
                            </a:xfrm>
                            <a:prstGeom prst="left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Left Arrow 29"/>
                          <wps:cNvSpPr/>
                          <wps:spPr>
                            <a:xfrm rot="9696364">
                              <a:off x="1836115" y="833933"/>
                              <a:ext cx="270663" cy="299923"/>
                            </a:xfrm>
                            <a:prstGeom prst="left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Left Arrow 32"/>
                          <wps:cNvSpPr/>
                          <wps:spPr>
                            <a:xfrm rot="8900606">
                              <a:off x="2999232" y="446227"/>
                              <a:ext cx="270663" cy="299923"/>
                            </a:xfrm>
                            <a:prstGeom prst="left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Left Arrow 33"/>
                          <wps:cNvSpPr/>
                          <wps:spPr>
                            <a:xfrm rot="13113848">
                              <a:off x="3006547" y="1024128"/>
                              <a:ext cx="270663" cy="299923"/>
                            </a:xfrm>
                            <a:prstGeom prst="left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 name="Text Box 37"/>
                        <wps:cNvSpPr txBox="1"/>
                        <wps:spPr>
                          <a:xfrm>
                            <a:off x="1038758" y="1009497"/>
                            <a:ext cx="782726" cy="358445"/>
                          </a:xfrm>
                          <a:prstGeom prst="rect">
                            <a:avLst/>
                          </a:prstGeom>
                          <a:noFill/>
                          <a:ln w="6350">
                            <a:noFill/>
                          </a:ln>
                        </wps:spPr>
                        <wps:txbx>
                          <w:txbxContent>
                            <w:p w:rsidR="002B28B5" w:rsidRPr="00280119" w:rsidRDefault="002B28B5">
                              <w:pPr>
                                <w:rPr>
                                  <w:sz w:val="20"/>
                                  <w:szCs w:val="20"/>
                                </w:rPr>
                              </w:pPr>
                              <w:r>
                                <w:rPr>
                                  <w:sz w:val="20"/>
                                  <w:szCs w:val="20"/>
                                </w:rPr>
                                <w:t>IESTĀDE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0" y="490118"/>
                            <a:ext cx="782726" cy="507220"/>
                          </a:xfrm>
                          <a:prstGeom prst="rect">
                            <a:avLst/>
                          </a:prstGeom>
                          <a:noFill/>
                          <a:ln w="6350">
                            <a:noFill/>
                          </a:ln>
                        </wps:spPr>
                        <wps:txbx>
                          <w:txbxContent>
                            <w:p w:rsidR="002B28B5" w:rsidRPr="00280119" w:rsidRDefault="002B28B5" w:rsidP="00280119">
                              <w:pPr>
                                <w:jc w:val="center"/>
                                <w:rPr>
                                  <w:sz w:val="20"/>
                                  <w:szCs w:val="20"/>
                                </w:rPr>
                              </w:pPr>
                              <w:r>
                                <w:rPr>
                                  <w:sz w:val="20"/>
                                  <w:szCs w:val="20"/>
                                </w:rPr>
                                <w:t>DARBA GRUPA 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14630" y="1609344"/>
                            <a:ext cx="782726" cy="507220"/>
                          </a:xfrm>
                          <a:prstGeom prst="rect">
                            <a:avLst/>
                          </a:prstGeom>
                          <a:noFill/>
                          <a:ln w="6350">
                            <a:noFill/>
                          </a:ln>
                        </wps:spPr>
                        <wps:txbx>
                          <w:txbxContent>
                            <w:p w:rsidR="002B28B5" w:rsidRPr="00280119" w:rsidRDefault="002B28B5" w:rsidP="00280119">
                              <w:pPr>
                                <w:jc w:val="center"/>
                                <w:rPr>
                                  <w:sz w:val="20"/>
                                  <w:szCs w:val="20"/>
                                </w:rPr>
                              </w:pPr>
                              <w:r>
                                <w:rPr>
                                  <w:sz w:val="20"/>
                                  <w:szCs w:val="20"/>
                                </w:rPr>
                                <w:t>DARBA GRUPA 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1265529" y="1843430"/>
                            <a:ext cx="782726" cy="507220"/>
                          </a:xfrm>
                          <a:prstGeom prst="rect">
                            <a:avLst/>
                          </a:prstGeom>
                          <a:noFill/>
                          <a:ln w="6350">
                            <a:noFill/>
                          </a:ln>
                        </wps:spPr>
                        <wps:txbx>
                          <w:txbxContent>
                            <w:p w:rsidR="002B28B5" w:rsidRPr="00280119" w:rsidRDefault="002B28B5" w:rsidP="00280119">
                              <w:pPr>
                                <w:jc w:val="center"/>
                                <w:rPr>
                                  <w:sz w:val="20"/>
                                  <w:szCs w:val="20"/>
                                </w:rPr>
                              </w:pPr>
                              <w:r>
                                <w:rPr>
                                  <w:sz w:val="20"/>
                                  <w:szCs w:val="20"/>
                                </w:rPr>
                                <w:t>DARBA GRUPA 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2201875" y="607161"/>
                            <a:ext cx="782726" cy="507220"/>
                          </a:xfrm>
                          <a:prstGeom prst="rect">
                            <a:avLst/>
                          </a:prstGeom>
                          <a:noFill/>
                          <a:ln w="6350">
                            <a:noFill/>
                          </a:ln>
                        </wps:spPr>
                        <wps:txbx>
                          <w:txbxContent>
                            <w:p w:rsidR="002B28B5" w:rsidRPr="00280119" w:rsidRDefault="002B28B5" w:rsidP="00280119">
                              <w:pPr>
                                <w:jc w:val="center"/>
                                <w:rPr>
                                  <w:sz w:val="20"/>
                                  <w:szCs w:val="20"/>
                                </w:rPr>
                              </w:pPr>
                              <w:r>
                                <w:rPr>
                                  <w:sz w:val="20"/>
                                  <w:szCs w:val="20"/>
                                </w:rPr>
                                <w:t>DARBA GRUPA 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3255264" y="1192377"/>
                            <a:ext cx="782726" cy="507220"/>
                          </a:xfrm>
                          <a:prstGeom prst="rect">
                            <a:avLst/>
                          </a:prstGeom>
                          <a:noFill/>
                          <a:ln w="6350">
                            <a:noFill/>
                          </a:ln>
                        </wps:spPr>
                        <wps:txbx>
                          <w:txbxContent>
                            <w:p w:rsidR="002B28B5" w:rsidRPr="00280119" w:rsidRDefault="002B28B5" w:rsidP="00280119">
                              <w:pPr>
                                <w:jc w:val="center"/>
                                <w:rPr>
                                  <w:sz w:val="20"/>
                                  <w:szCs w:val="20"/>
                                </w:rPr>
                              </w:pPr>
                              <w:r>
                                <w:rPr>
                                  <w:sz w:val="20"/>
                                  <w:szCs w:val="20"/>
                                </w:rPr>
                                <w:t>DARBA GRUPA X.2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3247948" y="87782"/>
                            <a:ext cx="782726" cy="507220"/>
                          </a:xfrm>
                          <a:prstGeom prst="rect">
                            <a:avLst/>
                          </a:prstGeom>
                          <a:noFill/>
                          <a:ln w="6350">
                            <a:noFill/>
                          </a:ln>
                        </wps:spPr>
                        <wps:txbx>
                          <w:txbxContent>
                            <w:p w:rsidR="002B28B5" w:rsidRPr="00280119" w:rsidRDefault="002B28B5" w:rsidP="00280119">
                              <w:pPr>
                                <w:jc w:val="center"/>
                                <w:rPr>
                                  <w:sz w:val="20"/>
                                  <w:szCs w:val="20"/>
                                </w:rPr>
                              </w:pPr>
                              <w:r>
                                <w:rPr>
                                  <w:sz w:val="20"/>
                                  <w:szCs w:val="20"/>
                                </w:rPr>
                                <w:t>DARBA GRUPA X.1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B1528A" id="Group 45" o:spid="_x0000_s1026" style="position:absolute;left:0;text-align:left;margin-left:56.05pt;margin-top:.8pt;width:353.65pt;height:151.5pt;z-index:251702272;mso-position-horizontal-relative:margin;mso-width-relative:margin;mso-height-relative:margin" coordsize="40379,23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">
                <v:group id="Group 34" o:spid="_x0000_s1027" style="position:absolute;left:146;width:40087;height:23847" coordsize="40526,24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oval id="Oval 11" o:spid="_x0000_s1028" style="position:absolute;left:9948;top:8631;width:7974;height:6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" fillcolor="white [3201]" strokecolor="black [3200]" strokeweight="1pt">
                    <v:stroke joinstyle="miter"/>
                  </v:oval>
                  <v:oval id="Oval 12" o:spid="_x0000_s1029" style="position:absolute;top:4315;width:7607;height:6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" fillcolor="white [3201]" strokecolor="black [3200]" strokeweight="1pt">
                    <v:stroke joinstyle="miter"/>
                  </v:oval>
                  <v:oval id="Oval 17" o:spid="_x0000_s1030" style="position:absolute;left:146;top:15873;width:7754;height:6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" fillcolor="white [3201]" strokecolor="black [3200]" strokeweight="1pt">
                    <v:stroke joinstyle="miter"/>
                  </v:oval>
                  <v:oval id="Oval 18" o:spid="_x0000_s1031" style="position:absolute;left:13021;top:18580;width:7168;height:6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" fillcolor="white [3201]" strokecolor="black [3200]" strokeweight="1pt">
                    <v:stroke joinstyle="miter"/>
                  </v:oval>
                  <v:oval id="Oval 20" o:spid="_x0000_s1032" style="position:absolute;left:21945;top:5266;width:7827;height:7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" fillcolor="white [3201]" strokecolor="black [3200]" strokeweight="1pt">
                    <v:stroke joinstyle="miter"/>
                  </v:oval>
                  <v:oval id="Oval 21" o:spid="_x0000_s1033" style="position:absolute;left:32552;top:11631;width:7901;height:7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" fillcolor="white [3201]" strokecolor="black [3200]" strokeweight="1pt">
                    <v:stroke joinstyle="miter"/>
                  </v:oval>
                  <v:oval id="Oval 22" o:spid="_x0000_s1034" style="position:absolute;left:32552;width:7974;height:71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" fillcolor="white [3201]" strokecolor="black [3200]" strokeweight="1pt">
                    <v:stroke joinstyle="miter"/>
                  </v:oval>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5" o:spid="_x0000_s1035" type="#_x0000_t66" style="position:absolute;left:7461;top:8266;width:2707;height:2999;rotation:153299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" adj="10800" fillcolor="#a5a5a5 [3206]" strokecolor="white [3201]" strokeweight="1.5pt"/>
                  <v:shape id="Left Arrow 26" o:spid="_x0000_s1036" type="#_x0000_t66" style="position:absolute;left:8119;top:14191;width:2707;height:2999;rotation:-239658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" adj="10800" fillcolor="#a5a5a5 [3206]" strokecolor="white [3201]" strokeweight="1.5pt"/>
                  <v:shape id="Left Arrow 27" o:spid="_x0000_s1037" type="#_x0000_t66" style="position:absolute;left:14228;top:15544;width:2706;height:2999;rotation:-641580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" adj="10800" fillcolor="#a5a5a5 [3206]" strokecolor="white [3201]" strokeweight="1.5pt"/>
                  <v:shape id="Left Arrow 29" o:spid="_x0000_s1038" type="#_x0000_t66" style="position:absolute;left:18361;top:8339;width:2706;height:2999;rotation:1059101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" adj="10800" fillcolor="#a5a5a5 [3206]" strokecolor="white [3201]" strokeweight="1.5pt"/>
                  <v:shape id="Left Arrow 32" o:spid="_x0000_s1039" type="#_x0000_t66" style="position:absolute;left:29992;top:4462;width:2706;height:2999;rotation:972183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" adj="10800" fillcolor="#a5a5a5 [3206]" strokecolor="white [3201]" strokeweight="1.5pt"/>
                  <v:shape id="Left Arrow 33" o:spid="_x0000_s1040" type="#_x0000_t66" style="position:absolute;left:30065;top:10241;width:2707;height:2999;rotation:-926914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" adj="10800" fillcolor="#a5a5a5 [3206]" strokecolor="white [3201]" strokeweight="1.5pt"/>
                </v:group>
                <v:shapetype id="_x0000_t202" coordsize="21600,21600" o:spt="202" path="m,l,21600r21600,l21600,xe">
                  <v:stroke joinstyle="miter"/>
                  <v:path gradientshapeok="t" o:connecttype="rect"/>
                </v:shapetype>
                <v:shape id="Text Box 37" o:spid="_x0000_s1041" type="#_x0000_t202" style="position:absolute;left:10387;top:10094;width:7827;height:3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rsidR="002B28B5" w:rsidRPr="00280119" w:rsidRDefault="002B28B5">
                        <w:pPr>
                          <w:rPr>
                            <w:sz w:val="20"/>
                            <w:szCs w:val="20"/>
                          </w:rPr>
                        </w:pPr>
                        <w:r>
                          <w:rPr>
                            <w:sz w:val="20"/>
                            <w:szCs w:val="20"/>
                          </w:rPr>
                          <w:t>IESTĀDE</w:t>
                        </w:r>
                      </w:p>
                    </w:txbxContent>
                  </v:textbox>
                </v:shape>
                <v:shape id="Text Box 38" o:spid="_x0000_s1042" type="#_x0000_t202" style="position:absolute;top:4901;width:7827;height:5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rsidR="002B28B5" w:rsidRPr="00280119" w:rsidRDefault="002B28B5" w:rsidP="00280119">
                        <w:pPr>
                          <w:jc w:val="center"/>
                          <w:rPr>
                            <w:sz w:val="20"/>
                            <w:szCs w:val="20"/>
                          </w:rPr>
                        </w:pPr>
                        <w:r>
                          <w:rPr>
                            <w:sz w:val="20"/>
                            <w:szCs w:val="20"/>
                          </w:rPr>
                          <w:t>DARBA GRUPA Q</w:t>
                        </w:r>
                      </w:p>
                    </w:txbxContent>
                  </v:textbox>
                </v:shape>
                <v:shape id="Text Box 39" o:spid="_x0000_s1043" type="#_x0000_t202" style="position:absolute;left:146;top:16093;width:7827;height:5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rsidR="002B28B5" w:rsidRPr="00280119" w:rsidRDefault="002B28B5" w:rsidP="00280119">
                        <w:pPr>
                          <w:jc w:val="center"/>
                          <w:rPr>
                            <w:sz w:val="20"/>
                            <w:szCs w:val="20"/>
                          </w:rPr>
                        </w:pPr>
                        <w:r>
                          <w:rPr>
                            <w:sz w:val="20"/>
                            <w:szCs w:val="20"/>
                          </w:rPr>
                          <w:t>DARBA GRUPA Z</w:t>
                        </w:r>
                      </w:p>
                    </w:txbxContent>
                  </v:textbox>
                </v:shape>
                <v:shape id="Text Box 41" o:spid="_x0000_s1044" type="#_x0000_t202" style="position:absolute;left:12655;top:18434;width:7827;height:5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rsidR="002B28B5" w:rsidRPr="00280119" w:rsidRDefault="002B28B5" w:rsidP="00280119">
                        <w:pPr>
                          <w:jc w:val="center"/>
                          <w:rPr>
                            <w:sz w:val="20"/>
                            <w:szCs w:val="20"/>
                          </w:rPr>
                        </w:pPr>
                        <w:r>
                          <w:rPr>
                            <w:sz w:val="20"/>
                            <w:szCs w:val="20"/>
                          </w:rPr>
                          <w:t>DARBA GRUPA Y</w:t>
                        </w:r>
                      </w:p>
                    </w:txbxContent>
                  </v:textbox>
                </v:shape>
                <v:shape id="Text Box 42" o:spid="_x0000_s1045" type="#_x0000_t202" style="position:absolute;left:22018;top:6071;width:7828;height:5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rsidR="002B28B5" w:rsidRPr="00280119" w:rsidRDefault="002B28B5" w:rsidP="00280119">
                        <w:pPr>
                          <w:jc w:val="center"/>
                          <w:rPr>
                            <w:sz w:val="20"/>
                            <w:szCs w:val="20"/>
                          </w:rPr>
                        </w:pPr>
                        <w:r>
                          <w:rPr>
                            <w:sz w:val="20"/>
                            <w:szCs w:val="20"/>
                          </w:rPr>
                          <w:t>DARBA GRUPA X</w:t>
                        </w:r>
                      </w:p>
                    </w:txbxContent>
                  </v:textbox>
                </v:shape>
                <v:shape id="Text Box 43" o:spid="_x0000_s1046" type="#_x0000_t202" style="position:absolute;left:32552;top:11923;width:7827;height:5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rsidR="002B28B5" w:rsidRPr="00280119" w:rsidRDefault="002B28B5" w:rsidP="00280119">
                        <w:pPr>
                          <w:jc w:val="center"/>
                          <w:rPr>
                            <w:sz w:val="20"/>
                            <w:szCs w:val="20"/>
                          </w:rPr>
                        </w:pPr>
                        <w:r>
                          <w:rPr>
                            <w:sz w:val="20"/>
                            <w:szCs w:val="20"/>
                          </w:rPr>
                          <w:t>DARBA GRUPA X.2</w:t>
                        </w:r>
                      </w:p>
                    </w:txbxContent>
                  </v:textbox>
                </v:shape>
                <v:shape id="Text Box 44" o:spid="_x0000_s1047" type="#_x0000_t202" style="position:absolute;left:32479;top:877;width:7827;height:5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ORxQAAANsAAAAPAAAAZHJzL2Rvd25yZXYueG1sRI9Pi8Iw&#10;FMTvgt8hPGFvmioq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C4nzORxQAAANsAAAAP&#10;AAAAAAAAAAAAAAAAAAcCAABkcnMvZG93bnJldi54bWxQSwUGAAAAAAMAAwC3AAAA+QIAAAAA&#10;" filled="f" stroked="f" strokeweight=".5pt">
                  <v:textbox>
                    <w:txbxContent>
                      <w:p w:rsidR="002B28B5" w:rsidRPr="00280119" w:rsidRDefault="002B28B5" w:rsidP="00280119">
                        <w:pPr>
                          <w:jc w:val="center"/>
                          <w:rPr>
                            <w:sz w:val="20"/>
                            <w:szCs w:val="20"/>
                          </w:rPr>
                        </w:pPr>
                        <w:r>
                          <w:rPr>
                            <w:sz w:val="20"/>
                            <w:szCs w:val="20"/>
                          </w:rPr>
                          <w:t>DARBA GRUPA X.1</w:t>
                        </w:r>
                      </w:p>
                    </w:txbxContent>
                  </v:textbox>
                </v:shape>
                <w10:wrap anchorx="margin"/>
              </v:group>
            </w:pict>
          </mc:Fallback>
        </mc:AlternateContent>
      </w:r>
    </w:p>
    <w:p w:rsidR="00453C9C" w:rsidRPr="006E5888" w:rsidRDefault="00453C9C" w:rsidP="00453C9C">
      <w:pPr>
        <w:jc w:val="both"/>
      </w:pPr>
      <w:r w:rsidRPr="006E5888">
        <w:t xml:space="preserve"> </w:t>
      </w:r>
    </w:p>
    <w:p w:rsidR="001B321F" w:rsidRPr="006E5888" w:rsidRDefault="001B321F" w:rsidP="001B321F"/>
    <w:p w:rsidR="001B321F" w:rsidRPr="006E5888" w:rsidRDefault="001B321F" w:rsidP="001B321F"/>
    <w:p w:rsidR="001B321F" w:rsidRPr="006E5888" w:rsidRDefault="001B321F" w:rsidP="001B321F"/>
    <w:p w:rsidR="001B321F" w:rsidRPr="006E5888" w:rsidRDefault="001B321F" w:rsidP="001B321F"/>
    <w:p w:rsidR="001B321F" w:rsidRPr="006E5888" w:rsidRDefault="001B321F" w:rsidP="001B321F"/>
    <w:p w:rsidR="001B321F" w:rsidRPr="006E5888" w:rsidRDefault="001B321F" w:rsidP="001B321F"/>
    <w:p w:rsidR="001B321F" w:rsidRPr="006E5888" w:rsidRDefault="001B321F" w:rsidP="001B321F"/>
    <w:p w:rsidR="001B321F" w:rsidRPr="006E5888" w:rsidRDefault="001B321F" w:rsidP="001B321F"/>
    <w:p w:rsidR="001B321F" w:rsidRPr="006E5888" w:rsidRDefault="001B321F" w:rsidP="001B321F"/>
    <w:p w:rsidR="001B321F" w:rsidRPr="006E5888" w:rsidRDefault="001B321F" w:rsidP="001B321F"/>
    <w:p w:rsidR="003F78A4" w:rsidRPr="006E5888" w:rsidRDefault="003F78A4" w:rsidP="001C2126">
      <w:pPr>
        <w:rPr>
          <w:sz w:val="22"/>
        </w:rPr>
      </w:pPr>
    </w:p>
    <w:p w:rsidR="003F78A4" w:rsidRPr="006E5888" w:rsidRDefault="00605910" w:rsidP="001C2126">
      <w:pPr>
        <w:jc w:val="center"/>
        <w:rPr>
          <w:b/>
          <w:sz w:val="22"/>
        </w:rPr>
      </w:pPr>
      <w:r w:rsidRPr="006E5888">
        <w:rPr>
          <w:sz w:val="22"/>
        </w:rPr>
        <w:t>1</w:t>
      </w:r>
      <w:r w:rsidR="008D365C" w:rsidRPr="006E5888">
        <w:rPr>
          <w:sz w:val="22"/>
        </w:rPr>
        <w:t>6</w:t>
      </w:r>
      <w:r w:rsidRPr="006E5888">
        <w:rPr>
          <w:sz w:val="22"/>
        </w:rPr>
        <w:t>.</w:t>
      </w:r>
      <w:r w:rsidRPr="006E5888">
        <w:rPr>
          <w:i/>
          <w:sz w:val="22"/>
        </w:rPr>
        <w:t xml:space="preserve">att. </w:t>
      </w:r>
      <w:r w:rsidRPr="006E5888">
        <w:rPr>
          <w:b/>
          <w:sz w:val="22"/>
        </w:rPr>
        <w:t>Nulles budžeta pirmais solis</w:t>
      </w:r>
      <w:r w:rsidRPr="006E5888">
        <w:rPr>
          <w:rStyle w:val="FootnoteReference"/>
          <w:b/>
          <w:sz w:val="22"/>
        </w:rPr>
        <w:footnoteReference w:id="13"/>
      </w:r>
    </w:p>
    <w:p w:rsidR="001C2126" w:rsidRPr="006E5888" w:rsidRDefault="001C2126" w:rsidP="001C2126">
      <w:pPr>
        <w:jc w:val="center"/>
        <w:rPr>
          <w:b/>
          <w:sz w:val="22"/>
        </w:rPr>
      </w:pPr>
    </w:p>
    <w:p w:rsidR="00BC1AA6" w:rsidRPr="006E5888" w:rsidRDefault="00BC1AA6" w:rsidP="00605910">
      <w:pPr>
        <w:jc w:val="center"/>
        <w:rPr>
          <w:b/>
          <w:sz w:val="8"/>
          <w:szCs w:val="8"/>
        </w:rPr>
      </w:pPr>
    </w:p>
    <w:p w:rsidR="001B321F" w:rsidRPr="006E5888" w:rsidRDefault="00D4748D" w:rsidP="00B756BC">
      <w:pPr>
        <w:pStyle w:val="ListParagraph"/>
        <w:numPr>
          <w:ilvl w:val="0"/>
          <w:numId w:val="19"/>
        </w:numPr>
      </w:pPr>
      <w:r w:rsidRPr="006E5888">
        <w:t>Analīze (mērķis-rezultāts-resursi)</w:t>
      </w:r>
    </w:p>
    <w:p w:rsidR="00D4748D" w:rsidRPr="006E5888" w:rsidRDefault="00D4748D" w:rsidP="00D4748D">
      <w:pPr>
        <w:ind w:firstLine="709"/>
        <w:jc w:val="both"/>
      </w:pPr>
      <w:r w:rsidRPr="006E5888">
        <w:t>Analīzes process sākas ar atbilstošās jomas problēmu sarakstu. Tiek identificētas visas idejas, nav nesvarīgu, visas ir vajadzīgas.</w:t>
      </w:r>
      <w:r w:rsidR="00B23B04" w:rsidRPr="006E5888">
        <w:t xml:space="preserve">  Tālāk tie izveidota problēmu piramīda, meklējot cēloņus un to sekas, un gala rezultātā problēmas tiek pārdefinētas mērķos. </w:t>
      </w:r>
    </w:p>
    <w:p w:rsidR="00655A89" w:rsidRPr="006E5888" w:rsidRDefault="00916387" w:rsidP="001E120F">
      <w:pPr>
        <w:ind w:firstLine="709"/>
        <w:jc w:val="both"/>
      </w:pPr>
      <w:r w:rsidRPr="006E5888">
        <w:lastRenderedPageBreak/>
        <w:t xml:space="preserve">Gadījumos, kad valsts attīstības mērķi jau ir definēti ilgtermiņa un vidēja termiņa plānošanas dokumentos, kā tas ir Latvijā, nulles budžeta pirmais posms ļauj pārrakstīt tos matricas </w:t>
      </w:r>
      <w:r w:rsidR="006D7A79" w:rsidRPr="006E5888">
        <w:t>augšā, neattīstot savu versiju.</w:t>
      </w:r>
      <w:r w:rsidR="001E120F" w:rsidRPr="006E5888">
        <w:t xml:space="preserve"> </w:t>
      </w:r>
      <w:r w:rsidR="00543F57" w:rsidRPr="006E5888">
        <w:t xml:space="preserve">Turpinājumā nepieciešams izveidot alternatīvo versiju, t.i., </w:t>
      </w:r>
      <w:r w:rsidR="00555155" w:rsidRPr="006E5888">
        <w:t xml:space="preserve">kādā veidā </w:t>
      </w:r>
      <w:r w:rsidR="00543F57" w:rsidRPr="006E5888">
        <w:t xml:space="preserve">varētu nodrošināt pakalpojumu nākamajā gadā un </w:t>
      </w:r>
      <w:r w:rsidR="00555155" w:rsidRPr="006E5888">
        <w:t>kādā veidā</w:t>
      </w:r>
      <w:r w:rsidR="00543F57" w:rsidRPr="006E5888">
        <w:t xml:space="preserve"> varētu sasniegt mērķi. Alternatīva saglabā to pašu loģiku – pasākums ved pie rezultāta, kas savukārt pie mērķa. </w:t>
      </w:r>
    </w:p>
    <w:p w:rsidR="00543F57" w:rsidRPr="006E5888" w:rsidRDefault="00543F57" w:rsidP="00655A89">
      <w:pPr>
        <w:ind w:firstLine="709"/>
        <w:jc w:val="both"/>
      </w:pPr>
      <w:r w:rsidRPr="006E5888">
        <w:t xml:space="preserve">Izstrādājot katru no versijām (standarta un alternatīvo), idejas nodrošināšanai tiek definēti arī visi nepieciešamie resursi (darbinieki, iekārtas utt.). Tātad tiek veidots budžeta pozīciju saraksts jeb grāmatvedības dokumentu kreisā puse. Papildus tam katrs risinājums tiek skatīts trīs dažādos līmeņos: bāzes jeb minimālais scenārijs, standarta scenārijs un uzlabotais jeb </w:t>
      </w:r>
      <w:proofErr w:type="spellStart"/>
      <w:r w:rsidRPr="006E5888">
        <w:rPr>
          <w:i/>
        </w:rPr>
        <w:t>premium</w:t>
      </w:r>
      <w:proofErr w:type="spellEnd"/>
      <w:r w:rsidRPr="006E5888">
        <w:t xml:space="preserve"> scenārijs.</w:t>
      </w:r>
    </w:p>
    <w:p w:rsidR="00B23B04" w:rsidRPr="006E5888" w:rsidRDefault="00B23B04" w:rsidP="00543F57">
      <w:pPr>
        <w:jc w:val="both"/>
        <w:rPr>
          <w:sz w:val="8"/>
          <w:szCs w:val="8"/>
        </w:rPr>
      </w:pPr>
    </w:p>
    <w:p w:rsidR="00543F57" w:rsidRPr="006E5888" w:rsidRDefault="00543F57" w:rsidP="00B756BC">
      <w:pPr>
        <w:pStyle w:val="ListParagraph"/>
        <w:numPr>
          <w:ilvl w:val="0"/>
          <w:numId w:val="19"/>
        </w:numPr>
        <w:jc w:val="both"/>
      </w:pPr>
      <w:r w:rsidRPr="006E5888">
        <w:t>Izdevumi</w:t>
      </w:r>
    </w:p>
    <w:p w:rsidR="00543F57" w:rsidRPr="006E5888" w:rsidRDefault="00543F57" w:rsidP="00543F57">
      <w:pPr>
        <w:ind w:firstLine="709"/>
        <w:jc w:val="both"/>
      </w:pPr>
      <w:r w:rsidRPr="006E5888">
        <w:t>Šajā posmā parādās katra scenārija izmaksas. Ideālā nulles budžeta ietvaros budžets tiek veidots sākotnēji nesaistīts ar vispārējām finanšu iespējām.</w:t>
      </w:r>
    </w:p>
    <w:p w:rsidR="00543F57" w:rsidRPr="006E5888" w:rsidRDefault="00543F57" w:rsidP="00543F57">
      <w:pPr>
        <w:ind w:firstLine="709"/>
        <w:jc w:val="both"/>
      </w:pPr>
      <w:r w:rsidRPr="006E5888">
        <w:t>Saskaņā ar nulles budžeta</w:t>
      </w:r>
      <w:r w:rsidR="00A13468" w:rsidRPr="006E5888">
        <w:t xml:space="preserve"> matricu bāzes scenārijs</w:t>
      </w:r>
      <w:r w:rsidRPr="006E5888">
        <w:t xml:space="preserve"> ir ar minimāl</w:t>
      </w:r>
      <w:r w:rsidR="00A13468" w:rsidRPr="006E5888">
        <w:t>ais</w:t>
      </w:r>
      <w:r w:rsidRPr="006E5888">
        <w:t xml:space="preserve"> finansējuma līmeni, kas nepieciešams, lai saglabātu pakalpojuma rentabilitāti. Savukārt standarta scenārijam par pamatu kalpo bāzes scenārijs, kam (atbilstoši jaunajam pakalpojumu līmenim) tiks pievienots papildu finansējums. Tādējādi papildu izdevumi korelē ar papildu ieguvumiem (jeb kas tiek iegūts, palielinot finansējumu). Ja nav ieguvumu, nav pamata arī augstākam finansējuma līmenim.</w:t>
      </w:r>
    </w:p>
    <w:p w:rsidR="00543F57" w:rsidRPr="006E5888" w:rsidRDefault="00543F57" w:rsidP="00543F57">
      <w:pPr>
        <w:ind w:firstLine="709"/>
        <w:jc w:val="both"/>
      </w:pPr>
      <w:r w:rsidRPr="006E5888">
        <w:t>Izdevumu veidošanai ir vairākas iespējas:</w:t>
      </w:r>
    </w:p>
    <w:p w:rsidR="00543F57" w:rsidRPr="006E5888" w:rsidRDefault="00543F57" w:rsidP="00543F57">
      <w:pPr>
        <w:ind w:firstLine="709"/>
        <w:jc w:val="both"/>
      </w:pPr>
      <w:r w:rsidRPr="006E5888">
        <w:t xml:space="preserve">1)   Sākt no 0 </w:t>
      </w:r>
      <w:proofErr w:type="spellStart"/>
      <w:r w:rsidRPr="006E5888">
        <w:rPr>
          <w:i/>
        </w:rPr>
        <w:t>euro</w:t>
      </w:r>
      <w:proofErr w:type="spellEnd"/>
      <w:r w:rsidRPr="006E5888">
        <w:t xml:space="preserve">. Tātad nav atsauces uz iepriekšējo pieredzi, izpildi vai gadiem. Tā kā pakalpojuma līmenis jau ir nodefinēts, atliek </w:t>
      </w:r>
      <w:r w:rsidR="0062409A" w:rsidRPr="006E5888">
        <w:t xml:space="preserve">noteikt </w:t>
      </w:r>
      <w:r w:rsidRPr="006E5888">
        <w:t>finansējumu. Tomēr šeit ir vairāki priekšnoteikumi, piemēram, vienoties, kā nosaka uzturēšanas izdevumus, kas ir atsauces vērtība vai avots, kā tiek noteikts algu līmenis;</w:t>
      </w:r>
    </w:p>
    <w:p w:rsidR="00543F57" w:rsidRPr="006E5888" w:rsidRDefault="00543F57" w:rsidP="00543F57">
      <w:pPr>
        <w:ind w:firstLine="709"/>
        <w:jc w:val="both"/>
      </w:pPr>
      <w:r w:rsidRPr="006E5888">
        <w:t xml:space="preserve">2)   Sākt no 70% pret iepriekšējo gadu, kas nozīmē, ka daļa ir garantētā summa, bet pārējais ir jāpierāda (ja nevar, tad finansējumu nepiešķir). Līmeni var noteikt, vērtējot iepriekšējo gadu izpildi. Tikmēr nepilnība ar šādu pieeju ir tā, ka netiek veikts pilns bāzes izdevumu </w:t>
      </w:r>
      <w:proofErr w:type="spellStart"/>
      <w:r w:rsidRPr="006E5888">
        <w:t>izvērtējums</w:t>
      </w:r>
      <w:proofErr w:type="spellEnd"/>
      <w:r w:rsidRPr="006E5888">
        <w:t>, zaudējot efektivitātes ideju;</w:t>
      </w:r>
    </w:p>
    <w:p w:rsidR="001B321F" w:rsidRPr="006E5888" w:rsidRDefault="00543F57" w:rsidP="00543F57">
      <w:pPr>
        <w:ind w:firstLine="709"/>
        <w:jc w:val="both"/>
      </w:pPr>
      <w:r w:rsidRPr="006E5888">
        <w:t>3)   Sākt no 70% pret salīdzinošo vērtību (</w:t>
      </w:r>
      <w:proofErr w:type="spellStart"/>
      <w:r w:rsidRPr="006E5888">
        <w:rPr>
          <w:i/>
        </w:rPr>
        <w:t>benchmark</w:t>
      </w:r>
      <w:proofErr w:type="spellEnd"/>
      <w:r w:rsidRPr="006E5888">
        <w:t>) – citām, līdzīgām valstīm, ar ko gribētu vai vajadzētu sevi salīdzināt (IKP uz personu vai sasniegumi kādos rādītājos). Pieejas papildu nepilnība – valstīs ar augstākiem budžeta ienākumiem (procentu izteiksmē pret IKP), nozarēm ir iespējams novirzīt lielāku budžeta finansējuma daļu, tādējādi pat minimālais scenārijs var būtiski pārsniegt budžeta iespējas.</w:t>
      </w:r>
    </w:p>
    <w:p w:rsidR="00543F57" w:rsidRPr="006E5888" w:rsidRDefault="00543F57" w:rsidP="00543F57">
      <w:pPr>
        <w:jc w:val="both"/>
        <w:rPr>
          <w:sz w:val="8"/>
          <w:szCs w:val="8"/>
        </w:rPr>
      </w:pPr>
    </w:p>
    <w:p w:rsidR="00543F57" w:rsidRPr="006E5888" w:rsidRDefault="00543F57" w:rsidP="00B756BC">
      <w:pPr>
        <w:pStyle w:val="ListParagraph"/>
        <w:numPr>
          <w:ilvl w:val="0"/>
          <w:numId w:val="19"/>
        </w:numPr>
        <w:jc w:val="both"/>
      </w:pPr>
      <w:proofErr w:type="spellStart"/>
      <w:r w:rsidRPr="006E5888">
        <w:t>Ranžēšana</w:t>
      </w:r>
      <w:proofErr w:type="spellEnd"/>
    </w:p>
    <w:p w:rsidR="003F78A4" w:rsidRPr="006E5888" w:rsidRDefault="00543F57" w:rsidP="001C2126">
      <w:pPr>
        <w:ind w:firstLine="709"/>
        <w:jc w:val="both"/>
      </w:pPr>
      <w:proofErr w:type="spellStart"/>
      <w:r w:rsidRPr="006E5888">
        <w:t>Ranžēšana</w:t>
      </w:r>
      <w:proofErr w:type="spellEnd"/>
      <w:r w:rsidRPr="006E5888">
        <w:t xml:space="preserve"> ir kompromiss starp mērķi un izmaksām un identificē prioritātes, kas tālāk tiks virzītas nozares p</w:t>
      </w:r>
      <w:r w:rsidR="005A2146" w:rsidRPr="006E5888">
        <w:t xml:space="preserve">olitikas īstenošanas budžetam. </w:t>
      </w:r>
    </w:p>
    <w:p w:rsidR="001C2126" w:rsidRPr="006E5888" w:rsidRDefault="001C2126" w:rsidP="001C2126">
      <w:pPr>
        <w:ind w:firstLine="709"/>
        <w:jc w:val="both"/>
        <w:rPr>
          <w:sz w:val="8"/>
          <w:szCs w:val="8"/>
        </w:rPr>
      </w:pPr>
    </w:p>
    <w:p w:rsidR="00555155" w:rsidRPr="006E5888" w:rsidRDefault="001C2126" w:rsidP="003F78A4">
      <w:r w:rsidRPr="006E5888">
        <w:rPr>
          <w:noProof/>
          <w:lang w:eastAsia="lv-LV"/>
        </w:rPr>
        <mc:AlternateContent>
          <mc:Choice Requires="wps">
            <w:drawing>
              <wp:anchor distT="0" distB="0" distL="114300" distR="114300" simplePos="0" relativeHeight="251706368" behindDoc="0" locked="0" layoutInCell="1" allowOverlap="1" wp14:anchorId="3F803D57" wp14:editId="35BDFE5C">
                <wp:simplePos x="0" y="0"/>
                <wp:positionH relativeFrom="column">
                  <wp:posOffset>5616575</wp:posOffset>
                </wp:positionH>
                <wp:positionV relativeFrom="paragraph">
                  <wp:posOffset>1725016</wp:posOffset>
                </wp:positionV>
                <wp:extent cx="636422" cy="241401"/>
                <wp:effectExtent l="0" t="0" r="0" b="6350"/>
                <wp:wrapNone/>
                <wp:docPr id="51" name="Text Box 51"/>
                <wp:cNvGraphicFramePr/>
                <a:graphic xmlns:a="http://schemas.openxmlformats.org/drawingml/2006/main">
                  <a:graphicData uri="http://schemas.microsoft.com/office/word/2010/wordprocessingShape">
                    <wps:wsp>
                      <wps:cNvSpPr txBox="1"/>
                      <wps:spPr>
                        <a:xfrm>
                          <a:off x="0" y="0"/>
                          <a:ext cx="636422" cy="241401"/>
                        </a:xfrm>
                        <a:prstGeom prst="rect">
                          <a:avLst/>
                        </a:prstGeom>
                        <a:noFill/>
                        <a:ln w="6350">
                          <a:noFill/>
                        </a:ln>
                      </wps:spPr>
                      <wps:txbx>
                        <w:txbxContent>
                          <w:p w:rsidR="002B28B5" w:rsidRDefault="002B28B5" w:rsidP="00C23287">
                            <w:r>
                              <w:t>3.solis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803D57" id="Text Box 51" o:spid="_x0000_s1048" type="#_x0000_t202" style="position:absolute;margin-left:442.25pt;margin-top:135.85pt;width:50.1pt;height:19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" filled="f" stroked="f" strokeweight=".5pt">
                <v:textbox>
                  <w:txbxContent>
                    <w:p w:rsidR="002B28B5" w:rsidRDefault="002B28B5" w:rsidP="00C23287">
                      <w:r>
                        <w:t>3.solis</w:t>
                      </w:r>
                    </w:p>
                  </w:txbxContent>
                </v:textbox>
              </v:shape>
            </w:pict>
          </mc:Fallback>
        </mc:AlternateContent>
      </w:r>
      <w:r w:rsidRPr="006E5888">
        <w:rPr>
          <w:noProof/>
          <w:lang w:eastAsia="lv-LV"/>
        </w:rPr>
        <mc:AlternateContent>
          <mc:Choice Requires="wps">
            <w:drawing>
              <wp:anchor distT="0" distB="0" distL="114300" distR="114300" simplePos="0" relativeHeight="251708416" behindDoc="0" locked="0" layoutInCell="1" allowOverlap="1" wp14:anchorId="54D3DB66" wp14:editId="5E94B8EF">
                <wp:simplePos x="0" y="0"/>
                <wp:positionH relativeFrom="column">
                  <wp:posOffset>5631561</wp:posOffset>
                </wp:positionH>
                <wp:positionV relativeFrom="paragraph">
                  <wp:posOffset>2060728</wp:posOffset>
                </wp:positionV>
                <wp:extent cx="636422" cy="241401"/>
                <wp:effectExtent l="0" t="0" r="0" b="6350"/>
                <wp:wrapNone/>
                <wp:docPr id="52" name="Text Box 52"/>
                <wp:cNvGraphicFramePr/>
                <a:graphic xmlns:a="http://schemas.openxmlformats.org/drawingml/2006/main">
                  <a:graphicData uri="http://schemas.microsoft.com/office/word/2010/wordprocessingShape">
                    <wps:wsp>
                      <wps:cNvSpPr txBox="1"/>
                      <wps:spPr>
                        <a:xfrm>
                          <a:off x="0" y="0"/>
                          <a:ext cx="636422" cy="241401"/>
                        </a:xfrm>
                        <a:prstGeom prst="rect">
                          <a:avLst/>
                        </a:prstGeom>
                        <a:noFill/>
                        <a:ln w="6350">
                          <a:noFill/>
                        </a:ln>
                      </wps:spPr>
                      <wps:txbx>
                        <w:txbxContent>
                          <w:p w:rsidR="002B28B5" w:rsidRDefault="002B28B5" w:rsidP="00C23287">
                            <w:r>
                              <w:t>4.solis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D3DB66" id="Text Box 52" o:spid="_x0000_s1049" type="#_x0000_t202" style="position:absolute;margin-left:443.45pt;margin-top:162.25pt;width:50.1pt;height:19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" filled="f" stroked="f" strokeweight=".5pt">
                <v:textbox>
                  <w:txbxContent>
                    <w:p w:rsidR="002B28B5" w:rsidRDefault="002B28B5" w:rsidP="00C23287">
                      <w:r>
                        <w:t>4.solis</w:t>
                      </w:r>
                    </w:p>
                  </w:txbxContent>
                </v:textbox>
              </v:shape>
            </w:pict>
          </mc:Fallback>
        </mc:AlternateContent>
      </w:r>
      <w:r w:rsidRPr="006E5888">
        <w:rPr>
          <w:noProof/>
          <w:lang w:eastAsia="lv-LV"/>
        </w:rPr>
        <mc:AlternateContent>
          <mc:Choice Requires="wps">
            <w:drawing>
              <wp:anchor distT="0" distB="0" distL="114300" distR="114300" simplePos="0" relativeHeight="251703296" behindDoc="0" locked="0" layoutInCell="1" allowOverlap="1" wp14:anchorId="0A87A3B6" wp14:editId="10A02C66">
                <wp:simplePos x="0" y="0"/>
                <wp:positionH relativeFrom="column">
                  <wp:posOffset>5408905</wp:posOffset>
                </wp:positionH>
                <wp:positionV relativeFrom="paragraph">
                  <wp:posOffset>44501</wp:posOffset>
                </wp:positionV>
                <wp:extent cx="160172" cy="1572768"/>
                <wp:effectExtent l="0" t="0" r="30480" b="27940"/>
                <wp:wrapNone/>
                <wp:docPr id="48" name="Right Brace 48"/>
                <wp:cNvGraphicFramePr/>
                <a:graphic xmlns:a="http://schemas.openxmlformats.org/drawingml/2006/main">
                  <a:graphicData uri="http://schemas.microsoft.com/office/word/2010/wordprocessingShape">
                    <wps:wsp>
                      <wps:cNvSpPr/>
                      <wps:spPr>
                        <a:xfrm>
                          <a:off x="0" y="0"/>
                          <a:ext cx="160172" cy="1572768"/>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5E245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8" o:spid="_x0000_s1026" type="#_x0000_t88" style="position:absolute;margin-left:425.9pt;margin-top:3.5pt;width:12.6pt;height:123.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" adj="183" strokecolor="#5b9bd5 [3204]" strokeweight="1pt">
                <v:stroke joinstyle="miter"/>
              </v:shape>
            </w:pict>
          </mc:Fallback>
        </mc:AlternateContent>
      </w:r>
      <w:r w:rsidR="00C23287" w:rsidRPr="006E5888">
        <w:rPr>
          <w:noProof/>
          <w:lang w:eastAsia="lv-LV"/>
        </w:rPr>
        <mc:AlternateContent>
          <mc:Choice Requires="wps">
            <w:drawing>
              <wp:anchor distT="0" distB="0" distL="114300" distR="114300" simplePos="0" relativeHeight="251704320" behindDoc="0" locked="0" layoutInCell="1" allowOverlap="1" wp14:anchorId="6BD41021" wp14:editId="417BC257">
                <wp:simplePos x="0" y="0"/>
                <wp:positionH relativeFrom="column">
                  <wp:posOffset>5685587</wp:posOffset>
                </wp:positionH>
                <wp:positionV relativeFrom="paragraph">
                  <wp:posOffset>727736</wp:posOffset>
                </wp:positionV>
                <wp:extent cx="636422" cy="241401"/>
                <wp:effectExtent l="0" t="0" r="0" b="6350"/>
                <wp:wrapNone/>
                <wp:docPr id="49" name="Text Box 49"/>
                <wp:cNvGraphicFramePr/>
                <a:graphic xmlns:a="http://schemas.openxmlformats.org/drawingml/2006/main">
                  <a:graphicData uri="http://schemas.microsoft.com/office/word/2010/wordprocessingShape">
                    <wps:wsp>
                      <wps:cNvSpPr txBox="1"/>
                      <wps:spPr>
                        <a:xfrm>
                          <a:off x="0" y="0"/>
                          <a:ext cx="636422" cy="241401"/>
                        </a:xfrm>
                        <a:prstGeom prst="rect">
                          <a:avLst/>
                        </a:prstGeom>
                        <a:noFill/>
                        <a:ln w="6350">
                          <a:noFill/>
                        </a:ln>
                      </wps:spPr>
                      <wps:txbx>
                        <w:txbxContent>
                          <w:p w:rsidR="002B28B5" w:rsidRDefault="002B28B5">
                            <w:r>
                              <w:t>2.solis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D41021" id="Text Box 49" o:spid="_x0000_s1050" type="#_x0000_t202" style="position:absolute;margin-left:447.7pt;margin-top:57.3pt;width:50.1pt;height:19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" filled="f" stroked="f" strokeweight=".5pt">
                <v:textbox>
                  <w:txbxContent>
                    <w:p w:rsidR="002B28B5" w:rsidRDefault="002B28B5">
                      <w:r>
                        <w:t>2.solis</w:t>
                      </w:r>
                    </w:p>
                  </w:txbxContent>
                </v:textbox>
              </v:shape>
            </w:pict>
          </mc:Fallback>
        </mc:AlternateContent>
      </w:r>
      <w:r w:rsidR="00392686" w:rsidRPr="006E5888">
        <w:rPr>
          <w:noProof/>
          <w:lang w:eastAsia="lv-LV"/>
        </w:rPr>
        <w:drawing>
          <wp:inline distT="0" distB="0" distL="0" distR="0" wp14:anchorId="43DB634A" wp14:editId="527CE5FF">
            <wp:extent cx="5406468" cy="237012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9464" cy="2485418"/>
                    </a:xfrm>
                    <a:prstGeom prst="rect">
                      <a:avLst/>
                    </a:prstGeom>
                    <a:noFill/>
                  </pic:spPr>
                </pic:pic>
              </a:graphicData>
            </a:graphic>
          </wp:inline>
        </w:drawing>
      </w:r>
    </w:p>
    <w:p w:rsidR="0062409A" w:rsidRPr="006E5888" w:rsidRDefault="00392686" w:rsidP="00555155">
      <w:pPr>
        <w:jc w:val="center"/>
      </w:pPr>
      <w:r w:rsidRPr="006E5888">
        <w:rPr>
          <w:sz w:val="22"/>
        </w:rPr>
        <w:t>1</w:t>
      </w:r>
      <w:r w:rsidR="008D365C" w:rsidRPr="006E5888">
        <w:rPr>
          <w:sz w:val="22"/>
        </w:rPr>
        <w:t>7</w:t>
      </w:r>
      <w:r w:rsidRPr="006E5888">
        <w:rPr>
          <w:sz w:val="22"/>
        </w:rPr>
        <w:t>.</w:t>
      </w:r>
      <w:r w:rsidRPr="006E5888">
        <w:rPr>
          <w:i/>
          <w:sz w:val="22"/>
        </w:rPr>
        <w:t xml:space="preserve">att. </w:t>
      </w:r>
      <w:r w:rsidRPr="006E5888">
        <w:rPr>
          <w:b/>
          <w:sz w:val="22"/>
        </w:rPr>
        <w:t>Nulles budžeta otrais, trešais un ceturtais solis</w:t>
      </w:r>
      <w:r w:rsidR="00C23287" w:rsidRPr="006E5888">
        <w:rPr>
          <w:rStyle w:val="FootnoteReference"/>
          <w:b/>
          <w:sz w:val="22"/>
        </w:rPr>
        <w:footnoteReference w:id="14"/>
      </w:r>
    </w:p>
    <w:p w:rsidR="00311265" w:rsidRPr="006E5888" w:rsidRDefault="00311265" w:rsidP="00311265">
      <w:pPr>
        <w:ind w:firstLine="709"/>
        <w:jc w:val="both"/>
      </w:pPr>
    </w:p>
    <w:p w:rsidR="001B321F" w:rsidRPr="006E5888" w:rsidRDefault="002C2842" w:rsidP="00B756BC">
      <w:pPr>
        <w:pStyle w:val="ListParagraph"/>
        <w:numPr>
          <w:ilvl w:val="0"/>
          <w:numId w:val="19"/>
        </w:numPr>
      </w:pPr>
      <w:r w:rsidRPr="006E5888">
        <w:t>Ieņēmumi, izdevumi</w:t>
      </w:r>
    </w:p>
    <w:p w:rsidR="002C2842" w:rsidRPr="006E5888" w:rsidRDefault="002C2842" w:rsidP="006D7A79">
      <w:pPr>
        <w:ind w:firstLine="709"/>
        <w:jc w:val="both"/>
      </w:pPr>
      <w:r w:rsidRPr="006E5888">
        <w:t xml:space="preserve">Šajā posmā vēlmes tiek liktas kopā ar finanšu iespējām. Tādēļ ļoti svarīgi ir iepriekšējie soļi, t.i., pārdomāti scenāriji, </w:t>
      </w:r>
      <w:proofErr w:type="spellStart"/>
      <w:r w:rsidRPr="006E5888">
        <w:t>ranžēšana</w:t>
      </w:r>
      <w:proofErr w:type="spellEnd"/>
      <w:r w:rsidRPr="006E5888">
        <w:t xml:space="preserve"> un vadītāju atkal-un-atkal pārbaudes (hierarhijā uz augšu), vai scenārijiem dotais novērtējums saskan ar devumu mērķim (novēršot personīgās intereses).</w:t>
      </w:r>
    </w:p>
    <w:p w:rsidR="002C2842" w:rsidRPr="006E5888" w:rsidRDefault="002C2842" w:rsidP="006D7A79">
      <w:pPr>
        <w:ind w:firstLine="709"/>
        <w:jc w:val="both"/>
      </w:pPr>
      <w:r w:rsidRPr="006E5888">
        <w:t>Pirmkārt, nulles budžeta pieeja ļauj saprast, kur esam, kurp tiecamies, kurām (un kāpēc) jābūt valsts budžeta prioritātēm.</w:t>
      </w:r>
    </w:p>
    <w:p w:rsidR="002C2842" w:rsidRPr="006E5888" w:rsidRDefault="002C2842" w:rsidP="006D7A79">
      <w:pPr>
        <w:ind w:firstLine="709"/>
        <w:jc w:val="both"/>
      </w:pPr>
      <w:r w:rsidRPr="006E5888">
        <w:t>Otrkārt, izstrādājot vairākas versijas, var izrādīties, ka alternatīvais risinājums minimālajā scenārijā ir efektīvāks nekā esošais risinājums ar standarta līmeņa izmaksām.</w:t>
      </w:r>
    </w:p>
    <w:p w:rsidR="002C2842" w:rsidRPr="006E5888" w:rsidRDefault="002C2842" w:rsidP="006D7A79">
      <w:pPr>
        <w:ind w:firstLine="709"/>
        <w:jc w:val="both"/>
      </w:pPr>
      <w:r w:rsidRPr="006E5888">
        <w:t xml:space="preserve">Tas savukārt ved pie trešā aspekta – </w:t>
      </w:r>
      <w:proofErr w:type="spellStart"/>
      <w:r w:rsidRPr="006E5888">
        <w:t>ranžēšanas</w:t>
      </w:r>
      <w:proofErr w:type="spellEnd"/>
      <w:r w:rsidRPr="006E5888">
        <w:t xml:space="preserve"> rezultātā darba grupa var izvēlēties zemāku pakalpojumu līmeni, ja nav pamats augstākam. Tādējādi efektīvu risinājumu rezultātā viens risinājums rod līdzekļus citai prioritātei, un papildu finansējums kopējā budžetā nav nepieciešams. Līdzīgi rīkojas gadījumos, kad nulles budžeta uzdevums ir samazināt budžeta izdevumus (vai rast fiskālo telpu jaunām iniciatīvām, nepalielinot izdevumus). Pretēji pieejai, kad lemj finansēt tos pašus pakalpojumus, ko pagājušajā gadā tikai ar mazāku finansējumu (brīvos līdzekļus rodot primāri caur tādu izdevumu samazināšanu kā apmācības, komandējumi </w:t>
      </w:r>
      <w:proofErr w:type="spellStart"/>
      <w:r w:rsidRPr="006E5888">
        <w:t>utml</w:t>
      </w:r>
      <w:proofErr w:type="spellEnd"/>
      <w:r w:rsidRPr="006E5888">
        <w:t>.), nulles budžetā tiek vērtēts, kuras programmas un pakalpojumi ir jāfinansē vispirms un kādā līmenī, lai joprojām sekmētu mērķa sasniegšanu.</w:t>
      </w:r>
    </w:p>
    <w:p w:rsidR="006D7A79" w:rsidRPr="006E5888" w:rsidRDefault="006D7A79" w:rsidP="006D7A79">
      <w:pPr>
        <w:ind w:firstLine="709"/>
        <w:jc w:val="both"/>
        <w:rPr>
          <w:sz w:val="8"/>
          <w:szCs w:val="8"/>
        </w:rPr>
      </w:pPr>
    </w:p>
    <w:p w:rsidR="00C23287" w:rsidRPr="006E5888" w:rsidRDefault="002C2842" w:rsidP="00B756BC">
      <w:pPr>
        <w:pStyle w:val="ListParagraph"/>
        <w:numPr>
          <w:ilvl w:val="0"/>
          <w:numId w:val="19"/>
        </w:numPr>
      </w:pPr>
      <w:r w:rsidRPr="006E5888">
        <w:t>Kopējais budžets</w:t>
      </w:r>
    </w:p>
    <w:p w:rsidR="002C2842" w:rsidRPr="006E5888" w:rsidRDefault="002C2842" w:rsidP="006D7A79">
      <w:pPr>
        <w:ind w:firstLine="709"/>
        <w:jc w:val="both"/>
      </w:pPr>
      <w:r w:rsidRPr="006E5888">
        <w:t xml:space="preserve">Aprēķinātos, izvērtētos un </w:t>
      </w:r>
      <w:proofErr w:type="spellStart"/>
      <w:r w:rsidRPr="006E5888">
        <w:t>prioritizētos</w:t>
      </w:r>
      <w:proofErr w:type="spellEnd"/>
      <w:r w:rsidRPr="006E5888">
        <w:t xml:space="preserve"> scenārijus iesniedz un aizstāv. Process hierarhiski turpinās, līdz visbeidzot veidojas nozares plāns, kas spēj pierādīt sasaisti ar mērķi un izdevumu pamatotību.</w:t>
      </w:r>
    </w:p>
    <w:p w:rsidR="00866851" w:rsidRPr="006E5888" w:rsidRDefault="00866851" w:rsidP="006D7A79">
      <w:pPr>
        <w:ind w:firstLine="709"/>
        <w:jc w:val="both"/>
      </w:pPr>
      <w:r w:rsidRPr="006E5888">
        <w:t xml:space="preserve">Praksē pilna nulles budžeta versija ir novērojama reti un biežāk privātajā sektorā. Valsts sektorā biežāk tiek izmantotas </w:t>
      </w:r>
      <w:r w:rsidR="00D3685D" w:rsidRPr="006E5888">
        <w:t xml:space="preserve">variētas </w:t>
      </w:r>
      <w:r w:rsidRPr="006E5888">
        <w:t xml:space="preserve">nulles budžeta metodes. </w:t>
      </w:r>
    </w:p>
    <w:p w:rsidR="00314173" w:rsidRPr="006E5888" w:rsidRDefault="00314173" w:rsidP="00314173">
      <w:pPr>
        <w:ind w:firstLine="709"/>
        <w:rPr>
          <w:i/>
        </w:rPr>
      </w:pPr>
      <w:r w:rsidRPr="006E5888">
        <w:rPr>
          <w:i/>
        </w:rPr>
        <w:t>Vispārējie nulles budžeta trūkumi:</w:t>
      </w:r>
    </w:p>
    <w:p w:rsidR="00314173" w:rsidRPr="006E5888" w:rsidRDefault="00314173" w:rsidP="00B756BC">
      <w:pPr>
        <w:pStyle w:val="ListParagraph"/>
        <w:numPr>
          <w:ilvl w:val="0"/>
          <w:numId w:val="20"/>
        </w:numPr>
        <w:jc w:val="both"/>
      </w:pPr>
      <w:r w:rsidRPr="006E5888">
        <w:t xml:space="preserve">Laikietilpīgs. </w:t>
      </w:r>
    </w:p>
    <w:p w:rsidR="00314173" w:rsidRPr="006E5888" w:rsidRDefault="00314173" w:rsidP="00B756BC">
      <w:pPr>
        <w:pStyle w:val="ListParagraph"/>
        <w:numPr>
          <w:ilvl w:val="0"/>
          <w:numId w:val="20"/>
        </w:numPr>
        <w:jc w:val="both"/>
      </w:pPr>
      <w:r w:rsidRPr="006E5888">
        <w:t>Ierobežojošs. Pamatot katru vienumu var būt problemātiska, jo ir nemateriāli rezultāti.</w:t>
      </w:r>
    </w:p>
    <w:p w:rsidR="00314173" w:rsidRPr="006E5888" w:rsidRDefault="00314173" w:rsidP="00B756BC">
      <w:pPr>
        <w:pStyle w:val="ListParagraph"/>
        <w:numPr>
          <w:ilvl w:val="0"/>
          <w:numId w:val="20"/>
        </w:numPr>
        <w:jc w:val="both"/>
      </w:pPr>
      <w:r w:rsidRPr="006E5888">
        <w:t xml:space="preserve">Pārlieku detalizēts. </w:t>
      </w:r>
    </w:p>
    <w:p w:rsidR="00314173" w:rsidRPr="006E5888" w:rsidRDefault="00314173" w:rsidP="00314173">
      <w:pPr>
        <w:spacing w:before="120"/>
      </w:pPr>
      <w:r w:rsidRPr="006E5888">
        <w:t>Nulles budžeta priekšrocības:</w:t>
      </w:r>
    </w:p>
    <w:p w:rsidR="00314173" w:rsidRPr="006E5888" w:rsidRDefault="00314173" w:rsidP="00B756BC">
      <w:pPr>
        <w:pStyle w:val="ListParagraph"/>
        <w:numPr>
          <w:ilvl w:val="0"/>
          <w:numId w:val="21"/>
        </w:numPr>
        <w:jc w:val="both"/>
      </w:pPr>
      <w:r w:rsidRPr="006E5888">
        <w:t>Fokuss. Izmatojot nulles budžetu pieeju, izdevumi izriet no darbiem, rezultātiem un mērķiem.</w:t>
      </w:r>
    </w:p>
    <w:p w:rsidR="00314173" w:rsidRPr="006E5888" w:rsidRDefault="00314173" w:rsidP="00B756BC">
      <w:pPr>
        <w:pStyle w:val="ListParagraph"/>
        <w:numPr>
          <w:ilvl w:val="0"/>
          <w:numId w:val="21"/>
        </w:numPr>
        <w:jc w:val="both"/>
      </w:pPr>
      <w:r w:rsidRPr="006E5888">
        <w:t xml:space="preserve">Ierobežo nesvarīgas aktivitātes. Pieeja ļauj identificēt nesvarīgas, neraksturīgas aktivitātes (piemēram, sociālās apdrošināšanas politikas īstenotājs veic kapitāldaļu pārraudzību), kuras ir iespējams pārtraukt vai </w:t>
      </w:r>
      <w:proofErr w:type="spellStart"/>
      <w:r w:rsidRPr="006E5888">
        <w:t>efektivizēt</w:t>
      </w:r>
      <w:proofErr w:type="spellEnd"/>
      <w:r w:rsidRPr="006E5888">
        <w:t>.</w:t>
      </w:r>
    </w:p>
    <w:p w:rsidR="00314173" w:rsidRPr="006E5888" w:rsidRDefault="00314173" w:rsidP="00B756BC">
      <w:pPr>
        <w:pStyle w:val="ListParagraph"/>
        <w:numPr>
          <w:ilvl w:val="0"/>
          <w:numId w:val="21"/>
        </w:numPr>
        <w:jc w:val="both"/>
      </w:pPr>
      <w:r w:rsidRPr="006E5888">
        <w:t xml:space="preserve">Alternatīvu analīze. Nulles budžeta pieeja izaicina esošo kārtību un pieprasa alternatīvus ceļus mērķa sasniegšanai, kā arī vērtē dažādu pakalpojumu līmeņu ietekmi; </w:t>
      </w:r>
    </w:p>
    <w:p w:rsidR="002C2842" w:rsidRPr="006E5888" w:rsidRDefault="00314173" w:rsidP="00B756BC">
      <w:pPr>
        <w:pStyle w:val="ListParagraph"/>
        <w:numPr>
          <w:ilvl w:val="0"/>
          <w:numId w:val="21"/>
        </w:numPr>
        <w:jc w:val="both"/>
      </w:pPr>
      <w:r w:rsidRPr="006E5888">
        <w:t>Regulāri pārskati. Nulles budžets palielina iespēju, ka izdevumi un iestādes tiks pārbaudītas regulāri.</w:t>
      </w:r>
    </w:p>
    <w:p w:rsidR="00314173" w:rsidRPr="006E5888" w:rsidRDefault="00A91EE9" w:rsidP="001C2126">
      <w:pPr>
        <w:spacing w:before="120" w:after="120"/>
        <w:ind w:firstLine="709"/>
        <w:jc w:val="both"/>
      </w:pPr>
      <w:r w:rsidRPr="006E5888">
        <w:t>FM veica ministriju</w:t>
      </w:r>
      <w:r w:rsidR="00687D7E" w:rsidRPr="006E5888">
        <w:t xml:space="preserve"> un citu centrālo valsts iestāžu</w:t>
      </w:r>
      <w:r w:rsidRPr="006E5888">
        <w:t xml:space="preserve"> budžeta </w:t>
      </w:r>
      <w:r w:rsidR="00ED0988" w:rsidRPr="006E5888">
        <w:t xml:space="preserve">programmu analīzi, lai saprastu, kuras </w:t>
      </w:r>
      <w:r w:rsidR="00ED0988" w:rsidRPr="006E5888">
        <w:rPr>
          <w:rFonts w:cs="Times New Roman"/>
        </w:rPr>
        <w:t xml:space="preserve">valsts budžeta komponentes plānojam atbilstoši nulles </w:t>
      </w:r>
      <w:r w:rsidR="00687D7E" w:rsidRPr="006E5888">
        <w:rPr>
          <w:rFonts w:cs="Times New Roman"/>
        </w:rPr>
        <w:t>budžeta</w:t>
      </w:r>
      <w:r w:rsidR="00ED0988" w:rsidRPr="006E5888">
        <w:rPr>
          <w:rFonts w:cs="Times New Roman"/>
        </w:rPr>
        <w:t xml:space="preserve"> principam.</w:t>
      </w:r>
    </w:p>
    <w:p w:rsidR="001C2126" w:rsidRPr="006E5888" w:rsidRDefault="001C2126" w:rsidP="001C2126">
      <w:pPr>
        <w:ind w:firstLine="709"/>
        <w:jc w:val="both"/>
        <w:rPr>
          <w:rFonts w:cs="Times New Roman"/>
        </w:rPr>
      </w:pPr>
      <w:r w:rsidRPr="006E5888">
        <w:rPr>
          <w:rFonts w:cs="Times New Roman"/>
        </w:rPr>
        <w:t>Tika noteiktas šādas klasiskās nulles budžeta iezīmes Latvijas izpratnē:</w:t>
      </w:r>
    </w:p>
    <w:p w:rsidR="001C2126" w:rsidRPr="006E5888" w:rsidRDefault="001C2126" w:rsidP="001C2126">
      <w:pPr>
        <w:pStyle w:val="ListParagraph"/>
        <w:numPr>
          <w:ilvl w:val="1"/>
          <w:numId w:val="22"/>
        </w:numPr>
        <w:jc w:val="both"/>
        <w:rPr>
          <w:rFonts w:cs="Times New Roman"/>
        </w:rPr>
      </w:pPr>
      <w:r w:rsidRPr="006E5888">
        <w:rPr>
          <w:rFonts w:cs="Times New Roman"/>
        </w:rPr>
        <w:t>Izdevumi izriet no maksājumu grafikiem;</w:t>
      </w:r>
    </w:p>
    <w:p w:rsidR="001C2126" w:rsidRPr="006E5888" w:rsidRDefault="001C2126" w:rsidP="001C2126">
      <w:pPr>
        <w:pStyle w:val="ListParagraph"/>
        <w:numPr>
          <w:ilvl w:val="1"/>
          <w:numId w:val="22"/>
        </w:numPr>
        <w:jc w:val="both"/>
        <w:rPr>
          <w:rFonts w:cs="Times New Roman"/>
        </w:rPr>
      </w:pPr>
      <w:r w:rsidRPr="006E5888">
        <w:rPr>
          <w:rFonts w:cs="Times New Roman"/>
        </w:rPr>
        <w:t>Izdevumi izriet no līdzekļu saņēmēju skaita/izmaksu apmēra;</w:t>
      </w:r>
    </w:p>
    <w:p w:rsidR="001C2126" w:rsidRPr="006E5888" w:rsidRDefault="001C2126" w:rsidP="001C2126">
      <w:pPr>
        <w:pStyle w:val="ListParagraph"/>
        <w:numPr>
          <w:ilvl w:val="1"/>
          <w:numId w:val="22"/>
        </w:numPr>
        <w:jc w:val="both"/>
        <w:rPr>
          <w:rFonts w:cs="Times New Roman"/>
        </w:rPr>
      </w:pPr>
      <w:r w:rsidRPr="006E5888">
        <w:rPr>
          <w:rFonts w:cs="Times New Roman"/>
        </w:rPr>
        <w:t>Izdevumi paredzēti projektu finansēšanai;</w:t>
      </w:r>
    </w:p>
    <w:p w:rsidR="001C2126" w:rsidRPr="006E5888" w:rsidRDefault="001C2126" w:rsidP="001C2126">
      <w:pPr>
        <w:pStyle w:val="ListParagraph"/>
        <w:numPr>
          <w:ilvl w:val="1"/>
          <w:numId w:val="22"/>
        </w:numPr>
        <w:jc w:val="both"/>
        <w:rPr>
          <w:rFonts w:cs="Times New Roman"/>
        </w:rPr>
      </w:pPr>
      <w:r w:rsidRPr="006E5888">
        <w:rPr>
          <w:rFonts w:cs="Times New Roman"/>
        </w:rPr>
        <w:t xml:space="preserve">Citi gadījumi, kad katru gadu izdevumu apmēru veido no nulles cikla vai nepastāv izdevumu </w:t>
      </w:r>
      <w:proofErr w:type="spellStart"/>
      <w:r w:rsidRPr="006E5888">
        <w:rPr>
          <w:rFonts w:cs="Times New Roman"/>
        </w:rPr>
        <w:t>pārmantojamība</w:t>
      </w:r>
      <w:proofErr w:type="spellEnd"/>
      <w:r w:rsidRPr="006E5888">
        <w:rPr>
          <w:rFonts w:cs="Times New Roman"/>
        </w:rPr>
        <w:t>.</w:t>
      </w:r>
    </w:p>
    <w:p w:rsidR="001C2126" w:rsidRPr="006E5888" w:rsidRDefault="001C2126" w:rsidP="00A92522">
      <w:pPr>
        <w:ind w:firstLine="709"/>
        <w:jc w:val="both"/>
      </w:pPr>
      <w:r w:rsidRPr="006E5888">
        <w:t>Attēlā Nr.1</w:t>
      </w:r>
      <w:r w:rsidR="008D365C" w:rsidRPr="006E5888">
        <w:t>8</w:t>
      </w:r>
      <w:r w:rsidRPr="006E5888">
        <w:t xml:space="preserve"> var redzēt, ka pēc FM veiktās budžeta programmu analīzes, 41,1% no budžeta programmām būtu plānojamas pēc bāzes budžeta principa, savukārt 58,9% no budžeta programmām plānojamas balstoties uz nulles budžeta principiem.</w:t>
      </w:r>
    </w:p>
    <w:p w:rsidR="00ED0988" w:rsidRPr="006E5888" w:rsidRDefault="00ED0988" w:rsidP="00ED0988">
      <w:pPr>
        <w:jc w:val="center"/>
        <w:rPr>
          <w:rFonts w:cs="Times New Roman"/>
        </w:rPr>
      </w:pPr>
      <w:r w:rsidRPr="006E5888">
        <w:rPr>
          <w:rFonts w:cs="Times New Roman"/>
          <w:noProof/>
          <w:lang w:eastAsia="lv-LV"/>
        </w:rPr>
        <w:lastRenderedPageBreak/>
        <w:drawing>
          <wp:inline distT="0" distB="0" distL="0" distR="0" wp14:anchorId="1C9058DB" wp14:editId="68AD8EA4">
            <wp:extent cx="4422290" cy="2757831"/>
            <wp:effectExtent l="19050" t="19050" r="16510" b="2349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27039" cy="2823154"/>
                    </a:xfrm>
                    <a:prstGeom prst="rect">
                      <a:avLst/>
                    </a:prstGeom>
                    <a:noFill/>
                    <a:ln>
                      <a:solidFill>
                        <a:schemeClr val="bg1">
                          <a:lumMod val="85000"/>
                        </a:schemeClr>
                      </a:solidFill>
                    </a:ln>
                  </pic:spPr>
                </pic:pic>
              </a:graphicData>
            </a:graphic>
          </wp:inline>
        </w:drawing>
      </w:r>
    </w:p>
    <w:p w:rsidR="00ED0988" w:rsidRPr="006E5888" w:rsidRDefault="00555155" w:rsidP="00ED0988">
      <w:pPr>
        <w:spacing w:before="120"/>
        <w:jc w:val="center"/>
        <w:rPr>
          <w:rFonts w:cs="Times New Roman"/>
          <w:sz w:val="22"/>
        </w:rPr>
      </w:pPr>
      <w:r w:rsidRPr="006E5888">
        <w:rPr>
          <w:rFonts w:cs="Times New Roman"/>
          <w:sz w:val="22"/>
        </w:rPr>
        <w:t>1</w:t>
      </w:r>
      <w:r w:rsidR="008D365C" w:rsidRPr="006E5888">
        <w:rPr>
          <w:rFonts w:cs="Times New Roman"/>
          <w:sz w:val="22"/>
        </w:rPr>
        <w:t>8</w:t>
      </w:r>
      <w:r w:rsidR="00ED0988" w:rsidRPr="006E5888">
        <w:rPr>
          <w:rFonts w:cs="Times New Roman"/>
          <w:sz w:val="22"/>
        </w:rPr>
        <w:t>.</w:t>
      </w:r>
      <w:r w:rsidR="00ED0988" w:rsidRPr="006E5888">
        <w:rPr>
          <w:rFonts w:cs="Times New Roman"/>
          <w:i/>
          <w:sz w:val="22"/>
        </w:rPr>
        <w:t>att.</w:t>
      </w:r>
      <w:r w:rsidR="00ED0988" w:rsidRPr="006E5888">
        <w:rPr>
          <w:rFonts w:cs="Times New Roman"/>
          <w:sz w:val="22"/>
        </w:rPr>
        <w:t xml:space="preserve"> </w:t>
      </w:r>
      <w:r w:rsidR="00815EFB" w:rsidRPr="006E5888">
        <w:rPr>
          <w:rFonts w:cs="Times New Roman"/>
          <w:b/>
          <w:sz w:val="22"/>
        </w:rPr>
        <w:t>2016.gad</w:t>
      </w:r>
      <w:r w:rsidR="009F0E5E" w:rsidRPr="006E5888">
        <w:rPr>
          <w:rFonts w:cs="Times New Roman"/>
          <w:b/>
          <w:sz w:val="22"/>
        </w:rPr>
        <w:t>a</w:t>
      </w:r>
      <w:r w:rsidR="00815EFB" w:rsidRPr="006E5888">
        <w:rPr>
          <w:rFonts w:cs="Times New Roman"/>
          <w:sz w:val="22"/>
        </w:rPr>
        <w:t xml:space="preserve"> </w:t>
      </w:r>
      <w:r w:rsidR="00ED0988" w:rsidRPr="006E5888">
        <w:rPr>
          <w:rFonts w:cs="Times New Roman"/>
          <w:b/>
          <w:sz w:val="22"/>
        </w:rPr>
        <w:t>Valsts konsolid</w:t>
      </w:r>
      <w:r w:rsidR="00687D7E" w:rsidRPr="006E5888">
        <w:rPr>
          <w:rFonts w:cs="Times New Roman"/>
          <w:b/>
          <w:sz w:val="22"/>
        </w:rPr>
        <w:t xml:space="preserve">ētā budžeta sadalījums atbilstoši veiktajam </w:t>
      </w:r>
      <w:proofErr w:type="spellStart"/>
      <w:r w:rsidR="00687D7E" w:rsidRPr="006E5888">
        <w:rPr>
          <w:rFonts w:cs="Times New Roman"/>
          <w:b/>
          <w:sz w:val="22"/>
        </w:rPr>
        <w:t>izvērtējumam</w:t>
      </w:r>
      <w:proofErr w:type="spellEnd"/>
      <w:r w:rsidR="00687D7E" w:rsidRPr="006E5888">
        <w:rPr>
          <w:rFonts w:cs="Times New Roman"/>
          <w:b/>
          <w:sz w:val="22"/>
        </w:rPr>
        <w:t>,</w:t>
      </w:r>
      <w:r w:rsidR="00687D7E" w:rsidRPr="006E5888">
        <w:rPr>
          <w:rFonts w:cs="Times New Roman"/>
          <w:i/>
          <w:sz w:val="22"/>
        </w:rPr>
        <w:t xml:space="preserve"> </w:t>
      </w:r>
      <w:r w:rsidR="00687D7E" w:rsidRPr="006E5888">
        <w:rPr>
          <w:rFonts w:cs="Times New Roman"/>
          <w:sz w:val="22"/>
        </w:rPr>
        <w:t>%</w:t>
      </w:r>
    </w:p>
    <w:p w:rsidR="002C2842" w:rsidRPr="006E5888" w:rsidRDefault="002C2842" w:rsidP="00252E09">
      <w:pPr>
        <w:tabs>
          <w:tab w:val="left" w:pos="1290"/>
        </w:tabs>
        <w:rPr>
          <w:sz w:val="8"/>
          <w:szCs w:val="8"/>
        </w:rPr>
      </w:pPr>
    </w:p>
    <w:p w:rsidR="00BC1AA6" w:rsidRPr="006E5888" w:rsidRDefault="00BC1AA6" w:rsidP="001C2126">
      <w:pPr>
        <w:jc w:val="both"/>
      </w:pPr>
    </w:p>
    <w:p w:rsidR="002C2842" w:rsidRPr="006E5888" w:rsidRDefault="00652890" w:rsidP="00652890">
      <w:pPr>
        <w:jc w:val="center"/>
      </w:pPr>
      <w:r w:rsidRPr="006E5888">
        <w:rPr>
          <w:noProof/>
          <w:lang w:eastAsia="lv-LV"/>
        </w:rPr>
        <w:drawing>
          <wp:inline distT="0" distB="0" distL="0" distR="0" wp14:anchorId="6546158C" wp14:editId="4CB5923F">
            <wp:extent cx="5402792" cy="3350362"/>
            <wp:effectExtent l="19050" t="19050" r="26670" b="215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97731" cy="3409235"/>
                    </a:xfrm>
                    <a:prstGeom prst="rect">
                      <a:avLst/>
                    </a:prstGeom>
                    <a:noFill/>
                    <a:ln>
                      <a:solidFill>
                        <a:schemeClr val="bg1">
                          <a:lumMod val="85000"/>
                        </a:schemeClr>
                      </a:solidFill>
                    </a:ln>
                  </pic:spPr>
                </pic:pic>
              </a:graphicData>
            </a:graphic>
          </wp:inline>
        </w:drawing>
      </w:r>
    </w:p>
    <w:p w:rsidR="00BC1AA6" w:rsidRPr="006E5888" w:rsidRDefault="00555155" w:rsidP="00A92522">
      <w:pPr>
        <w:spacing w:before="120" w:after="120"/>
        <w:jc w:val="center"/>
        <w:rPr>
          <w:rFonts w:cs="Times New Roman"/>
          <w:b/>
          <w:sz w:val="22"/>
        </w:rPr>
      </w:pPr>
      <w:r w:rsidRPr="006E5888">
        <w:rPr>
          <w:rFonts w:cs="Times New Roman"/>
          <w:sz w:val="22"/>
        </w:rPr>
        <w:t>1</w:t>
      </w:r>
      <w:r w:rsidR="008D365C" w:rsidRPr="006E5888">
        <w:rPr>
          <w:rFonts w:cs="Times New Roman"/>
          <w:sz w:val="22"/>
        </w:rPr>
        <w:t>9</w:t>
      </w:r>
      <w:r w:rsidR="00540830" w:rsidRPr="006E5888">
        <w:rPr>
          <w:rFonts w:cs="Times New Roman"/>
          <w:sz w:val="22"/>
        </w:rPr>
        <w:t>.</w:t>
      </w:r>
      <w:r w:rsidR="00540830" w:rsidRPr="006E5888">
        <w:rPr>
          <w:rFonts w:cs="Times New Roman"/>
          <w:i/>
          <w:sz w:val="22"/>
        </w:rPr>
        <w:t>att.</w:t>
      </w:r>
      <w:r w:rsidR="00540830" w:rsidRPr="006E5888">
        <w:rPr>
          <w:rFonts w:cs="Times New Roman"/>
          <w:sz w:val="22"/>
        </w:rPr>
        <w:t xml:space="preserve"> </w:t>
      </w:r>
      <w:r w:rsidR="009F0E5E" w:rsidRPr="006E5888">
        <w:rPr>
          <w:rFonts w:cs="Times New Roman"/>
          <w:b/>
          <w:sz w:val="22"/>
        </w:rPr>
        <w:t>2016.gada</w:t>
      </w:r>
      <w:r w:rsidR="009F0E5E" w:rsidRPr="006E5888">
        <w:rPr>
          <w:rFonts w:cs="Times New Roman"/>
          <w:sz w:val="22"/>
        </w:rPr>
        <w:t xml:space="preserve"> </w:t>
      </w:r>
      <w:r w:rsidR="00540830" w:rsidRPr="006E5888">
        <w:rPr>
          <w:rFonts w:cs="Times New Roman"/>
          <w:b/>
          <w:sz w:val="22"/>
        </w:rPr>
        <w:t xml:space="preserve">Ministriju un citu centrālo valsts iestāžu sadalījums atbilstoši veiktajam </w:t>
      </w:r>
      <w:proofErr w:type="spellStart"/>
      <w:r w:rsidR="00540830" w:rsidRPr="006E5888">
        <w:rPr>
          <w:rFonts w:cs="Times New Roman"/>
          <w:b/>
          <w:sz w:val="22"/>
        </w:rPr>
        <w:t>izvērtējumam</w:t>
      </w:r>
      <w:proofErr w:type="spellEnd"/>
      <w:r w:rsidR="00540830" w:rsidRPr="006E5888">
        <w:rPr>
          <w:rFonts w:cs="Times New Roman"/>
          <w:b/>
          <w:sz w:val="22"/>
        </w:rPr>
        <w:t>,</w:t>
      </w:r>
      <w:r w:rsidR="00540830" w:rsidRPr="006E5888">
        <w:rPr>
          <w:rFonts w:cs="Times New Roman"/>
          <w:i/>
          <w:sz w:val="22"/>
        </w:rPr>
        <w:t xml:space="preserve"> </w:t>
      </w:r>
      <w:r w:rsidR="00540830" w:rsidRPr="006E5888">
        <w:rPr>
          <w:rFonts w:cs="Times New Roman"/>
          <w:sz w:val="22"/>
        </w:rPr>
        <w:t>%</w:t>
      </w:r>
    </w:p>
    <w:p w:rsidR="002C2842" w:rsidRPr="006E5888" w:rsidRDefault="00BC1AA6" w:rsidP="004F34C2">
      <w:pPr>
        <w:ind w:firstLine="709"/>
        <w:jc w:val="both"/>
      </w:pPr>
      <w:r w:rsidRPr="006E5888">
        <w:t>Attēls Nr.</w:t>
      </w:r>
      <w:r w:rsidR="00555155" w:rsidRPr="006E5888">
        <w:t>1</w:t>
      </w:r>
      <w:r w:rsidR="008D365C" w:rsidRPr="006E5888">
        <w:t>9</w:t>
      </w:r>
      <w:r w:rsidRPr="006E5888">
        <w:t xml:space="preserve"> parāda procentuāli, kāda daļa no ministrijas vai citas centrālās valsts iestādes izdevumiem ir plānojama atbilstoši nulles budžeta principiem, vai atbilstoši bāzes budžeta principiem. No attēla var redzēt, ka, piemēram, LM, SIF, ZM, EM, FM un VARAM vairāk kā 50% no izdevumiem plānojami balstoties uz nulles budžeta principiem.</w:t>
      </w:r>
    </w:p>
    <w:p w:rsidR="00CA1C2E" w:rsidRPr="006E5888" w:rsidRDefault="00CA1C2E" w:rsidP="009B302D">
      <w:pPr>
        <w:pStyle w:val="Heading1"/>
        <w:numPr>
          <w:ilvl w:val="0"/>
          <w:numId w:val="6"/>
        </w:numPr>
        <w:rPr>
          <w:rFonts w:ascii="Times New Roman" w:hAnsi="Times New Roman" w:cs="Times New Roman"/>
          <w:b/>
          <w:color w:val="auto"/>
          <w:sz w:val="24"/>
          <w:szCs w:val="24"/>
        </w:rPr>
      </w:pPr>
      <w:bookmarkStart w:id="10" w:name="_Toc451340347"/>
      <w:r w:rsidRPr="006E5888">
        <w:rPr>
          <w:rFonts w:ascii="Times New Roman" w:hAnsi="Times New Roman" w:cs="Times New Roman"/>
          <w:b/>
          <w:color w:val="auto"/>
          <w:sz w:val="24"/>
          <w:szCs w:val="24"/>
        </w:rPr>
        <w:t>DETALIZĒTS IZVĒRTĒJUMS PRIORITĀRAJĀS JOMĀS</w:t>
      </w:r>
      <w:bookmarkEnd w:id="10"/>
    </w:p>
    <w:p w:rsidR="00CA1C2E" w:rsidRPr="006E5888" w:rsidRDefault="00CA1C2E" w:rsidP="00555155">
      <w:pPr>
        <w:pStyle w:val="Heading2"/>
        <w:spacing w:before="120" w:after="120"/>
        <w:rPr>
          <w:rFonts w:ascii="Times New Roman" w:hAnsi="Times New Roman" w:cs="Times New Roman"/>
          <w:b/>
          <w:color w:val="auto"/>
          <w:sz w:val="24"/>
          <w:szCs w:val="24"/>
        </w:rPr>
      </w:pPr>
      <w:r w:rsidRPr="006E5888">
        <w:rPr>
          <w:rFonts w:ascii="Times New Roman" w:hAnsi="Times New Roman" w:cs="Times New Roman"/>
          <w:b/>
          <w:color w:val="auto"/>
          <w:sz w:val="24"/>
          <w:szCs w:val="24"/>
        </w:rPr>
        <w:t xml:space="preserve"> </w:t>
      </w:r>
      <w:bookmarkStart w:id="11" w:name="_Toc451340348"/>
      <w:r w:rsidR="00F72914" w:rsidRPr="006E5888">
        <w:rPr>
          <w:rFonts w:ascii="Times New Roman" w:hAnsi="Times New Roman" w:cs="Times New Roman"/>
          <w:b/>
          <w:color w:val="auto"/>
          <w:sz w:val="24"/>
          <w:szCs w:val="24"/>
        </w:rPr>
        <w:t xml:space="preserve">6.1. </w:t>
      </w:r>
      <w:r w:rsidRPr="006E5888">
        <w:rPr>
          <w:rFonts w:ascii="Times New Roman" w:hAnsi="Times New Roman" w:cs="Times New Roman"/>
          <w:b/>
          <w:color w:val="auto"/>
          <w:sz w:val="24"/>
          <w:szCs w:val="24"/>
        </w:rPr>
        <w:t>VESELĪBA</w:t>
      </w:r>
      <w:bookmarkEnd w:id="11"/>
    </w:p>
    <w:p w:rsidR="00555155" w:rsidRPr="006E5888" w:rsidRDefault="00555155" w:rsidP="00555155">
      <w:pPr>
        <w:ind w:firstLine="360"/>
        <w:jc w:val="both"/>
      </w:pPr>
      <w:r w:rsidRPr="006E5888">
        <w:t>Izdevumu izvērtēšanas ietvaros analizējot VM budžeta izdevumus, uzmanība tika pievērsta šādiem jautājumiem:</w:t>
      </w:r>
    </w:p>
    <w:p w:rsidR="00555155" w:rsidRPr="006E5888" w:rsidRDefault="00555155" w:rsidP="00555155">
      <w:pPr>
        <w:pStyle w:val="ListParagraph"/>
        <w:numPr>
          <w:ilvl w:val="0"/>
          <w:numId w:val="33"/>
        </w:numPr>
        <w:ind w:left="0" w:firstLine="426"/>
        <w:jc w:val="both"/>
      </w:pPr>
      <w:r w:rsidRPr="006E5888">
        <w:lastRenderedPageBreak/>
        <w:t>VM budžetu kopsakarībām ar rezultatīvajiem rādītājiem un statistiskajiem datiem, kā arī VM budžeta izdevumiem, regulārajām pārdalēm un neizpildēm;</w:t>
      </w:r>
    </w:p>
    <w:p w:rsidR="00555155" w:rsidRPr="006E5888" w:rsidRDefault="00555155" w:rsidP="00555155">
      <w:pPr>
        <w:pStyle w:val="ListParagraph"/>
        <w:numPr>
          <w:ilvl w:val="0"/>
          <w:numId w:val="33"/>
        </w:numPr>
        <w:ind w:left="0" w:firstLine="426"/>
        <w:jc w:val="both"/>
      </w:pPr>
      <w:r w:rsidRPr="006E5888">
        <w:t>stacionārās veselības aprūpes finansēšanu un NMP pakalpojuma nodrošināšanu;</w:t>
      </w:r>
    </w:p>
    <w:p w:rsidR="00555155" w:rsidRPr="006E5888" w:rsidRDefault="00555155" w:rsidP="00555155">
      <w:pPr>
        <w:pStyle w:val="ListParagraph"/>
        <w:numPr>
          <w:ilvl w:val="0"/>
          <w:numId w:val="33"/>
        </w:numPr>
        <w:ind w:left="0" w:firstLine="426"/>
        <w:jc w:val="both"/>
      </w:pPr>
      <w:r w:rsidRPr="006E5888">
        <w:t>primārās un sekundārās veselības aprūpes finansēšanu;</w:t>
      </w:r>
    </w:p>
    <w:p w:rsidR="00555155" w:rsidRPr="006E5888" w:rsidRDefault="00555155" w:rsidP="00555155">
      <w:pPr>
        <w:pStyle w:val="ListParagraph"/>
        <w:numPr>
          <w:ilvl w:val="0"/>
          <w:numId w:val="33"/>
        </w:numPr>
        <w:ind w:left="0" w:firstLine="426"/>
        <w:jc w:val="both"/>
      </w:pPr>
      <w:r w:rsidRPr="006E5888">
        <w:t>zāļu iegādes kompensācijas sistēmu Latvijā.</w:t>
      </w:r>
    </w:p>
    <w:p w:rsidR="00EF5565" w:rsidRPr="006E5888" w:rsidRDefault="00EF5565" w:rsidP="00555155">
      <w:pPr>
        <w:jc w:val="both"/>
      </w:pPr>
    </w:p>
    <w:p w:rsidR="00EF5565" w:rsidRPr="006E5888" w:rsidRDefault="00EF5565" w:rsidP="00EF5565">
      <w:pPr>
        <w:shd w:val="clear" w:color="auto" w:fill="FFFFFF"/>
        <w:tabs>
          <w:tab w:val="left" w:pos="567"/>
        </w:tabs>
        <w:jc w:val="both"/>
        <w:rPr>
          <w:b/>
          <w:szCs w:val="24"/>
        </w:rPr>
      </w:pPr>
      <w:r w:rsidRPr="006E5888">
        <w:rPr>
          <w:b/>
        </w:rPr>
        <w:t>6.1.1.</w:t>
      </w:r>
      <w:r w:rsidRPr="006E5888">
        <w:t xml:space="preserve"> </w:t>
      </w:r>
      <w:r w:rsidRPr="006E5888">
        <w:rPr>
          <w:b/>
          <w:szCs w:val="24"/>
        </w:rPr>
        <w:t xml:space="preserve">Latvijas veselības aprūpes sistēmas raksturojums </w:t>
      </w:r>
    </w:p>
    <w:p w:rsidR="00E26477" w:rsidRPr="006E5888" w:rsidRDefault="00F907DA" w:rsidP="00E26477">
      <w:pPr>
        <w:spacing w:before="120"/>
        <w:ind w:firstLine="567"/>
        <w:jc w:val="both"/>
        <w:rPr>
          <w:szCs w:val="24"/>
        </w:rPr>
      </w:pPr>
      <w:r w:rsidRPr="006E5888">
        <w:rPr>
          <w:szCs w:val="24"/>
        </w:rPr>
        <w:t xml:space="preserve">Latvijas veselības aprūpes sistēma sastāv no </w:t>
      </w:r>
      <w:r w:rsidR="00E26477" w:rsidRPr="006E5888">
        <w:rPr>
          <w:szCs w:val="24"/>
        </w:rPr>
        <w:t>NMP</w:t>
      </w:r>
      <w:r w:rsidRPr="006E5888">
        <w:rPr>
          <w:szCs w:val="24"/>
        </w:rPr>
        <w:t xml:space="preserve">, primārās, sekundārās un terciārās veselības aprūpes. </w:t>
      </w:r>
    </w:p>
    <w:p w:rsidR="00E26477" w:rsidRPr="006E5888" w:rsidRDefault="00F907DA" w:rsidP="00E26477">
      <w:pPr>
        <w:pStyle w:val="ListParagraph"/>
        <w:numPr>
          <w:ilvl w:val="0"/>
          <w:numId w:val="19"/>
        </w:numPr>
        <w:jc w:val="both"/>
        <w:rPr>
          <w:szCs w:val="24"/>
        </w:rPr>
      </w:pPr>
      <w:r w:rsidRPr="006E5888">
        <w:rPr>
          <w:i/>
          <w:szCs w:val="24"/>
        </w:rPr>
        <w:t>Primārā veselības aprūpe</w:t>
      </w:r>
      <w:r w:rsidRPr="006E5888">
        <w:rPr>
          <w:szCs w:val="24"/>
        </w:rPr>
        <w:t xml:space="preserve"> ir pirmais saskarsmes posms starp pacientu un veselības aprūpes pakalpojumu sniedzēju (ģimenes ārsts, ārsta palīgs, māsa, vecmāte, zobārsts, zobārsta asistents, zobārst</w:t>
      </w:r>
      <w:r w:rsidR="00E26477" w:rsidRPr="006E5888">
        <w:rPr>
          <w:szCs w:val="24"/>
        </w:rPr>
        <w:t>a māsa un higiēnists);</w:t>
      </w:r>
    </w:p>
    <w:p w:rsidR="00E26477" w:rsidRPr="006E5888" w:rsidRDefault="00E26477" w:rsidP="00E26477">
      <w:pPr>
        <w:pStyle w:val="ListParagraph"/>
        <w:numPr>
          <w:ilvl w:val="0"/>
          <w:numId w:val="19"/>
        </w:numPr>
        <w:jc w:val="both"/>
        <w:rPr>
          <w:szCs w:val="24"/>
        </w:rPr>
      </w:pPr>
      <w:r w:rsidRPr="006E5888">
        <w:rPr>
          <w:i/>
          <w:szCs w:val="24"/>
        </w:rPr>
        <w:t>S</w:t>
      </w:r>
      <w:r w:rsidR="00F907DA" w:rsidRPr="006E5888">
        <w:rPr>
          <w:i/>
          <w:szCs w:val="24"/>
        </w:rPr>
        <w:t>ekundārā veselības aprūpe</w:t>
      </w:r>
      <w:r w:rsidR="00F907DA" w:rsidRPr="006E5888">
        <w:rPr>
          <w:szCs w:val="24"/>
        </w:rPr>
        <w:t xml:space="preserve"> ir specializēta ambulatorā un stacionārā veselības aprūpe, kas orientēta uz neatliekamu, akūtu vai p</w:t>
      </w:r>
      <w:r w:rsidRPr="006E5888">
        <w:rPr>
          <w:szCs w:val="24"/>
        </w:rPr>
        <w:t>lānveida veselības aprūpi (</w:t>
      </w:r>
      <w:r w:rsidR="00F907DA" w:rsidRPr="006E5888">
        <w:rPr>
          <w:szCs w:val="24"/>
        </w:rPr>
        <w:t>sniedz ambulatorajā ārstniecības iestādē, slimnīcas ambulatorajā nodaļā, neatliekamās medicīniskās palīdzības iestādē</w:t>
      </w:r>
      <w:r w:rsidRPr="006E5888">
        <w:rPr>
          <w:szCs w:val="24"/>
        </w:rPr>
        <w:t>, dienas stacionārā, slimnīcā);</w:t>
      </w:r>
    </w:p>
    <w:p w:rsidR="00E26477" w:rsidRPr="006E5888" w:rsidRDefault="00F907DA" w:rsidP="00E26477">
      <w:pPr>
        <w:pStyle w:val="ListParagraph"/>
        <w:numPr>
          <w:ilvl w:val="0"/>
          <w:numId w:val="19"/>
        </w:numPr>
        <w:jc w:val="both"/>
        <w:rPr>
          <w:szCs w:val="24"/>
        </w:rPr>
      </w:pPr>
      <w:r w:rsidRPr="006E5888">
        <w:rPr>
          <w:i/>
          <w:szCs w:val="24"/>
        </w:rPr>
        <w:t>Terciārā veselības aprūpe</w:t>
      </w:r>
      <w:r w:rsidRPr="006E5888">
        <w:rPr>
          <w:szCs w:val="24"/>
        </w:rPr>
        <w:t xml:space="preserve"> ir augsti specializēti veselības aprūpes pakalpojumi, kurus specializētās ārstniecības iestādēs nodrošina vienas vai vairāku medicīnas nozaru speciālisti ar papildus kvalifikācij</w:t>
      </w:r>
      <w:r w:rsidR="00E26477" w:rsidRPr="006E5888">
        <w:rPr>
          <w:szCs w:val="24"/>
        </w:rPr>
        <w:t>u (stacionārā veselības aprūpe);</w:t>
      </w:r>
      <w:r w:rsidRPr="006E5888">
        <w:rPr>
          <w:szCs w:val="24"/>
        </w:rPr>
        <w:t xml:space="preserve"> </w:t>
      </w:r>
    </w:p>
    <w:p w:rsidR="00F907DA" w:rsidRPr="006E5888" w:rsidRDefault="00E26477" w:rsidP="00E26477">
      <w:pPr>
        <w:pStyle w:val="ListParagraph"/>
        <w:numPr>
          <w:ilvl w:val="0"/>
          <w:numId w:val="19"/>
        </w:numPr>
        <w:jc w:val="both"/>
        <w:rPr>
          <w:szCs w:val="24"/>
        </w:rPr>
      </w:pPr>
      <w:r w:rsidRPr="006E5888">
        <w:rPr>
          <w:bCs/>
          <w:i/>
          <w:szCs w:val="24"/>
        </w:rPr>
        <w:t>NMP</w:t>
      </w:r>
      <w:r w:rsidR="00F907DA" w:rsidRPr="006E5888">
        <w:rPr>
          <w:rStyle w:val="apple-converted-space"/>
          <w:bCs/>
          <w:szCs w:val="24"/>
        </w:rPr>
        <w:t> </w:t>
      </w:r>
      <w:r w:rsidR="00F907DA" w:rsidRPr="006E5888">
        <w:rPr>
          <w:szCs w:val="24"/>
        </w:rPr>
        <w:t>ir palīdzība, ko cietušajiem (saslimušajiem) dzīvībai vai veselībai bīstamā kritiskā stāvoklī sniedz šādiem gadījumiem īpaši sagatavotas (apmācītas, ekipētas) personas ar atbilstošu kvalifikāciju medicīnā, kurām saskaņā ar šo kvalifikāciju ir juridiska atbildība par savu darbību vai bezdarbību un tās sekām.</w:t>
      </w:r>
    </w:p>
    <w:p w:rsidR="00532F9E" w:rsidRPr="006E5888" w:rsidRDefault="00532F9E" w:rsidP="00532F9E">
      <w:pPr>
        <w:shd w:val="clear" w:color="auto" w:fill="FFFFFF"/>
        <w:ind w:firstLine="709"/>
        <w:jc w:val="both"/>
        <w:rPr>
          <w:rFonts w:eastAsia="Times New Roman"/>
          <w:szCs w:val="24"/>
          <w:lang w:eastAsia="lv-LV"/>
        </w:rPr>
      </w:pPr>
      <w:r w:rsidRPr="006E5888">
        <w:rPr>
          <w:rFonts w:eastAsia="Times New Roman"/>
          <w:bCs/>
          <w:szCs w:val="24"/>
          <w:lang w:eastAsia="lv-LV"/>
        </w:rPr>
        <w:t xml:space="preserve">Veselības aprūpes finansējumu veido: </w:t>
      </w:r>
      <w:r w:rsidRPr="006E5888">
        <w:rPr>
          <w:rFonts w:eastAsia="Times New Roman"/>
          <w:szCs w:val="24"/>
          <w:lang w:eastAsia="lv-LV"/>
        </w:rPr>
        <w:t xml:space="preserve">valsts piešķirtie finanšu līdzekļi, pacientu nodevas un </w:t>
      </w:r>
      <w:proofErr w:type="spellStart"/>
      <w:r w:rsidRPr="006E5888">
        <w:rPr>
          <w:rFonts w:eastAsia="Times New Roman"/>
          <w:szCs w:val="24"/>
          <w:lang w:eastAsia="lv-LV"/>
        </w:rPr>
        <w:t>līdzmaksājumi</w:t>
      </w:r>
      <w:proofErr w:type="spellEnd"/>
      <w:r w:rsidRPr="006E5888">
        <w:rPr>
          <w:rFonts w:eastAsia="Times New Roman"/>
          <w:szCs w:val="24"/>
          <w:lang w:eastAsia="lv-LV"/>
        </w:rPr>
        <w:t xml:space="preserve">, brīvprātīgās apdrošināšanas līdzekļi (apdrošināšanai pakļautie maksājumi ir pacienta </w:t>
      </w:r>
      <w:proofErr w:type="spellStart"/>
      <w:r w:rsidRPr="006E5888">
        <w:rPr>
          <w:rFonts w:eastAsia="Times New Roman"/>
          <w:szCs w:val="24"/>
          <w:lang w:eastAsia="lv-LV"/>
        </w:rPr>
        <w:t>līdzmaksājums</w:t>
      </w:r>
      <w:proofErr w:type="spellEnd"/>
      <w:r w:rsidRPr="006E5888">
        <w:rPr>
          <w:rFonts w:eastAsia="Times New Roman"/>
          <w:szCs w:val="24"/>
          <w:lang w:eastAsia="lv-LV"/>
        </w:rPr>
        <w:t xml:space="preserve"> un samaksa par veselības aprūpes pakalpojumiem, kas nav iekļauti valsts apmaksātajos veselības aprūpes pakalpojumos), veselības aprūpes iestāžu īpašnieku ieguldītās investīcijas savā iestādē.</w:t>
      </w:r>
    </w:p>
    <w:p w:rsidR="00532F9E" w:rsidRPr="006E5888" w:rsidRDefault="00532F9E" w:rsidP="00532F9E">
      <w:pPr>
        <w:jc w:val="both"/>
        <w:rPr>
          <w:sz w:val="20"/>
          <w:szCs w:val="20"/>
        </w:rPr>
      </w:pPr>
    </w:p>
    <w:p w:rsidR="00EF5565" w:rsidRPr="006E5888" w:rsidRDefault="004A1710" w:rsidP="004A1710">
      <w:pPr>
        <w:shd w:val="clear" w:color="auto" w:fill="FFFFFF"/>
        <w:tabs>
          <w:tab w:val="left" w:pos="567"/>
        </w:tabs>
        <w:jc w:val="center"/>
        <w:rPr>
          <w:b/>
          <w:szCs w:val="24"/>
        </w:rPr>
      </w:pPr>
      <w:r w:rsidRPr="006E5888">
        <w:rPr>
          <w:b/>
          <w:noProof/>
          <w:szCs w:val="24"/>
          <w:lang w:eastAsia="lv-LV"/>
        </w:rPr>
        <w:drawing>
          <wp:inline distT="0" distB="0" distL="0" distR="0" wp14:anchorId="6CB8546C" wp14:editId="768BB5C2">
            <wp:extent cx="5879833" cy="3211373"/>
            <wp:effectExtent l="0" t="0" r="698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04264" cy="3224716"/>
                    </a:xfrm>
                    <a:prstGeom prst="rect">
                      <a:avLst/>
                    </a:prstGeom>
                    <a:noFill/>
                  </pic:spPr>
                </pic:pic>
              </a:graphicData>
            </a:graphic>
          </wp:inline>
        </w:drawing>
      </w:r>
    </w:p>
    <w:p w:rsidR="001309A6" w:rsidRPr="006E5888" w:rsidRDefault="001A52AE" w:rsidP="00BB4CC9">
      <w:pPr>
        <w:shd w:val="clear" w:color="auto" w:fill="FFFFFF"/>
        <w:tabs>
          <w:tab w:val="left" w:pos="567"/>
        </w:tabs>
        <w:spacing w:before="120"/>
        <w:jc w:val="center"/>
        <w:rPr>
          <w:sz w:val="22"/>
        </w:rPr>
      </w:pPr>
      <w:r w:rsidRPr="006E5888">
        <w:rPr>
          <w:sz w:val="22"/>
        </w:rPr>
        <w:t>20</w:t>
      </w:r>
      <w:r w:rsidR="00BB4CC9" w:rsidRPr="006E5888">
        <w:rPr>
          <w:sz w:val="22"/>
        </w:rPr>
        <w:t>.</w:t>
      </w:r>
      <w:r w:rsidR="00BB4CC9" w:rsidRPr="006E5888">
        <w:rPr>
          <w:i/>
          <w:sz w:val="22"/>
        </w:rPr>
        <w:t>att</w:t>
      </w:r>
      <w:r w:rsidR="00BB4CC9" w:rsidRPr="006E5888">
        <w:rPr>
          <w:sz w:val="22"/>
        </w:rPr>
        <w:t xml:space="preserve">. </w:t>
      </w:r>
      <w:r w:rsidR="00BB4CC9" w:rsidRPr="006E5888">
        <w:rPr>
          <w:b/>
          <w:sz w:val="22"/>
        </w:rPr>
        <w:t>Veselības ministrijas pamatbudžeta izdevumu dinamika par laika posmu no 200</w:t>
      </w:r>
      <w:r w:rsidR="004A1710" w:rsidRPr="006E5888">
        <w:rPr>
          <w:b/>
          <w:sz w:val="22"/>
        </w:rPr>
        <w:t>8</w:t>
      </w:r>
      <w:r w:rsidR="00BB4CC9" w:rsidRPr="006E5888">
        <w:rPr>
          <w:b/>
          <w:sz w:val="22"/>
        </w:rPr>
        <w:t>.gada līdz 2019.gadam</w:t>
      </w:r>
    </w:p>
    <w:p w:rsidR="001309A6" w:rsidRPr="006E5888" w:rsidRDefault="001309A6" w:rsidP="001309A6">
      <w:pPr>
        <w:rPr>
          <w:sz w:val="16"/>
          <w:szCs w:val="16"/>
        </w:rPr>
      </w:pPr>
    </w:p>
    <w:p w:rsidR="00EF5565" w:rsidRPr="006E5888" w:rsidRDefault="001309A6" w:rsidP="001309A6">
      <w:pPr>
        <w:rPr>
          <w:sz w:val="16"/>
          <w:szCs w:val="16"/>
        </w:rPr>
      </w:pPr>
      <w:r w:rsidRPr="006E5888">
        <w:rPr>
          <w:i/>
          <w:sz w:val="16"/>
          <w:szCs w:val="16"/>
        </w:rPr>
        <w:t>*Atbilstoši FM rīkojumiem uz 18.04.2016</w:t>
      </w:r>
      <w:r w:rsidRPr="006E5888">
        <w:rPr>
          <w:sz w:val="16"/>
          <w:szCs w:val="16"/>
        </w:rPr>
        <w:t>.</w:t>
      </w:r>
    </w:p>
    <w:p w:rsidR="00BB4CC9" w:rsidRPr="006E5888" w:rsidRDefault="00BB4CC9" w:rsidP="00BB4CC9">
      <w:pPr>
        <w:shd w:val="clear" w:color="auto" w:fill="FFFFFF"/>
        <w:ind w:firstLine="709"/>
        <w:jc w:val="both"/>
        <w:rPr>
          <w:szCs w:val="24"/>
          <w:lang w:eastAsia="lv-LV"/>
        </w:rPr>
      </w:pPr>
      <w:r w:rsidRPr="006E5888">
        <w:rPr>
          <w:szCs w:val="24"/>
          <w:lang w:eastAsia="lv-LV"/>
        </w:rPr>
        <w:lastRenderedPageBreak/>
        <w:t>No veselības aprūpei paredzētajiem valsts budžeta līdzekļiem apmaksātos veselības aprūpes pakalpojumus sniedz tās ārstniecības iestādes, kuras noslēgušas līgumu ar NVD, kā arī valsts pārvaldes iestādes, kuras veselības aprūpes pakalpojumus sniedz saskaņā ar nolikumu. Norēķinu kārtību par ārstniecības iestādes sniegtajiem veselības aprūpes pakalpojumiem nosaka NVD un ārstniecības iestādes līgumā.</w:t>
      </w:r>
    </w:p>
    <w:p w:rsidR="00BB4CC9" w:rsidRPr="006E5888" w:rsidRDefault="00BB4CC9" w:rsidP="00234993">
      <w:pPr>
        <w:spacing w:before="120" w:after="120"/>
        <w:ind w:firstLine="720"/>
        <w:jc w:val="both"/>
        <w:rPr>
          <w:szCs w:val="24"/>
          <w:shd w:val="clear" w:color="auto" w:fill="92D050"/>
        </w:rPr>
      </w:pPr>
      <w:r w:rsidRPr="006E5888">
        <w:rPr>
          <w:bCs/>
          <w:iCs/>
          <w:szCs w:val="24"/>
        </w:rPr>
        <w:t xml:space="preserve">No 19.attēla secināms, ka pēc 2008.gada izdevumi ir strauji samazinājušies, kas galvenokārt ir bijis finanšu krīzes ietekmē. </w:t>
      </w:r>
      <w:r w:rsidRPr="006E5888">
        <w:rPr>
          <w:szCs w:val="24"/>
        </w:rPr>
        <w:t xml:space="preserve">2009.–2011.gadā bijis straujš izdevumu samazinājums, savukārt, sākot ar 2012.gadu, izdevumi pakāpeniski pieaug, tomēr </w:t>
      </w:r>
      <w:r w:rsidRPr="006E5888">
        <w:rPr>
          <w:bCs/>
          <w:iCs/>
          <w:szCs w:val="24"/>
        </w:rPr>
        <w:t xml:space="preserve">joprojām nav sasniegts 2008.gada izdevumu līmenis. 2016.gadā plānotie finanšu līdzekļi veselības aprūpei ir par 39 milj. </w:t>
      </w:r>
      <w:proofErr w:type="spellStart"/>
      <w:r w:rsidRPr="006E5888">
        <w:rPr>
          <w:bCs/>
          <w:i/>
          <w:iCs/>
          <w:szCs w:val="24"/>
        </w:rPr>
        <w:t>euro</w:t>
      </w:r>
      <w:proofErr w:type="spellEnd"/>
      <w:r w:rsidRPr="006E5888">
        <w:rPr>
          <w:bCs/>
          <w:iCs/>
          <w:szCs w:val="24"/>
        </w:rPr>
        <w:t xml:space="preserve">, jeb 5%  mazāk kā 2008.gadā faktiski izlietotie līdzekļi. Izdevumu samazinājums </w:t>
      </w:r>
      <w:r w:rsidRPr="006E5888">
        <w:rPr>
          <w:szCs w:val="24"/>
        </w:rPr>
        <w:t>Eiropas Savienības fondu projektu īstenošanai ar 2012.gadu ir saistīts ar to, ka tiek noslēgti 2007.–2013.gada ES fondu plānošanas perioda projekti.</w:t>
      </w:r>
    </w:p>
    <w:p w:rsidR="00BB4CC9" w:rsidRPr="006E5888" w:rsidRDefault="00417850" w:rsidP="00417850">
      <w:pPr>
        <w:shd w:val="clear" w:color="auto" w:fill="FFFFFF"/>
        <w:jc w:val="center"/>
        <w:rPr>
          <w:rFonts w:eastAsia="Times New Roman"/>
          <w:szCs w:val="24"/>
          <w:lang w:eastAsia="lv-LV"/>
        </w:rPr>
      </w:pPr>
      <w:r w:rsidRPr="006E5888">
        <w:rPr>
          <w:rFonts w:eastAsia="Times New Roman"/>
          <w:noProof/>
          <w:szCs w:val="24"/>
          <w:lang w:eastAsia="lv-LV"/>
        </w:rPr>
        <w:drawing>
          <wp:inline distT="0" distB="0" distL="0" distR="0" wp14:anchorId="68C8BD7F" wp14:editId="781AB23C">
            <wp:extent cx="5563235" cy="314553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97640" cy="3164989"/>
                    </a:xfrm>
                    <a:prstGeom prst="rect">
                      <a:avLst/>
                    </a:prstGeom>
                    <a:noFill/>
                  </pic:spPr>
                </pic:pic>
              </a:graphicData>
            </a:graphic>
          </wp:inline>
        </w:drawing>
      </w:r>
    </w:p>
    <w:p w:rsidR="00BB4CC9" w:rsidRPr="006E5888" w:rsidRDefault="00947384" w:rsidP="00947384">
      <w:pPr>
        <w:shd w:val="clear" w:color="auto" w:fill="FFFFFF"/>
        <w:tabs>
          <w:tab w:val="left" w:pos="567"/>
        </w:tabs>
        <w:spacing w:before="120"/>
        <w:jc w:val="center"/>
        <w:rPr>
          <w:szCs w:val="24"/>
        </w:rPr>
      </w:pPr>
      <w:r w:rsidRPr="006E5888">
        <w:rPr>
          <w:sz w:val="22"/>
        </w:rPr>
        <w:t>2</w:t>
      </w:r>
      <w:r w:rsidR="001A52AE" w:rsidRPr="006E5888">
        <w:rPr>
          <w:sz w:val="22"/>
        </w:rPr>
        <w:t>1</w:t>
      </w:r>
      <w:r w:rsidRPr="006E5888">
        <w:rPr>
          <w:sz w:val="22"/>
        </w:rPr>
        <w:t>.</w:t>
      </w:r>
      <w:r w:rsidRPr="006E5888">
        <w:rPr>
          <w:i/>
          <w:sz w:val="22"/>
        </w:rPr>
        <w:t>att</w:t>
      </w:r>
      <w:r w:rsidRPr="006E5888">
        <w:rPr>
          <w:sz w:val="22"/>
        </w:rPr>
        <w:t xml:space="preserve">. </w:t>
      </w:r>
      <w:r w:rsidRPr="006E5888">
        <w:rPr>
          <w:b/>
          <w:sz w:val="22"/>
        </w:rPr>
        <w:t>Veselības ministrijas 2016.gada budžeta izdevumi pamatfunkciju nodrošināšanai sadalījumā pa programmām</w:t>
      </w:r>
    </w:p>
    <w:p w:rsidR="00555155" w:rsidRPr="006E5888" w:rsidRDefault="00EF5565" w:rsidP="00555155">
      <w:pPr>
        <w:jc w:val="both"/>
      </w:pPr>
      <w:r w:rsidRPr="006E5888">
        <w:t xml:space="preserve"> </w:t>
      </w:r>
    </w:p>
    <w:p w:rsidR="00047D79" w:rsidRPr="006E5888" w:rsidRDefault="00047D79" w:rsidP="00FB69F8">
      <w:pPr>
        <w:ind w:firstLine="720"/>
        <w:jc w:val="both"/>
      </w:pPr>
      <w:r w:rsidRPr="006E5888">
        <w:rPr>
          <w:szCs w:val="24"/>
        </w:rPr>
        <w:t>Pēc VM 2016.gada budžeta izdevumu pamatfunkciju nodrošināšanai sadalījuma pa programmām redzams, ka lielākā finansējuma daļa – 664,4 milj</w:t>
      </w:r>
      <w:r w:rsidRPr="006E5888">
        <w:rPr>
          <w:i/>
          <w:szCs w:val="24"/>
        </w:rPr>
        <w:t xml:space="preserve">. </w:t>
      </w:r>
      <w:proofErr w:type="spellStart"/>
      <w:r w:rsidRPr="006E5888">
        <w:rPr>
          <w:i/>
          <w:szCs w:val="24"/>
        </w:rPr>
        <w:t>euro</w:t>
      </w:r>
      <w:proofErr w:type="spellEnd"/>
      <w:r w:rsidRPr="006E5888">
        <w:rPr>
          <w:i/>
          <w:szCs w:val="24"/>
        </w:rPr>
        <w:t xml:space="preserve"> </w:t>
      </w:r>
      <w:r w:rsidRPr="006E5888">
        <w:rPr>
          <w:szCs w:val="24"/>
        </w:rPr>
        <w:t xml:space="preserve">tiek novirzīta programmai 33.00.00 “Veselības aprūpes nodrošināšana”, kas veido </w:t>
      </w:r>
      <w:r w:rsidRPr="006E5888">
        <w:rPr>
          <w:szCs w:val="28"/>
        </w:rPr>
        <w:t xml:space="preserve"> 86,2% no kopējā izdevumu pamatfunkcijām apmēra. Programmas 33.00.00 ietvaros tiek plānoti izdevumi apakšprogrammai 33.01.00 “Ārstniecība”, kas 2016.gadā ir 518,2 milj. </w:t>
      </w:r>
      <w:proofErr w:type="spellStart"/>
      <w:r w:rsidRPr="006E5888">
        <w:rPr>
          <w:i/>
          <w:szCs w:val="28"/>
        </w:rPr>
        <w:t>euro</w:t>
      </w:r>
      <w:proofErr w:type="spellEnd"/>
      <w:r w:rsidRPr="006E5888">
        <w:rPr>
          <w:szCs w:val="28"/>
        </w:rPr>
        <w:t xml:space="preserve"> apmērā</w:t>
      </w:r>
      <w:r w:rsidRPr="006E5888">
        <w:rPr>
          <w:i/>
          <w:szCs w:val="28"/>
        </w:rPr>
        <w:t>,</w:t>
      </w:r>
      <w:r w:rsidRPr="006E5888">
        <w:rPr>
          <w:szCs w:val="28"/>
        </w:rPr>
        <w:t xml:space="preserve"> jeb 67,2% no kopējā izdevumu pamatfunkcijām apmēra. Līdz ar to, lai nodrošinātu veselības aprūpes budžeta caurskatāmību, </w:t>
      </w:r>
      <w:r w:rsidRPr="006E5888">
        <w:t>VM likumprojekta “Par valsts budžetu 2017.gadam” un likumprojekta “Par vidēja termiņa budžeta ietvaru 2017., 2018. un 2019.gadam” sagatavošanas un izskatīšanas procesā nepieciešams iesniegt FM priekšlikumu par budžeta apakšprogrammā 33.01.00 “Ārstniecība” plānotā finansējuma sadali pa apakšprogrammām, sadalot finansējumu detalizētāk atbilstoši finansējuma izlietojuma mērķim.</w:t>
      </w:r>
    </w:p>
    <w:p w:rsidR="00047D79" w:rsidRPr="006E5888" w:rsidRDefault="00047D79" w:rsidP="00FB69F8">
      <w:pPr>
        <w:ind w:firstLine="720"/>
        <w:jc w:val="both"/>
        <w:rPr>
          <w:bCs/>
          <w:szCs w:val="24"/>
        </w:rPr>
      </w:pPr>
      <w:r w:rsidRPr="006E5888">
        <w:rPr>
          <w:bCs/>
          <w:szCs w:val="24"/>
        </w:rPr>
        <w:t xml:space="preserve">VM budžeta izdevumi apakšprogrammā 33.01.00 </w:t>
      </w:r>
      <w:r w:rsidRPr="006E5888">
        <w:t xml:space="preserve">“Ārstniecība” un veselības aprūpes pakalpojumu nodrošināšanai izlietotie līdzekļi, kuros iekļauts </w:t>
      </w:r>
      <w:r w:rsidRPr="006E5888">
        <w:rPr>
          <w:bCs/>
          <w:szCs w:val="24"/>
        </w:rPr>
        <w:t>arī līdzekļu neparedzētiem gadījumiem izlietojums un sociālās drošības tīkla stratēģijas pasākumu īstenošanai piešķirtā finansējuma izlietojums, redzams 21.attēlā.</w:t>
      </w:r>
    </w:p>
    <w:p w:rsidR="001A0615" w:rsidRPr="006E5888" w:rsidRDefault="00FB69F8" w:rsidP="00FB69F8">
      <w:pPr>
        <w:spacing w:after="120"/>
        <w:ind w:firstLine="709"/>
        <w:jc w:val="both"/>
      </w:pPr>
      <w:r w:rsidRPr="006E5888">
        <w:rPr>
          <w:bCs/>
          <w:szCs w:val="24"/>
        </w:rPr>
        <w:t xml:space="preserve">No datiem par VM budžeta izdevumiem veselības aprūpes pakalpojumu nodrošināšanai sadalījumā pa gadiem var secināt, ka 2016.gadā plānotie finanšu līdzekļi veselības aprūpes pakalpojumu nodrošināšanai ir par 54 milj. </w:t>
      </w:r>
      <w:proofErr w:type="spellStart"/>
      <w:r w:rsidRPr="006E5888">
        <w:rPr>
          <w:bCs/>
          <w:i/>
          <w:szCs w:val="24"/>
        </w:rPr>
        <w:t>euro</w:t>
      </w:r>
      <w:proofErr w:type="spellEnd"/>
      <w:r w:rsidRPr="006E5888">
        <w:rPr>
          <w:bCs/>
          <w:szCs w:val="24"/>
        </w:rPr>
        <w:t xml:space="preserve">, jeb 9% mazāk kā 2008.gadā faktiski izlietotie </w:t>
      </w:r>
      <w:r w:rsidRPr="006E5888">
        <w:rPr>
          <w:bCs/>
          <w:szCs w:val="24"/>
        </w:rPr>
        <w:lastRenderedPageBreak/>
        <w:t xml:space="preserve">līdzekļi. Taču ir jāņem vērā, ka arī pieejamie resursi valsts budžetā, salīdzinot ar 2008.gadu, ir būtiski samazinājušies. </w:t>
      </w:r>
      <w:r w:rsidRPr="006E5888">
        <w:t xml:space="preserve">Kaut arī 2016.gada valsts konsolidētā budžeta izdevumi, salīdzinot ar 2008.gadu, ir pieauguši par 437,7 milj. </w:t>
      </w:r>
      <w:proofErr w:type="spellStart"/>
      <w:r w:rsidRPr="006E5888">
        <w:rPr>
          <w:i/>
          <w:iCs/>
        </w:rPr>
        <w:t>euro</w:t>
      </w:r>
      <w:proofErr w:type="spellEnd"/>
      <w:r w:rsidRPr="006E5888">
        <w:t xml:space="preserve">, svarīgi ir izprast, ka šo gadu laikā ir būtiski mainījusies valsts budžeta izdevumu struktūra. Galvenokārt, šos papildu izdevumus kopš 2008.gada ir ietekmējis pensiju un sociālo pabalstu pieaugums un izdevumi valsts parāda vadībai. Līdz ar to izdevumi, kas ir attiecināmi uz pārējo pamatdarbību, attiecībā pret 2008.gadu joprojām ir par 704,3 milj. </w:t>
      </w:r>
      <w:proofErr w:type="spellStart"/>
      <w:r w:rsidRPr="006E5888">
        <w:rPr>
          <w:i/>
          <w:iCs/>
        </w:rPr>
        <w:t>euro</w:t>
      </w:r>
      <w:proofErr w:type="spellEnd"/>
      <w:r w:rsidRPr="006E5888">
        <w:t xml:space="preserve"> mazāki.</w:t>
      </w:r>
    </w:p>
    <w:p w:rsidR="001A0615" w:rsidRPr="006E5888" w:rsidRDefault="00234993" w:rsidP="00234993">
      <w:pPr>
        <w:jc w:val="center"/>
      </w:pPr>
      <w:r w:rsidRPr="006E5888">
        <w:rPr>
          <w:noProof/>
          <w:lang w:eastAsia="lv-LV"/>
        </w:rPr>
        <w:drawing>
          <wp:inline distT="0" distB="0" distL="0" distR="0" wp14:anchorId="3334A6BA" wp14:editId="05ECFC06">
            <wp:extent cx="5222718" cy="3050439"/>
            <wp:effectExtent l="19050" t="19050" r="16510" b="171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00282" cy="3095742"/>
                    </a:xfrm>
                    <a:prstGeom prst="rect">
                      <a:avLst/>
                    </a:prstGeom>
                    <a:noFill/>
                    <a:ln>
                      <a:solidFill>
                        <a:schemeClr val="bg1">
                          <a:lumMod val="75000"/>
                        </a:schemeClr>
                      </a:solidFill>
                    </a:ln>
                  </pic:spPr>
                </pic:pic>
              </a:graphicData>
            </a:graphic>
          </wp:inline>
        </w:drawing>
      </w:r>
    </w:p>
    <w:p w:rsidR="001A0615" w:rsidRPr="006E5888" w:rsidRDefault="00234993" w:rsidP="00234993">
      <w:pPr>
        <w:spacing w:before="120" w:after="120"/>
        <w:jc w:val="center"/>
        <w:rPr>
          <w:b/>
          <w:sz w:val="22"/>
        </w:rPr>
      </w:pPr>
      <w:r w:rsidRPr="006E5888">
        <w:rPr>
          <w:sz w:val="22"/>
        </w:rPr>
        <w:t>2</w:t>
      </w:r>
      <w:r w:rsidR="001A52AE" w:rsidRPr="006E5888">
        <w:rPr>
          <w:sz w:val="22"/>
        </w:rPr>
        <w:t>2</w:t>
      </w:r>
      <w:r w:rsidRPr="006E5888">
        <w:rPr>
          <w:sz w:val="22"/>
        </w:rPr>
        <w:t>.</w:t>
      </w:r>
      <w:r w:rsidRPr="006E5888">
        <w:rPr>
          <w:i/>
          <w:sz w:val="22"/>
        </w:rPr>
        <w:t>att</w:t>
      </w:r>
      <w:r w:rsidRPr="006E5888">
        <w:rPr>
          <w:sz w:val="22"/>
        </w:rPr>
        <w:t xml:space="preserve">. </w:t>
      </w:r>
      <w:r w:rsidRPr="006E5888">
        <w:rPr>
          <w:b/>
          <w:sz w:val="22"/>
        </w:rPr>
        <w:t>VM budžeta izdevumi veselības aprūpes pakalpojumu nodrošināšanai 2007.–2019.gadam</w:t>
      </w:r>
    </w:p>
    <w:p w:rsidR="00234993" w:rsidRPr="006E5888" w:rsidRDefault="00234993" w:rsidP="00234993">
      <w:pPr>
        <w:jc w:val="both"/>
        <w:rPr>
          <w:i/>
          <w:sz w:val="16"/>
          <w:szCs w:val="16"/>
        </w:rPr>
      </w:pPr>
      <w:r w:rsidRPr="006E5888">
        <w:rPr>
          <w:i/>
          <w:sz w:val="16"/>
          <w:szCs w:val="16"/>
        </w:rPr>
        <w:t>2009.-2011.gadam un 2013-2014.gadam izdevumos iekļauts arī Līdzekļu neparedzētiem gadījumiem izlietojums un 2010.-2012.gadam izdevumos iekļauta Sociālās drošības tīkla  stratēģijas pasākumu īstenošana.</w:t>
      </w:r>
    </w:p>
    <w:p w:rsidR="00234993" w:rsidRPr="006E5888" w:rsidRDefault="00234993" w:rsidP="00234993">
      <w:pPr>
        <w:jc w:val="both"/>
        <w:rPr>
          <w:i/>
          <w:sz w:val="16"/>
          <w:szCs w:val="16"/>
        </w:rPr>
      </w:pPr>
      <w:r w:rsidRPr="006E5888">
        <w:rPr>
          <w:i/>
          <w:sz w:val="16"/>
          <w:szCs w:val="16"/>
        </w:rPr>
        <w:t>** Atbilstoši FM rīkojumiem uz 15.04.2016.</w:t>
      </w:r>
    </w:p>
    <w:p w:rsidR="00FB69F8" w:rsidRPr="006E5888" w:rsidRDefault="00FB69F8" w:rsidP="00FB69F8">
      <w:pPr>
        <w:pStyle w:val="ListParagraph"/>
        <w:numPr>
          <w:ilvl w:val="2"/>
          <w:numId w:val="40"/>
        </w:numPr>
        <w:spacing w:before="120" w:after="120"/>
        <w:rPr>
          <w:b/>
          <w:bCs/>
          <w:szCs w:val="24"/>
        </w:rPr>
      </w:pPr>
      <w:r w:rsidRPr="006E5888">
        <w:rPr>
          <w:b/>
          <w:bCs/>
          <w:szCs w:val="24"/>
        </w:rPr>
        <w:t>Latvijas veselības aprūpe uz starptautiskās veselības aprūpes fona</w:t>
      </w:r>
    </w:p>
    <w:p w:rsidR="00FB69F8" w:rsidRPr="006E5888" w:rsidRDefault="00FB69F8" w:rsidP="00FB69F8">
      <w:pPr>
        <w:spacing w:before="120" w:after="120"/>
        <w:jc w:val="center"/>
        <w:rPr>
          <w:b/>
          <w:bCs/>
          <w:szCs w:val="24"/>
        </w:rPr>
      </w:pPr>
      <w:r w:rsidRPr="006E5888">
        <w:rPr>
          <w:noProof/>
          <w:szCs w:val="24"/>
          <w:lang w:eastAsia="lv-LV"/>
        </w:rPr>
        <w:drawing>
          <wp:inline distT="0" distB="0" distL="0" distR="0" wp14:anchorId="6F8D2C79" wp14:editId="15F003F0">
            <wp:extent cx="5266690" cy="2969972"/>
            <wp:effectExtent l="0" t="0" r="10160" b="1905"/>
            <wp:docPr id="98" name="Object 9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B69F8" w:rsidRPr="006E5888" w:rsidRDefault="00FB69F8" w:rsidP="00FB69F8">
      <w:pPr>
        <w:spacing w:before="120" w:after="120"/>
        <w:jc w:val="center"/>
        <w:rPr>
          <w:b/>
          <w:bCs/>
          <w:szCs w:val="24"/>
        </w:rPr>
      </w:pPr>
      <w:r w:rsidRPr="006E5888">
        <w:rPr>
          <w:sz w:val="22"/>
        </w:rPr>
        <w:t>2</w:t>
      </w:r>
      <w:r w:rsidR="001A52AE" w:rsidRPr="006E5888">
        <w:rPr>
          <w:sz w:val="22"/>
        </w:rPr>
        <w:t>3</w:t>
      </w:r>
      <w:r w:rsidRPr="006E5888">
        <w:rPr>
          <w:sz w:val="22"/>
        </w:rPr>
        <w:t>.</w:t>
      </w:r>
      <w:r w:rsidRPr="006E5888">
        <w:rPr>
          <w:i/>
          <w:sz w:val="22"/>
        </w:rPr>
        <w:t>att</w:t>
      </w:r>
      <w:r w:rsidRPr="006E5888">
        <w:rPr>
          <w:sz w:val="22"/>
        </w:rPr>
        <w:t>.</w:t>
      </w:r>
      <w:r w:rsidRPr="006E5888">
        <w:rPr>
          <w:noProof/>
          <w:szCs w:val="24"/>
          <w:lang w:eastAsia="lv-LV"/>
        </w:rPr>
        <w:t xml:space="preserve"> </w:t>
      </w:r>
      <w:r w:rsidRPr="006E5888">
        <w:rPr>
          <w:b/>
          <w:noProof/>
          <w:sz w:val="22"/>
          <w:lang w:eastAsia="lv-LV"/>
        </w:rPr>
        <w:t>Kopējie veselības aprūpes izdevumi, % no IKP, 2013.gadā</w:t>
      </w:r>
      <w:r w:rsidRPr="006E5888">
        <w:rPr>
          <w:rStyle w:val="FootnoteReference"/>
          <w:b/>
          <w:bCs/>
          <w:szCs w:val="24"/>
        </w:rPr>
        <w:footnoteReference w:id="15"/>
      </w:r>
    </w:p>
    <w:p w:rsidR="00FB69F8" w:rsidRPr="006E5888" w:rsidRDefault="00FB69F8" w:rsidP="00FB69F8">
      <w:pPr>
        <w:ind w:firstLine="709"/>
        <w:jc w:val="both"/>
        <w:rPr>
          <w:szCs w:val="24"/>
        </w:rPr>
      </w:pPr>
      <w:r w:rsidRPr="006E5888">
        <w:rPr>
          <w:szCs w:val="24"/>
        </w:rPr>
        <w:lastRenderedPageBreak/>
        <w:t>Attēlā Nr.2</w:t>
      </w:r>
      <w:r w:rsidR="001A52AE" w:rsidRPr="006E5888">
        <w:rPr>
          <w:szCs w:val="24"/>
        </w:rPr>
        <w:t>3</w:t>
      </w:r>
      <w:r w:rsidRPr="006E5888">
        <w:rPr>
          <w:szCs w:val="24"/>
        </w:rPr>
        <w:t xml:space="preserve"> aplūkoti 2013.gada kopējie veselības aprūpes izdevumi </w:t>
      </w:r>
      <w:r w:rsidRPr="006E5888">
        <w:rPr>
          <w:noProof/>
          <w:szCs w:val="24"/>
          <w:lang w:eastAsia="lv-LV"/>
        </w:rPr>
        <w:t>starpvalstu salīdzinājumā</w:t>
      </w:r>
      <w:r w:rsidRPr="006E5888">
        <w:rPr>
          <w:szCs w:val="24"/>
        </w:rPr>
        <w:t>.</w:t>
      </w:r>
    </w:p>
    <w:p w:rsidR="00FB69F8" w:rsidRPr="006E5888" w:rsidRDefault="00FB69F8" w:rsidP="00FB69F8">
      <w:pPr>
        <w:ind w:firstLine="709"/>
        <w:jc w:val="both"/>
        <w:rPr>
          <w:szCs w:val="24"/>
        </w:rPr>
      </w:pPr>
      <w:r w:rsidRPr="006E5888">
        <w:rPr>
          <w:noProof/>
          <w:szCs w:val="24"/>
          <w:lang w:eastAsia="lv-LV"/>
        </w:rPr>
        <w:t>Starp OECD valstīm un partnervalstīm, pēc kopējiem veselības aprūpes izdevumiem procentos no IKP, 2013.gadā Latvija ieņēma pirmspēdējo vietu, aiz sevis atstājot tikai Turciju un ievērojami atpaliekot no līderes Nīderlandes (apmēram par 50%). Līdz ar to var secināt, ka Latvijā, salīdzinot ar OECD valstīm, ir viens no zemākajiem veselības aprūpes finansējuma apmēriem.</w:t>
      </w:r>
    </w:p>
    <w:p w:rsidR="00FB69F8" w:rsidRPr="006E5888" w:rsidRDefault="00FB69F8" w:rsidP="00C27F3B">
      <w:pPr>
        <w:tabs>
          <w:tab w:val="left" w:pos="8789"/>
        </w:tabs>
        <w:spacing w:before="120" w:after="120"/>
        <w:jc w:val="center"/>
        <w:rPr>
          <w:bCs/>
          <w:szCs w:val="24"/>
        </w:rPr>
      </w:pPr>
      <w:r w:rsidRPr="006E5888">
        <w:rPr>
          <w:noProof/>
          <w:szCs w:val="24"/>
          <w:lang w:eastAsia="lv-LV"/>
        </w:rPr>
        <w:drawing>
          <wp:inline distT="0" distB="0" distL="0" distR="0" wp14:anchorId="33D3C9E8" wp14:editId="5EF59A34">
            <wp:extent cx="5295900" cy="2904134"/>
            <wp:effectExtent l="0" t="0" r="0" b="10795"/>
            <wp:docPr id="100" name="Object 10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B69F8" w:rsidRPr="006E5888" w:rsidRDefault="00FB69F8" w:rsidP="00C27F3B">
      <w:pPr>
        <w:spacing w:before="120" w:after="120"/>
        <w:jc w:val="center"/>
      </w:pPr>
      <w:r w:rsidRPr="006E5888">
        <w:rPr>
          <w:sz w:val="22"/>
        </w:rPr>
        <w:t>2</w:t>
      </w:r>
      <w:r w:rsidR="001A52AE" w:rsidRPr="006E5888">
        <w:rPr>
          <w:sz w:val="22"/>
        </w:rPr>
        <w:t>4</w:t>
      </w:r>
      <w:r w:rsidRPr="006E5888">
        <w:rPr>
          <w:sz w:val="22"/>
        </w:rPr>
        <w:t>.</w:t>
      </w:r>
      <w:r w:rsidRPr="006E5888">
        <w:rPr>
          <w:i/>
          <w:sz w:val="22"/>
        </w:rPr>
        <w:t>att</w:t>
      </w:r>
      <w:r w:rsidRPr="006E5888">
        <w:rPr>
          <w:sz w:val="22"/>
        </w:rPr>
        <w:t xml:space="preserve">. </w:t>
      </w:r>
      <w:r w:rsidRPr="006E5888">
        <w:rPr>
          <w:b/>
          <w:sz w:val="22"/>
        </w:rPr>
        <w:t>Publiskie veselības aprūpes izdevumi, % no IKP; 2013.gadā</w:t>
      </w:r>
      <w:r w:rsidRPr="006E5888">
        <w:rPr>
          <w:rStyle w:val="FootnoteReference"/>
          <w:b/>
          <w:sz w:val="22"/>
        </w:rPr>
        <w:footnoteReference w:id="16"/>
      </w:r>
    </w:p>
    <w:p w:rsidR="00FB69F8" w:rsidRPr="006E5888" w:rsidRDefault="00C27F3B" w:rsidP="00C27F3B">
      <w:pPr>
        <w:spacing w:after="120"/>
        <w:ind w:firstLine="567"/>
        <w:jc w:val="both"/>
        <w:rPr>
          <w:szCs w:val="24"/>
        </w:rPr>
      </w:pPr>
      <w:r w:rsidRPr="006E5888">
        <w:rPr>
          <w:noProof/>
          <w:szCs w:val="24"/>
          <w:lang w:eastAsia="lv-LV"/>
        </w:rPr>
        <w:t>2</w:t>
      </w:r>
      <w:r w:rsidR="001A52AE" w:rsidRPr="006E5888">
        <w:rPr>
          <w:noProof/>
          <w:szCs w:val="24"/>
          <w:lang w:eastAsia="lv-LV"/>
        </w:rPr>
        <w:t>4</w:t>
      </w:r>
      <w:r w:rsidRPr="006E5888">
        <w:rPr>
          <w:noProof/>
          <w:szCs w:val="24"/>
          <w:lang w:eastAsia="lv-LV"/>
        </w:rPr>
        <w:t xml:space="preserve">.attēlā aplūkoti publiskie veselības aprūpes izdevumi starpvalstu salīdzinājumā. </w:t>
      </w:r>
      <w:r w:rsidRPr="006E5888">
        <w:rPr>
          <w:szCs w:val="24"/>
        </w:rPr>
        <w:t>Pēc 2</w:t>
      </w:r>
      <w:r w:rsidR="001A52AE" w:rsidRPr="006E5888">
        <w:rPr>
          <w:szCs w:val="24"/>
        </w:rPr>
        <w:t>4</w:t>
      </w:r>
      <w:r w:rsidRPr="006E5888">
        <w:rPr>
          <w:szCs w:val="24"/>
        </w:rPr>
        <w:t>.attēla redzams, ka publiskie veselības aprūpes izdevumi Latvijā ir nedaudz augstāki tikai par Čīles un Meksikas rādītājiem, kas ir zemākie starp visām OECD valstīm. Līdzīgi, kā iepriekšējā attēlā, arī šeit var secināt, ka publiskie veselības aprūpes izdevumi Latvijā, salīdzinot ar OECD valstīm, ir vieni no zemākajiem. Tomēr jāņem vērā, ka veselības aprūpes pakalpojumu klāsts, kuru sniedz par valsts līdzekļiem, mēdz būtiski atšķirties, tādēļ šo rādītājus valstu starpā vajadzētu salīdzināt ar piesardzību.</w:t>
      </w:r>
    </w:p>
    <w:p w:rsidR="001A0615" w:rsidRPr="006E5888" w:rsidRDefault="00C27F3B" w:rsidP="00C27F3B">
      <w:pPr>
        <w:jc w:val="center"/>
      </w:pPr>
      <w:r w:rsidRPr="006E5888">
        <w:rPr>
          <w:noProof/>
          <w:szCs w:val="24"/>
          <w:lang w:eastAsia="lv-LV"/>
        </w:rPr>
        <w:drawing>
          <wp:inline distT="0" distB="0" distL="0" distR="0" wp14:anchorId="0F299D54" wp14:editId="4A854A39">
            <wp:extent cx="5310836" cy="2691993"/>
            <wp:effectExtent l="0" t="0" r="4445" b="13335"/>
            <wp:docPr id="46" name="Object 8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A0615" w:rsidRPr="006E5888" w:rsidRDefault="00C27F3B" w:rsidP="00C27F3B">
      <w:pPr>
        <w:jc w:val="center"/>
      </w:pPr>
      <w:r w:rsidRPr="006E5888">
        <w:rPr>
          <w:sz w:val="22"/>
        </w:rPr>
        <w:t>2</w:t>
      </w:r>
      <w:r w:rsidR="001A52AE" w:rsidRPr="006E5888">
        <w:rPr>
          <w:sz w:val="22"/>
        </w:rPr>
        <w:t>5</w:t>
      </w:r>
      <w:r w:rsidRPr="006E5888">
        <w:rPr>
          <w:sz w:val="22"/>
        </w:rPr>
        <w:t>.</w:t>
      </w:r>
      <w:r w:rsidRPr="006E5888">
        <w:rPr>
          <w:i/>
          <w:sz w:val="22"/>
        </w:rPr>
        <w:t>att</w:t>
      </w:r>
      <w:r w:rsidRPr="006E5888">
        <w:rPr>
          <w:sz w:val="22"/>
        </w:rPr>
        <w:t xml:space="preserve">. </w:t>
      </w:r>
      <w:r w:rsidRPr="006E5888">
        <w:rPr>
          <w:b/>
          <w:sz w:val="22"/>
        </w:rPr>
        <w:t>Privātie veselības aprūpes izdevumi, % no IKP 2013.gadā</w:t>
      </w:r>
      <w:r w:rsidRPr="006E5888">
        <w:rPr>
          <w:rStyle w:val="FootnoteReference"/>
          <w:b/>
          <w:sz w:val="22"/>
        </w:rPr>
        <w:footnoteReference w:id="17"/>
      </w:r>
    </w:p>
    <w:p w:rsidR="00C27F3B" w:rsidRPr="006E5888" w:rsidRDefault="00C27F3B" w:rsidP="00C27F3B">
      <w:pPr>
        <w:ind w:firstLine="709"/>
        <w:jc w:val="both"/>
        <w:rPr>
          <w:szCs w:val="24"/>
        </w:rPr>
      </w:pPr>
      <w:r w:rsidRPr="006E5888">
        <w:rPr>
          <w:szCs w:val="24"/>
        </w:rPr>
        <w:lastRenderedPageBreak/>
        <w:t>2</w:t>
      </w:r>
      <w:r w:rsidR="001A52AE" w:rsidRPr="006E5888">
        <w:rPr>
          <w:szCs w:val="24"/>
        </w:rPr>
        <w:t>5</w:t>
      </w:r>
      <w:r w:rsidRPr="006E5888">
        <w:rPr>
          <w:szCs w:val="24"/>
        </w:rPr>
        <w:t xml:space="preserve">.attēlā ir aplūkoti privātie veselības aprūpes izdevumi % no IKP </w:t>
      </w:r>
      <w:r w:rsidRPr="006E5888">
        <w:rPr>
          <w:noProof/>
          <w:szCs w:val="24"/>
          <w:lang w:eastAsia="lv-LV"/>
        </w:rPr>
        <w:t>starpvalstu salīdzinājumā</w:t>
      </w:r>
      <w:r w:rsidRPr="006E5888">
        <w:rPr>
          <w:szCs w:val="24"/>
        </w:rPr>
        <w:t xml:space="preserve">. </w:t>
      </w:r>
      <w:r w:rsidRPr="006E5888">
        <w:t xml:space="preserve">Privātais finansējums veselības aprūpei ir tuvs OECD valstu vidējam līmenim. </w:t>
      </w:r>
      <w:r w:rsidRPr="006E5888" w:rsidDel="00D467AE">
        <w:rPr>
          <w:szCs w:val="24"/>
        </w:rPr>
        <w:t xml:space="preserve"> </w:t>
      </w:r>
      <w:r w:rsidRPr="006E5888">
        <w:rPr>
          <w:szCs w:val="24"/>
        </w:rPr>
        <w:t>Līdz ar to var secināt, ka Latvijā salīdzinoši bieži tiek izmantota maksas medicīniskā aprūpe, kas liecina par to, ka publiskā veselības aprūpe ir vai nu grūtāk pieejama vai arī sniegtais pakalpojums ir mazāk kvalitatīvs nekā privātajā veselības aprūpē.</w:t>
      </w:r>
    </w:p>
    <w:p w:rsidR="00C27F3B" w:rsidRPr="006E5888" w:rsidRDefault="00C27F3B" w:rsidP="00C27F3B">
      <w:pPr>
        <w:spacing w:after="120"/>
        <w:jc w:val="both"/>
        <w:rPr>
          <w:szCs w:val="24"/>
        </w:rPr>
      </w:pPr>
      <w:r w:rsidRPr="006E5888">
        <w:rPr>
          <w:szCs w:val="24"/>
        </w:rPr>
        <w:tab/>
        <w:t>Publiskie veselības aprūpes izdevumi (% no IKP) Latvijā ir zemākie starp OECD valstīm, ko daļēji kompensē relatīvi augstie privātie veselības aprūpes izdevumi (tuvi OECD vidējiem), tai skaitā iedzīvotājiem pērkot pakalpojumus no privātajām ārstniecības iestādēm.</w:t>
      </w:r>
    </w:p>
    <w:p w:rsidR="00C27F3B" w:rsidRPr="006E5888" w:rsidRDefault="00C27F3B" w:rsidP="00C27F3B">
      <w:pPr>
        <w:jc w:val="center"/>
        <w:rPr>
          <w:bCs/>
          <w:szCs w:val="24"/>
        </w:rPr>
      </w:pPr>
      <w:r w:rsidRPr="006E5888">
        <w:rPr>
          <w:noProof/>
          <w:szCs w:val="24"/>
          <w:lang w:eastAsia="lv-LV"/>
        </w:rPr>
        <w:drawing>
          <wp:inline distT="0" distB="0" distL="0" distR="0" wp14:anchorId="767D5B13" wp14:editId="421BD719">
            <wp:extent cx="1765300" cy="3869741"/>
            <wp:effectExtent l="0" t="0" r="6350" b="16510"/>
            <wp:docPr id="6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6E5888">
        <w:rPr>
          <w:noProof/>
          <w:szCs w:val="24"/>
          <w:lang w:eastAsia="lv-LV"/>
        </w:rPr>
        <w:drawing>
          <wp:inline distT="0" distB="0" distL="0" distR="0" wp14:anchorId="4117A2D6" wp14:editId="42CED3E5">
            <wp:extent cx="1725295" cy="3883558"/>
            <wp:effectExtent l="0" t="0" r="8255" b="3175"/>
            <wp:docPr id="50"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6E5888">
        <w:rPr>
          <w:noProof/>
          <w:szCs w:val="24"/>
          <w:lang w:eastAsia="lv-LV"/>
        </w:rPr>
        <w:drawing>
          <wp:inline distT="0" distB="0" distL="0" distR="0" wp14:anchorId="13A3BE1A" wp14:editId="0BC0B0FB">
            <wp:extent cx="1765300" cy="3869232"/>
            <wp:effectExtent l="0" t="0" r="6350" b="17145"/>
            <wp:docPr id="61"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27F3B" w:rsidRPr="006E5888" w:rsidRDefault="00AD6ABF" w:rsidP="00AD6ABF">
      <w:pPr>
        <w:spacing w:before="120"/>
        <w:jc w:val="center"/>
        <w:rPr>
          <w:sz w:val="22"/>
        </w:rPr>
      </w:pPr>
      <w:r w:rsidRPr="006E5888">
        <w:rPr>
          <w:sz w:val="22"/>
        </w:rPr>
        <w:t>2</w:t>
      </w:r>
      <w:r w:rsidR="001A52AE" w:rsidRPr="006E5888">
        <w:rPr>
          <w:sz w:val="22"/>
        </w:rPr>
        <w:t>6</w:t>
      </w:r>
      <w:r w:rsidRPr="006E5888">
        <w:rPr>
          <w:sz w:val="22"/>
        </w:rPr>
        <w:t>.</w:t>
      </w:r>
      <w:r w:rsidRPr="006E5888">
        <w:rPr>
          <w:i/>
          <w:sz w:val="22"/>
        </w:rPr>
        <w:t>att</w:t>
      </w:r>
      <w:r w:rsidRPr="006E5888">
        <w:rPr>
          <w:sz w:val="22"/>
        </w:rPr>
        <w:t xml:space="preserve">. </w:t>
      </w:r>
      <w:r w:rsidRPr="006E5888">
        <w:rPr>
          <w:b/>
          <w:sz w:val="22"/>
        </w:rPr>
        <w:t>Mirstības rādītāji Latvijā 2011.–2013.g. kā arī citās ES un OECD valstīs</w:t>
      </w:r>
      <w:r w:rsidRPr="006E5888">
        <w:rPr>
          <w:rStyle w:val="FootnoteReference"/>
          <w:b/>
          <w:sz w:val="22"/>
        </w:rPr>
        <w:footnoteReference w:id="18"/>
      </w:r>
    </w:p>
    <w:p w:rsidR="001A0615" w:rsidRPr="006E5888" w:rsidRDefault="001A0615" w:rsidP="00540830">
      <w:pPr>
        <w:rPr>
          <w:sz w:val="20"/>
          <w:szCs w:val="20"/>
        </w:rPr>
      </w:pPr>
    </w:p>
    <w:p w:rsidR="00AD6ABF" w:rsidRPr="006E5888" w:rsidRDefault="00AD6ABF" w:rsidP="00AD6ABF">
      <w:pPr>
        <w:ind w:firstLine="567"/>
        <w:jc w:val="both"/>
        <w:rPr>
          <w:szCs w:val="24"/>
        </w:rPr>
      </w:pPr>
      <w:r w:rsidRPr="006E5888">
        <w:rPr>
          <w:szCs w:val="24"/>
        </w:rPr>
        <w:t xml:space="preserve">Mirstības rādītāji Latvijā, salīdzinot ar citām valstīm, bijuši ievērojami augstāki – gan mirstība no onkoloģiskajām slimībām, gan no asinsrites problēmām bijusi būtiski augstāka ne tikai par Eiropas Savienības vidējo rādītāju, bet arī par Lietuvas un Igaunijas rādītājiem. Tāpat arī zīdaiņu mirstības līmenis Latvijā ir salīdzinoši augsts. </w:t>
      </w:r>
    </w:p>
    <w:p w:rsidR="00AD6ABF" w:rsidRPr="006E5888" w:rsidRDefault="00AD6ABF" w:rsidP="00AD6ABF">
      <w:pPr>
        <w:ind w:firstLine="567"/>
        <w:jc w:val="both"/>
        <w:rPr>
          <w:szCs w:val="24"/>
        </w:rPr>
      </w:pPr>
      <w:r w:rsidRPr="006E5888">
        <w:rPr>
          <w:szCs w:val="24"/>
        </w:rPr>
        <w:t>Atsevišķas valstis ar līdzīgu finansējumu veselības aprūpei uzrāda būtiski labākus rezultātus (piemēram Igaunija minētajos rādītājos, īpaši jaundzimušo mirstības ziņā).</w:t>
      </w:r>
    </w:p>
    <w:p w:rsidR="00AD6ABF" w:rsidRPr="006E5888" w:rsidRDefault="00AD6ABF" w:rsidP="00AD6ABF">
      <w:pPr>
        <w:ind w:firstLine="709"/>
        <w:jc w:val="both"/>
        <w:rPr>
          <w:szCs w:val="24"/>
        </w:rPr>
      </w:pPr>
      <w:r w:rsidRPr="006E5888">
        <w:rPr>
          <w:szCs w:val="24"/>
        </w:rPr>
        <w:t>2</w:t>
      </w:r>
      <w:r w:rsidR="001A52AE" w:rsidRPr="006E5888">
        <w:rPr>
          <w:szCs w:val="24"/>
        </w:rPr>
        <w:t>7</w:t>
      </w:r>
      <w:r w:rsidRPr="006E5888">
        <w:rPr>
          <w:szCs w:val="24"/>
        </w:rPr>
        <w:t>.attēlā sniegta informācija par ārstu skaitu uz tūkstoš iedzīvotājiem OECD valstīs un partnervalstīs.</w:t>
      </w:r>
    </w:p>
    <w:p w:rsidR="00AD6ABF" w:rsidRPr="006E5888" w:rsidRDefault="00AD6ABF" w:rsidP="00AD6ABF">
      <w:pPr>
        <w:ind w:firstLine="709"/>
        <w:jc w:val="both"/>
        <w:rPr>
          <w:szCs w:val="24"/>
        </w:rPr>
      </w:pPr>
      <w:r w:rsidRPr="006E5888">
        <w:rPr>
          <w:szCs w:val="24"/>
        </w:rPr>
        <w:t xml:space="preserve">Latvijā uz </w:t>
      </w:r>
      <w:proofErr w:type="spellStart"/>
      <w:r w:rsidRPr="006E5888">
        <w:rPr>
          <w:szCs w:val="24"/>
        </w:rPr>
        <w:t>tūkstots</w:t>
      </w:r>
      <w:proofErr w:type="spellEnd"/>
      <w:r w:rsidRPr="006E5888">
        <w:rPr>
          <w:szCs w:val="24"/>
        </w:rPr>
        <w:t xml:space="preserve"> iedzīvotājiem ir vidēji 3,2 ārsti, kas būtiski neatšķiras no OECD vidējā rādītāja (3,3). Salīdzinot ar Igauniju, (3,3) un Lietuvu (4,3), Latvijas rādītājs ir tikai nedaudz zemāks. Tomēr uz citu valstu fona samērīgais relatīvais rādītājs sevī slēpj nozīmīgas strukturālas disproporcijas.</w:t>
      </w:r>
    </w:p>
    <w:p w:rsidR="001A0615" w:rsidRPr="006E5888" w:rsidRDefault="001A0615" w:rsidP="00540830"/>
    <w:p w:rsidR="004032E9" w:rsidRPr="006E5888" w:rsidRDefault="004032E9" w:rsidP="00540830"/>
    <w:p w:rsidR="00051C30" w:rsidRPr="006E5888" w:rsidRDefault="00051C30" w:rsidP="00540830"/>
    <w:p w:rsidR="00641F87" w:rsidRPr="006E5888" w:rsidRDefault="00641F87" w:rsidP="00540830"/>
    <w:p w:rsidR="00641F87" w:rsidRPr="006E5888" w:rsidRDefault="008115C6" w:rsidP="008115C6">
      <w:pPr>
        <w:jc w:val="center"/>
      </w:pPr>
      <w:r w:rsidRPr="006E5888">
        <w:rPr>
          <w:noProof/>
          <w:szCs w:val="24"/>
          <w:lang w:eastAsia="lv-LV"/>
        </w:rPr>
        <w:lastRenderedPageBreak/>
        <w:drawing>
          <wp:inline distT="0" distB="0" distL="0" distR="0" wp14:anchorId="7A52563C" wp14:editId="43C33FD2">
            <wp:extent cx="5296052" cy="2889504"/>
            <wp:effectExtent l="0" t="0" r="0" b="6350"/>
            <wp:docPr id="55"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641F87" w:rsidRPr="006E5888" w:rsidRDefault="00785D62" w:rsidP="0008469B">
      <w:pPr>
        <w:spacing w:before="120" w:after="120"/>
        <w:jc w:val="center"/>
        <w:rPr>
          <w:b/>
        </w:rPr>
      </w:pPr>
      <w:r w:rsidRPr="006E5888">
        <w:rPr>
          <w:sz w:val="22"/>
        </w:rPr>
        <w:t>2</w:t>
      </w:r>
      <w:r w:rsidR="001A52AE" w:rsidRPr="006E5888">
        <w:rPr>
          <w:sz w:val="22"/>
        </w:rPr>
        <w:t>7</w:t>
      </w:r>
      <w:r w:rsidRPr="006E5888">
        <w:rPr>
          <w:sz w:val="22"/>
        </w:rPr>
        <w:t>.</w:t>
      </w:r>
      <w:r w:rsidRPr="006E5888">
        <w:rPr>
          <w:i/>
          <w:sz w:val="22"/>
        </w:rPr>
        <w:t>att</w:t>
      </w:r>
      <w:r w:rsidRPr="006E5888">
        <w:rPr>
          <w:sz w:val="22"/>
        </w:rPr>
        <w:t>.</w:t>
      </w:r>
      <w:r w:rsidR="0008469B" w:rsidRPr="006E5888">
        <w:rPr>
          <w:sz w:val="22"/>
        </w:rPr>
        <w:t xml:space="preserve"> </w:t>
      </w:r>
      <w:r w:rsidR="0008469B" w:rsidRPr="006E5888">
        <w:rPr>
          <w:b/>
          <w:sz w:val="22"/>
        </w:rPr>
        <w:t>Ārstu skaits uz tūkst. iedzīvotājiem, 2013.gadā</w:t>
      </w:r>
      <w:r w:rsidR="006B0652" w:rsidRPr="006E5888">
        <w:rPr>
          <w:rStyle w:val="FootnoteReference"/>
          <w:b/>
          <w:sz w:val="22"/>
        </w:rPr>
        <w:footnoteReference w:id="19"/>
      </w:r>
    </w:p>
    <w:p w:rsidR="006B0652" w:rsidRPr="006E5888" w:rsidRDefault="006B0652" w:rsidP="006B0652">
      <w:pPr>
        <w:jc w:val="both"/>
        <w:rPr>
          <w:szCs w:val="24"/>
        </w:rPr>
      </w:pPr>
    </w:p>
    <w:p w:rsidR="006B0652" w:rsidRPr="006E5888" w:rsidRDefault="006B0652" w:rsidP="006B0652">
      <w:pPr>
        <w:tabs>
          <w:tab w:val="left" w:pos="567"/>
          <w:tab w:val="left" w:pos="8789"/>
        </w:tabs>
        <w:jc w:val="center"/>
        <w:rPr>
          <w:szCs w:val="24"/>
        </w:rPr>
      </w:pPr>
      <w:r w:rsidRPr="006E5888">
        <w:rPr>
          <w:noProof/>
          <w:szCs w:val="24"/>
          <w:lang w:eastAsia="lv-LV"/>
        </w:rPr>
        <w:drawing>
          <wp:inline distT="0" distB="0" distL="0" distR="0" wp14:anchorId="3474373A" wp14:editId="69778109">
            <wp:extent cx="5325313" cy="2867025"/>
            <wp:effectExtent l="0" t="0" r="8890" b="9525"/>
            <wp:docPr id="57"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6B0652" w:rsidRPr="006E5888" w:rsidRDefault="006B0652" w:rsidP="006B0652">
      <w:pPr>
        <w:spacing w:before="120" w:after="240"/>
        <w:jc w:val="center"/>
        <w:rPr>
          <w:b/>
          <w:sz w:val="22"/>
        </w:rPr>
      </w:pPr>
      <w:r w:rsidRPr="006E5888">
        <w:rPr>
          <w:sz w:val="22"/>
        </w:rPr>
        <w:t>2</w:t>
      </w:r>
      <w:r w:rsidR="001A52AE" w:rsidRPr="006E5888">
        <w:rPr>
          <w:sz w:val="22"/>
        </w:rPr>
        <w:t>8</w:t>
      </w:r>
      <w:r w:rsidRPr="006E5888">
        <w:rPr>
          <w:sz w:val="22"/>
        </w:rPr>
        <w:t>.</w:t>
      </w:r>
      <w:r w:rsidRPr="006E5888">
        <w:rPr>
          <w:i/>
          <w:sz w:val="22"/>
        </w:rPr>
        <w:t>att</w:t>
      </w:r>
      <w:r w:rsidRPr="006E5888">
        <w:rPr>
          <w:sz w:val="22"/>
        </w:rPr>
        <w:t xml:space="preserve">. </w:t>
      </w:r>
      <w:r w:rsidRPr="006E5888">
        <w:rPr>
          <w:b/>
          <w:sz w:val="22"/>
        </w:rPr>
        <w:t>Medmāsu skaits uz tūkst. iedzīvotājiem, 2013.gadā</w:t>
      </w:r>
      <w:r w:rsidRPr="006E5888">
        <w:rPr>
          <w:rStyle w:val="FootnoteReference"/>
          <w:b/>
          <w:sz w:val="22"/>
        </w:rPr>
        <w:footnoteReference w:id="20"/>
      </w:r>
    </w:p>
    <w:p w:rsidR="006B0652" w:rsidRPr="006E5888" w:rsidRDefault="006B0652" w:rsidP="00845E2A">
      <w:pPr>
        <w:spacing w:after="120"/>
        <w:ind w:firstLine="709"/>
        <w:jc w:val="both"/>
        <w:rPr>
          <w:szCs w:val="24"/>
        </w:rPr>
      </w:pPr>
      <w:r w:rsidRPr="006E5888">
        <w:rPr>
          <w:szCs w:val="24"/>
        </w:rPr>
        <w:t>2</w:t>
      </w:r>
      <w:r w:rsidR="001A52AE" w:rsidRPr="006E5888">
        <w:rPr>
          <w:szCs w:val="24"/>
        </w:rPr>
        <w:t>8</w:t>
      </w:r>
      <w:r w:rsidRPr="006E5888">
        <w:rPr>
          <w:szCs w:val="24"/>
        </w:rPr>
        <w:t>.attēlā atspoguļots medmāsu skaits uz tūkstoš iedzīvotājiem starp OECD valstīm. Pēc 2</w:t>
      </w:r>
      <w:r w:rsidR="001A52AE" w:rsidRPr="006E5888">
        <w:rPr>
          <w:szCs w:val="24"/>
        </w:rPr>
        <w:t>8</w:t>
      </w:r>
      <w:r w:rsidRPr="006E5888">
        <w:rPr>
          <w:szCs w:val="24"/>
        </w:rPr>
        <w:t>.attēlā sniegtās informācijas secināms, ka Latvijā uz tūkstoš iedzīvotājiem ir 4,9 medmāsas, kas ir ievērojami zemāk nekā OECD valstīs vidēji (9,1). Turklāt medmāsu skaits uz tūkstoš iedzīvotājiem Latvijā ir mazāks arī par Lietuvu (7,6) un Igauniju (6,2) Medmāsu trūkuma rezultātā var rasties situācijas, ka pienākumus, kurus būtu jāveic medmāsām, veic ārsti, kas savukārt var mazināt ārstu darba efektivitāti un kvalitāti. Līdzīga situācija vērojama ģimenes ārstu skaita ziņā – Latvijā to ir relatīvi mazāk kā vairumā OECD dalībvalstu, liecinot par neefektīvu resursu sadali starp primāro un sekundāro veselības aprūpi.</w:t>
      </w:r>
    </w:p>
    <w:p w:rsidR="00641F87" w:rsidRPr="006E5888" w:rsidRDefault="00845E2A" w:rsidP="00845E2A">
      <w:pPr>
        <w:spacing w:after="120"/>
        <w:ind w:firstLine="709"/>
        <w:jc w:val="both"/>
        <w:rPr>
          <w:szCs w:val="24"/>
        </w:rPr>
      </w:pPr>
      <w:r w:rsidRPr="006E5888">
        <w:t>2</w:t>
      </w:r>
      <w:r w:rsidR="001A52AE" w:rsidRPr="006E5888">
        <w:t>9</w:t>
      </w:r>
      <w:r w:rsidRPr="006E5888">
        <w:t xml:space="preserve">.attēlā atspoguļots datortomogrāfijas iekārtu skaits uz miljons iedzīvotājiem. </w:t>
      </w:r>
      <w:r w:rsidRPr="006E5888">
        <w:rPr>
          <w:szCs w:val="24"/>
        </w:rPr>
        <w:t xml:space="preserve">Latvijā uz miljons iedzīvotājiem ir 35 datortomogrāfijas iekārtas. Šis rādītājs ir augstākais Baltijas valstu </w:t>
      </w:r>
      <w:r w:rsidRPr="006E5888">
        <w:rPr>
          <w:szCs w:val="24"/>
        </w:rPr>
        <w:lastRenderedPageBreak/>
        <w:t xml:space="preserve">starpā. Lai novērtētu datortomogrāfijas iekārtu izmantošanas efektivitāti, </w:t>
      </w:r>
      <w:r w:rsidR="007D36F9" w:rsidRPr="006E5888">
        <w:rPr>
          <w:szCs w:val="24"/>
        </w:rPr>
        <w:t>30</w:t>
      </w:r>
      <w:r w:rsidRPr="006E5888">
        <w:rPr>
          <w:szCs w:val="24"/>
        </w:rPr>
        <w:t>.attēlā ir atspoguļots datortomogrāfijas izmeklējumu skaits uz iekārtu gadā.</w:t>
      </w:r>
    </w:p>
    <w:p w:rsidR="00641F87" w:rsidRPr="006E5888" w:rsidRDefault="00845E2A" w:rsidP="00845E2A">
      <w:pPr>
        <w:jc w:val="center"/>
      </w:pPr>
      <w:r w:rsidRPr="006E5888">
        <w:rPr>
          <w:noProof/>
          <w:szCs w:val="24"/>
          <w:lang w:eastAsia="lv-LV"/>
        </w:rPr>
        <w:drawing>
          <wp:inline distT="0" distB="0" distL="0" distR="0" wp14:anchorId="289E35B9" wp14:editId="587FD2EC">
            <wp:extent cx="5351145" cy="2999232"/>
            <wp:effectExtent l="0" t="0" r="1905" b="10795"/>
            <wp:docPr id="58"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41F87" w:rsidRPr="006E5888" w:rsidRDefault="00845E2A" w:rsidP="00845E2A">
      <w:pPr>
        <w:spacing w:before="120" w:after="120"/>
        <w:jc w:val="center"/>
      </w:pPr>
      <w:r w:rsidRPr="006E5888">
        <w:rPr>
          <w:sz w:val="22"/>
        </w:rPr>
        <w:t>2</w:t>
      </w:r>
      <w:r w:rsidR="001A52AE" w:rsidRPr="006E5888">
        <w:rPr>
          <w:sz w:val="22"/>
        </w:rPr>
        <w:t>9</w:t>
      </w:r>
      <w:r w:rsidRPr="006E5888">
        <w:rPr>
          <w:sz w:val="22"/>
        </w:rPr>
        <w:t>.</w:t>
      </w:r>
      <w:r w:rsidRPr="006E5888">
        <w:rPr>
          <w:i/>
          <w:sz w:val="22"/>
        </w:rPr>
        <w:t>att</w:t>
      </w:r>
      <w:r w:rsidRPr="006E5888">
        <w:rPr>
          <w:sz w:val="22"/>
        </w:rPr>
        <w:t xml:space="preserve">. </w:t>
      </w:r>
      <w:r w:rsidRPr="006E5888">
        <w:rPr>
          <w:b/>
          <w:sz w:val="22"/>
        </w:rPr>
        <w:t>Datortomogrāfijas iekārtu skaits (uz milj. iedz. 2013.gadā)</w:t>
      </w:r>
      <w:r w:rsidRPr="006E5888">
        <w:rPr>
          <w:rStyle w:val="FootnoteReference"/>
          <w:b/>
          <w:sz w:val="22"/>
        </w:rPr>
        <w:footnoteReference w:id="21"/>
      </w:r>
    </w:p>
    <w:p w:rsidR="00641F87" w:rsidRPr="006E5888" w:rsidRDefault="00845E2A" w:rsidP="00845E2A">
      <w:pPr>
        <w:jc w:val="center"/>
      </w:pPr>
      <w:r w:rsidRPr="006E5888">
        <w:rPr>
          <w:noProof/>
          <w:szCs w:val="24"/>
          <w:lang w:eastAsia="lv-LV"/>
        </w:rPr>
        <w:drawing>
          <wp:inline distT="0" distB="0" distL="0" distR="0" wp14:anchorId="3ACB83F9" wp14:editId="2C92B1F0">
            <wp:extent cx="5321935" cy="3021178"/>
            <wp:effectExtent l="0" t="0" r="12065" b="8255"/>
            <wp:docPr id="60"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641F87" w:rsidRPr="006E5888" w:rsidRDefault="001A52AE" w:rsidP="00C41FF8">
      <w:pPr>
        <w:spacing w:before="120" w:after="240"/>
        <w:jc w:val="center"/>
        <w:rPr>
          <w:b/>
        </w:rPr>
      </w:pPr>
      <w:r w:rsidRPr="006E5888">
        <w:rPr>
          <w:sz w:val="22"/>
        </w:rPr>
        <w:t>30</w:t>
      </w:r>
      <w:r w:rsidR="00845E2A" w:rsidRPr="006E5888">
        <w:rPr>
          <w:sz w:val="22"/>
        </w:rPr>
        <w:t>.</w:t>
      </w:r>
      <w:r w:rsidR="00845E2A" w:rsidRPr="006E5888">
        <w:rPr>
          <w:i/>
          <w:sz w:val="22"/>
        </w:rPr>
        <w:t>att</w:t>
      </w:r>
      <w:r w:rsidR="00845E2A" w:rsidRPr="006E5888">
        <w:rPr>
          <w:sz w:val="22"/>
        </w:rPr>
        <w:t xml:space="preserve">. </w:t>
      </w:r>
      <w:r w:rsidR="00845E2A" w:rsidRPr="006E5888">
        <w:rPr>
          <w:b/>
          <w:sz w:val="22"/>
        </w:rPr>
        <w:t>Datortomogrāfijas izmeklējumu skaits uz iekārtu gadā, 2013.gadā</w:t>
      </w:r>
      <w:r w:rsidR="00845E2A" w:rsidRPr="006E5888">
        <w:rPr>
          <w:rStyle w:val="FootnoteReference"/>
          <w:b/>
          <w:sz w:val="22"/>
        </w:rPr>
        <w:footnoteReference w:id="22"/>
      </w:r>
    </w:p>
    <w:p w:rsidR="00C41FF8" w:rsidRPr="006E5888" w:rsidRDefault="00C41FF8" w:rsidP="00C41FF8">
      <w:pPr>
        <w:spacing w:before="120" w:after="120"/>
        <w:ind w:firstLine="720"/>
        <w:jc w:val="both"/>
        <w:rPr>
          <w:szCs w:val="24"/>
        </w:rPr>
      </w:pPr>
      <w:r w:rsidRPr="006E5888">
        <w:rPr>
          <w:szCs w:val="24"/>
        </w:rPr>
        <w:t xml:space="preserve">Pēc </w:t>
      </w:r>
      <w:r w:rsidR="00655D00" w:rsidRPr="006E5888">
        <w:rPr>
          <w:szCs w:val="24"/>
        </w:rPr>
        <w:t>30</w:t>
      </w:r>
      <w:r w:rsidRPr="006E5888">
        <w:rPr>
          <w:szCs w:val="24"/>
        </w:rPr>
        <w:t xml:space="preserve">.attēlā sniegtās informācijas redzams, ka Latvijā vidējā datortomogrāfijas iekārtas noslodze ir  4 557 izmeklējumi gadā, kas salīdzinot ar citām valstīm, ir zems rādītājs. Salīdzinot šos rādītājus ar </w:t>
      </w:r>
      <w:r w:rsidR="00655D00" w:rsidRPr="006E5888">
        <w:rPr>
          <w:szCs w:val="24"/>
        </w:rPr>
        <w:t>30</w:t>
      </w:r>
      <w:r w:rsidRPr="006E5888">
        <w:rPr>
          <w:szCs w:val="24"/>
        </w:rPr>
        <w:t xml:space="preserve">.attēlā sniegto informāciju, rodas jautājums, vai Latvijā augstais datortomogrāfijas iekārtu skaits, ņemot vērā zemo noslodzi, ir nepieciešams. Līdz ar to var secināt, ka Latvijā netiek īstenota efektīva iekārtu noslodzes politika. </w:t>
      </w:r>
    </w:p>
    <w:p w:rsidR="00C41FF8" w:rsidRPr="006E5888" w:rsidRDefault="00B2231F" w:rsidP="00C41FF8">
      <w:pPr>
        <w:ind w:firstLine="720"/>
        <w:jc w:val="both"/>
        <w:rPr>
          <w:szCs w:val="24"/>
        </w:rPr>
      </w:pPr>
      <w:r w:rsidRPr="006E5888">
        <w:rPr>
          <w:szCs w:val="24"/>
        </w:rPr>
        <w:t>31</w:t>
      </w:r>
      <w:r w:rsidR="00C41FF8" w:rsidRPr="006E5888">
        <w:rPr>
          <w:szCs w:val="24"/>
        </w:rPr>
        <w:t>.attēlā atspoguļots magnētiskās rezonanses iekārtu skaits uz miljons iedzīvotājiem.</w:t>
      </w:r>
    </w:p>
    <w:p w:rsidR="00641F87" w:rsidRPr="006E5888" w:rsidRDefault="00641F87" w:rsidP="00540830"/>
    <w:p w:rsidR="00641F87" w:rsidRPr="006E5888" w:rsidRDefault="00C41FF8" w:rsidP="00C41FF8">
      <w:pPr>
        <w:tabs>
          <w:tab w:val="left" w:pos="8931"/>
        </w:tabs>
        <w:jc w:val="center"/>
      </w:pPr>
      <w:r w:rsidRPr="006E5888">
        <w:rPr>
          <w:noProof/>
          <w:szCs w:val="24"/>
          <w:lang w:eastAsia="lv-LV"/>
        </w:rPr>
        <w:lastRenderedPageBreak/>
        <w:drawing>
          <wp:inline distT="0" distB="0" distL="0" distR="0" wp14:anchorId="12C10CCC" wp14:editId="1314A1F6">
            <wp:extent cx="5339715" cy="3028493"/>
            <wp:effectExtent l="0" t="0" r="13335" b="635"/>
            <wp:docPr id="62"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41F87" w:rsidRPr="006E5888" w:rsidRDefault="00962C96" w:rsidP="00C41FF8">
      <w:pPr>
        <w:spacing w:before="120" w:after="120"/>
        <w:jc w:val="center"/>
        <w:rPr>
          <w:b/>
        </w:rPr>
      </w:pPr>
      <w:r w:rsidRPr="006E5888">
        <w:rPr>
          <w:sz w:val="22"/>
        </w:rPr>
        <w:t>31</w:t>
      </w:r>
      <w:r w:rsidR="00C41FF8" w:rsidRPr="006E5888">
        <w:rPr>
          <w:sz w:val="22"/>
        </w:rPr>
        <w:t>.</w:t>
      </w:r>
      <w:r w:rsidR="00C41FF8" w:rsidRPr="006E5888">
        <w:rPr>
          <w:i/>
          <w:sz w:val="22"/>
        </w:rPr>
        <w:t>att</w:t>
      </w:r>
      <w:r w:rsidR="00C41FF8" w:rsidRPr="006E5888">
        <w:rPr>
          <w:sz w:val="22"/>
        </w:rPr>
        <w:t xml:space="preserve">. </w:t>
      </w:r>
      <w:r w:rsidR="00C41FF8" w:rsidRPr="006E5888">
        <w:rPr>
          <w:b/>
          <w:sz w:val="22"/>
        </w:rPr>
        <w:t>Magnētiskās rezonanses iekārtu skaits uz miljons iedzīvotājiem, 2013.gadā</w:t>
      </w:r>
      <w:r w:rsidR="0053047A" w:rsidRPr="006E5888">
        <w:rPr>
          <w:rStyle w:val="FootnoteReference"/>
          <w:b/>
          <w:sz w:val="22"/>
        </w:rPr>
        <w:footnoteReference w:id="23"/>
      </w:r>
    </w:p>
    <w:p w:rsidR="00125653" w:rsidRPr="006E5888" w:rsidRDefault="00125653" w:rsidP="00125653">
      <w:pPr>
        <w:ind w:firstLine="720"/>
        <w:jc w:val="both"/>
        <w:rPr>
          <w:noProof/>
          <w:szCs w:val="24"/>
          <w:lang w:eastAsia="lv-LV"/>
        </w:rPr>
      </w:pPr>
      <w:r w:rsidRPr="006E5888">
        <w:rPr>
          <w:noProof/>
          <w:szCs w:val="24"/>
          <w:lang w:eastAsia="lv-LV"/>
        </w:rPr>
        <w:t>Latvijā uz miljons iedzīvotājiem ir 10,4 magnētiskās rezonanses aparāti. Salīdzinot ar Igauniju, kurā ir 11,4 aparāti, un Lietuvu, kurā ir 10,5 aparāti uz miljons iedzīvotājiem, aparātu skaita atšķirības nav lielas.</w:t>
      </w:r>
    </w:p>
    <w:p w:rsidR="00125653" w:rsidRPr="006E5888" w:rsidRDefault="001A0D2C" w:rsidP="00125653">
      <w:pPr>
        <w:spacing w:after="240"/>
        <w:ind w:firstLine="720"/>
        <w:jc w:val="both"/>
        <w:rPr>
          <w:noProof/>
          <w:szCs w:val="24"/>
          <w:lang w:eastAsia="lv-LV"/>
        </w:rPr>
      </w:pPr>
      <w:r w:rsidRPr="006E5888">
        <w:rPr>
          <w:noProof/>
          <w:szCs w:val="24"/>
          <w:lang w:eastAsia="lv-LV"/>
        </w:rPr>
        <w:t>32</w:t>
      </w:r>
      <w:r w:rsidR="00125653" w:rsidRPr="006E5888">
        <w:rPr>
          <w:noProof/>
          <w:szCs w:val="24"/>
          <w:lang w:eastAsia="lv-LV"/>
        </w:rPr>
        <w:t>.attēlā atspoguļots magnētiskās rezonanses izmeklējumu skaits uz aparātu gadā.</w:t>
      </w:r>
    </w:p>
    <w:p w:rsidR="00125653" w:rsidRPr="006E5888" w:rsidRDefault="00125653" w:rsidP="00125653">
      <w:pPr>
        <w:jc w:val="center"/>
        <w:rPr>
          <w:szCs w:val="24"/>
        </w:rPr>
      </w:pPr>
      <w:r w:rsidRPr="006E5888">
        <w:rPr>
          <w:b/>
          <w:noProof/>
          <w:sz w:val="28"/>
          <w:szCs w:val="28"/>
          <w:lang w:eastAsia="lv-LV"/>
        </w:rPr>
        <w:drawing>
          <wp:inline distT="0" distB="0" distL="0" distR="0" wp14:anchorId="19962885" wp14:editId="309D3B1A">
            <wp:extent cx="5384165" cy="3094329"/>
            <wp:effectExtent l="0" t="0" r="6985" b="11430"/>
            <wp:docPr id="66" name="Chart 6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125653" w:rsidRPr="006E5888" w:rsidRDefault="00125653" w:rsidP="00517218">
      <w:pPr>
        <w:spacing w:before="120" w:after="120"/>
        <w:jc w:val="center"/>
        <w:rPr>
          <w:b/>
          <w:noProof/>
          <w:sz w:val="22"/>
          <w:lang w:eastAsia="lv-LV"/>
        </w:rPr>
      </w:pPr>
      <w:r w:rsidRPr="006E5888">
        <w:rPr>
          <w:sz w:val="22"/>
        </w:rPr>
        <w:t>3</w:t>
      </w:r>
      <w:r w:rsidR="001A0D2C" w:rsidRPr="006E5888">
        <w:rPr>
          <w:sz w:val="22"/>
        </w:rPr>
        <w:t>2</w:t>
      </w:r>
      <w:r w:rsidRPr="006E5888">
        <w:rPr>
          <w:sz w:val="22"/>
        </w:rPr>
        <w:t>.</w:t>
      </w:r>
      <w:r w:rsidRPr="006E5888">
        <w:rPr>
          <w:i/>
          <w:sz w:val="22"/>
        </w:rPr>
        <w:t>att</w:t>
      </w:r>
      <w:r w:rsidRPr="006E5888">
        <w:rPr>
          <w:sz w:val="22"/>
        </w:rPr>
        <w:t xml:space="preserve">. </w:t>
      </w:r>
      <w:r w:rsidRPr="006E5888">
        <w:rPr>
          <w:b/>
          <w:sz w:val="22"/>
        </w:rPr>
        <w:t>Magnētiskās rezonanses izmeklējumu skaits uz iekārtu, 2013.gads</w:t>
      </w:r>
      <w:r w:rsidR="0053047A" w:rsidRPr="006E5888">
        <w:rPr>
          <w:rStyle w:val="FootnoteReference"/>
          <w:b/>
          <w:sz w:val="22"/>
        </w:rPr>
        <w:footnoteReference w:id="24"/>
      </w:r>
    </w:p>
    <w:p w:rsidR="003167A1" w:rsidRPr="006E5888" w:rsidRDefault="003167A1" w:rsidP="003167A1">
      <w:pPr>
        <w:ind w:firstLine="709"/>
        <w:jc w:val="both"/>
        <w:rPr>
          <w:szCs w:val="24"/>
        </w:rPr>
      </w:pPr>
      <w:r w:rsidRPr="006E5888">
        <w:rPr>
          <w:szCs w:val="24"/>
        </w:rPr>
        <w:t>Pēc 3</w:t>
      </w:r>
      <w:r w:rsidR="009A575F" w:rsidRPr="006E5888">
        <w:rPr>
          <w:szCs w:val="24"/>
        </w:rPr>
        <w:t>2</w:t>
      </w:r>
      <w:r w:rsidRPr="006E5888">
        <w:rPr>
          <w:szCs w:val="24"/>
        </w:rPr>
        <w:t>.attēlā sniegtās informācijas redzams, ka Latvijā uz vienu magnētiskās rezonanses aparātu, salīdzinājumā ar pārējām Baltijas valstīm, tiek veikts vismazākais izmeklējumu skaits. Ja Igaunijā tie ir 4 499 izmeklējumi un Lietuvā 3 197 izmeklējumi, tad Latvijā tie ir 3 078 izmeklējumi.</w:t>
      </w:r>
    </w:p>
    <w:p w:rsidR="003167A1" w:rsidRPr="006E5888" w:rsidRDefault="003167A1" w:rsidP="003167A1">
      <w:pPr>
        <w:ind w:firstLine="720"/>
        <w:jc w:val="both"/>
        <w:rPr>
          <w:noProof/>
          <w:szCs w:val="24"/>
          <w:lang w:eastAsia="lv-LV"/>
        </w:rPr>
      </w:pPr>
      <w:r w:rsidRPr="006E5888">
        <w:rPr>
          <w:noProof/>
          <w:szCs w:val="24"/>
          <w:lang w:eastAsia="lv-LV"/>
        </w:rPr>
        <w:lastRenderedPageBreak/>
        <w:t>Ārstniecības iestāžu kapacitāte (aparatūras, ārsti) Latvijā ir tuvu OECD valstu vidējiem rādītājiem. Diagnostisko iekārtu (datortomogrāfu) skaits Latvijā ir virs vidējā OECD valstu līmeņa.</w:t>
      </w:r>
    </w:p>
    <w:p w:rsidR="003167A1" w:rsidRPr="006E5888" w:rsidRDefault="003167A1" w:rsidP="00023CE0">
      <w:pPr>
        <w:spacing w:after="120"/>
        <w:ind w:firstLine="709"/>
        <w:jc w:val="both"/>
        <w:rPr>
          <w:noProof/>
          <w:szCs w:val="24"/>
          <w:lang w:eastAsia="lv-LV"/>
        </w:rPr>
      </w:pPr>
      <w:r w:rsidRPr="006E5888">
        <w:rPr>
          <w:noProof/>
          <w:szCs w:val="24"/>
          <w:lang w:eastAsia="lv-LV"/>
        </w:rPr>
        <w:t>Diagnostisko iekārtu noslodze atsevišķos rādītājos (piemēram izmeklējumu skaits uz vienu datortomogrāfu, magnētiskās rezonanses aparātu) Latvijā atpaliek no OECD valstu vidējiem rādītājiem.</w:t>
      </w:r>
    </w:p>
    <w:p w:rsidR="00125653" w:rsidRPr="006E5888" w:rsidRDefault="003167A1" w:rsidP="003167A1">
      <w:pPr>
        <w:jc w:val="center"/>
        <w:rPr>
          <w:noProof/>
          <w:szCs w:val="24"/>
          <w:lang w:eastAsia="lv-LV"/>
        </w:rPr>
      </w:pPr>
      <w:r w:rsidRPr="006E5888">
        <w:rPr>
          <w:b/>
          <w:noProof/>
          <w:lang w:eastAsia="lv-LV"/>
        </w:rPr>
        <w:drawing>
          <wp:inline distT="0" distB="0" distL="0" distR="0" wp14:anchorId="1AF1248C" wp14:editId="3013C901">
            <wp:extent cx="5017770" cy="2728569"/>
            <wp:effectExtent l="0" t="0" r="11430" b="15240"/>
            <wp:docPr id="109" name="Object 10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641F87" w:rsidRPr="006E5888" w:rsidRDefault="0053047A" w:rsidP="0053047A">
      <w:pPr>
        <w:spacing w:before="120" w:after="120"/>
        <w:jc w:val="center"/>
        <w:rPr>
          <w:b/>
          <w:sz w:val="22"/>
        </w:rPr>
      </w:pPr>
      <w:r w:rsidRPr="006E5888">
        <w:rPr>
          <w:sz w:val="22"/>
        </w:rPr>
        <w:t>3</w:t>
      </w:r>
      <w:r w:rsidR="009A575F" w:rsidRPr="006E5888">
        <w:rPr>
          <w:sz w:val="22"/>
        </w:rPr>
        <w:t>3</w:t>
      </w:r>
      <w:r w:rsidRPr="006E5888">
        <w:rPr>
          <w:sz w:val="22"/>
        </w:rPr>
        <w:t>.</w:t>
      </w:r>
      <w:r w:rsidRPr="006E5888">
        <w:rPr>
          <w:i/>
          <w:sz w:val="22"/>
        </w:rPr>
        <w:t>att</w:t>
      </w:r>
      <w:r w:rsidRPr="006E5888">
        <w:rPr>
          <w:sz w:val="22"/>
        </w:rPr>
        <w:t>.</w:t>
      </w:r>
      <w:r w:rsidRPr="006E5888">
        <w:t xml:space="preserve"> </w:t>
      </w:r>
      <w:r w:rsidRPr="006E5888">
        <w:rPr>
          <w:b/>
          <w:sz w:val="22"/>
        </w:rPr>
        <w:t>Magnētiskās rezonanses izmantošana Latvijā, 2013.gadā</w:t>
      </w:r>
      <w:r w:rsidRPr="006E5888">
        <w:rPr>
          <w:rStyle w:val="FootnoteReference"/>
          <w:b/>
          <w:sz w:val="22"/>
        </w:rPr>
        <w:footnoteReference w:id="25"/>
      </w:r>
    </w:p>
    <w:p w:rsidR="0053047A" w:rsidRPr="006E5888" w:rsidRDefault="0053047A" w:rsidP="0053047A">
      <w:pPr>
        <w:ind w:firstLine="720"/>
        <w:jc w:val="both"/>
        <w:rPr>
          <w:noProof/>
          <w:szCs w:val="24"/>
          <w:lang w:eastAsia="lv-LV"/>
        </w:rPr>
      </w:pPr>
      <w:r w:rsidRPr="006E5888">
        <w:rPr>
          <w:noProof/>
          <w:szCs w:val="24"/>
          <w:lang w:eastAsia="lv-LV"/>
        </w:rPr>
        <w:t>Pēc attēlā sniegtajiem datiem secināms, ka no 2003. – 2013.gadam magnētisko rezonanšu iekārtu un izmeklējumu skaitam ir tendence pieaugt. Ja 2003.gadā aparātu skaits ir nedaudz zem 2 uz miljons iedzīvotājiem un izmeklējumu skaits ir nedaudz zem 5 uz tūkstots iedzīvotājiem, tad iekārtu skaits 10 gadu laikā ir pieaudzis 5 reizes, savukārt izmeklējumu skaits ir pieaudzis apmēram 7 reizes. Tādējādi iekārtu noslodze 10 gadu laikā nav būtiski mainījusies, saglabājoties zemā līmenī.</w:t>
      </w:r>
    </w:p>
    <w:p w:rsidR="00023CE0" w:rsidRPr="006E5888" w:rsidRDefault="00023CE0" w:rsidP="00023CE0">
      <w:pPr>
        <w:pStyle w:val="ListParagraph"/>
        <w:numPr>
          <w:ilvl w:val="2"/>
          <w:numId w:val="40"/>
        </w:numPr>
        <w:spacing w:before="120" w:after="120"/>
        <w:rPr>
          <w:b/>
          <w:bCs/>
          <w:szCs w:val="24"/>
        </w:rPr>
      </w:pPr>
      <w:r w:rsidRPr="006E5888">
        <w:rPr>
          <w:b/>
          <w:bCs/>
          <w:szCs w:val="24"/>
        </w:rPr>
        <w:t>Veselības ministrijas budžeta analīze</w:t>
      </w:r>
    </w:p>
    <w:p w:rsidR="0053047A" w:rsidRPr="006E5888" w:rsidRDefault="00023CE0" w:rsidP="00023CE0">
      <w:pPr>
        <w:ind w:firstLine="426"/>
        <w:jc w:val="both"/>
        <w:rPr>
          <w:bCs/>
          <w:szCs w:val="24"/>
        </w:rPr>
      </w:pPr>
      <w:r w:rsidRPr="006E5888">
        <w:rPr>
          <w:szCs w:val="24"/>
        </w:rPr>
        <w:t xml:space="preserve">Veicot VM budžeta izdevumu analīzi, laika periodā no 2013.–2015.gadam konstatēts, ka atsevišķās VM budžeta apakšprogrammās veidojas regulāras izdevumu neizpildes, kā piemēram apakšprogrammās, </w:t>
      </w:r>
      <w:r w:rsidRPr="006E5888">
        <w:rPr>
          <w:bCs/>
          <w:szCs w:val="24"/>
        </w:rPr>
        <w:t>45.01.00 “Veselības aprūpes finansējuma administrēšana un ekonomiskā novērtēšana” un 45.02.00 “Ārstniecības riska fonda darbības nodrošināšana”.</w:t>
      </w:r>
    </w:p>
    <w:p w:rsidR="00023CE0" w:rsidRPr="006E5888" w:rsidRDefault="00023CE0" w:rsidP="00023CE0">
      <w:pPr>
        <w:ind w:firstLine="567"/>
        <w:jc w:val="both"/>
        <w:rPr>
          <w:bCs/>
          <w:szCs w:val="24"/>
        </w:rPr>
      </w:pPr>
      <w:r w:rsidRPr="006E5888">
        <w:rPr>
          <w:bCs/>
          <w:szCs w:val="24"/>
        </w:rPr>
        <w:t>2013.–2015.gadā apakšprogrammā 45.01.00 “Veselības aprūpes finansējuma administrēšana un ekonomiskā novērtēšana” vērojama izdevumu neizpilde, kas attēlota 32.attēlā.</w:t>
      </w:r>
    </w:p>
    <w:p w:rsidR="000773D6" w:rsidRPr="006E5888" w:rsidRDefault="000773D6" w:rsidP="000773D6">
      <w:pPr>
        <w:ind w:firstLine="720"/>
        <w:jc w:val="both"/>
        <w:rPr>
          <w:bCs/>
          <w:szCs w:val="24"/>
        </w:rPr>
      </w:pPr>
      <w:r w:rsidRPr="006E5888">
        <w:rPr>
          <w:szCs w:val="24"/>
        </w:rPr>
        <w:t xml:space="preserve">Izvērtējot apakšprogrammas </w:t>
      </w:r>
      <w:r w:rsidRPr="006E5888">
        <w:rPr>
          <w:bCs/>
          <w:szCs w:val="24"/>
        </w:rPr>
        <w:t xml:space="preserve">45.01.00 “Veselības aprūpes finansējuma administrēšana un ekonomiskā novērtēšana” izdevumu neizpildi laika posmā no 2013.gada līdz 2015.gadam, secināts, ka trīs gadu periodā veidojas līdzekļu </w:t>
      </w:r>
      <w:proofErr w:type="spellStart"/>
      <w:r w:rsidRPr="006E5888">
        <w:rPr>
          <w:bCs/>
          <w:szCs w:val="24"/>
        </w:rPr>
        <w:t>neapguve</w:t>
      </w:r>
      <w:proofErr w:type="spellEnd"/>
      <w:r w:rsidRPr="006E5888">
        <w:rPr>
          <w:bCs/>
          <w:szCs w:val="24"/>
        </w:rPr>
        <w:t xml:space="preserve"> 462 427 </w:t>
      </w:r>
      <w:proofErr w:type="spellStart"/>
      <w:r w:rsidRPr="006E5888">
        <w:rPr>
          <w:bCs/>
          <w:i/>
          <w:szCs w:val="24"/>
        </w:rPr>
        <w:t>euro</w:t>
      </w:r>
      <w:proofErr w:type="spellEnd"/>
      <w:r w:rsidRPr="006E5888">
        <w:rPr>
          <w:bCs/>
          <w:szCs w:val="24"/>
        </w:rPr>
        <w:t xml:space="preserve"> apmērā vidēji gadā. </w:t>
      </w:r>
    </w:p>
    <w:p w:rsidR="00023CE0" w:rsidRPr="006E5888" w:rsidRDefault="000773D6" w:rsidP="000773D6">
      <w:pPr>
        <w:ind w:firstLine="720"/>
        <w:jc w:val="both"/>
        <w:rPr>
          <w:bCs/>
          <w:szCs w:val="24"/>
        </w:rPr>
      </w:pPr>
      <w:r w:rsidRPr="006E5888">
        <w:rPr>
          <w:bCs/>
          <w:szCs w:val="24"/>
        </w:rPr>
        <w:t xml:space="preserve">Veselības ministrija skaidro, ka apakšprogrammas “Veselības aprūpes finansējuma administrēšana un ekonomiskā novērtēšana” 2013.gada izdevumu neizpilde precēm un pakalpojumiem skaidrojama ar izpildītāja laikā neveiktām Vadības informācijas sistēmas programmatūras izmaiņām, recepšu veidlapu pieprasījuma samazinājumu un pasta pakalpojumu samazināšanos, jo plašāk tiek pielietots e-paraksts, savukārt neizpilde izdevumiem kapitālajiem ieguldījumiem skaidrojama ar aizkavējušos iepirkumu procedūru Microsoft licenču iegādei un mēbeļu iepirkuma līguma noslēgšanu par zemākām cenām,  līdz ar to vienas vienības cena bija zemāka par 150 latiem, kā rezultātā mēbeles tika novērtētas kā mazvērtīgais inventārs. 2014.gada </w:t>
      </w:r>
      <w:r w:rsidRPr="006E5888">
        <w:rPr>
          <w:bCs/>
          <w:szCs w:val="24"/>
        </w:rPr>
        <w:lastRenderedPageBreak/>
        <w:t>neizpilde tiek skaidrota ar to, ka  izdevumiem atlīdzībai veidojās ietaupījums saistībā ar darbinieku iesniegtajām slimības lapām, neizpilde izdevumiem precēm un pakalpojumiem saistīta ar aizkavētām iepirkumu procedūrām un ar izpildītāja laikā neveiktām Vadības informācijas sistēmas programmatūras izmaiņām. Savukārt izdevumu neizpilde kapitālajiem ieguldījumiem saistīta ar to, ka  Zvanu centra noma tika atzīta par saimnieciski izdevīgāku nekā izveide. 2015.gada neizpildi Veselības ministrija skaidro ar to, ka iepirkuma līgumi par personāla apdrošināšanas polisēm un Microsoft licencēm ir noslēgti par zemākām cenām nekā plānots, kā arī bijis mazāks pieprasījums pēc recepšu veidlapām un pagarināts projekta “E-veselības integrētas sistēmas attīstība” izpildes termiņš, līdz ar to maksājumus pārceļot uz 2016.gadu.</w:t>
      </w:r>
    </w:p>
    <w:p w:rsidR="0053047A" w:rsidRPr="006E5888" w:rsidRDefault="0053047A" w:rsidP="00726DEC">
      <w:pPr>
        <w:tabs>
          <w:tab w:val="left" w:pos="8789"/>
        </w:tabs>
        <w:spacing w:before="120" w:after="120"/>
        <w:jc w:val="center"/>
      </w:pPr>
      <w:r w:rsidRPr="006E5888">
        <w:rPr>
          <w:noProof/>
          <w:lang w:eastAsia="lv-LV"/>
        </w:rPr>
        <w:drawing>
          <wp:inline distT="0" distB="0" distL="0" distR="0" wp14:anchorId="02130368" wp14:editId="2E7670AB">
            <wp:extent cx="5192804" cy="3482035"/>
            <wp:effectExtent l="19050" t="19050" r="27305" b="2349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34495" cy="3509991"/>
                    </a:xfrm>
                    <a:prstGeom prst="rect">
                      <a:avLst/>
                    </a:prstGeom>
                    <a:noFill/>
                    <a:ln>
                      <a:solidFill>
                        <a:schemeClr val="bg1">
                          <a:lumMod val="85000"/>
                        </a:schemeClr>
                      </a:solidFill>
                    </a:ln>
                  </pic:spPr>
                </pic:pic>
              </a:graphicData>
            </a:graphic>
          </wp:inline>
        </w:drawing>
      </w:r>
    </w:p>
    <w:p w:rsidR="00641F87" w:rsidRPr="006E5888" w:rsidRDefault="000773D6" w:rsidP="000773D6">
      <w:pPr>
        <w:jc w:val="center"/>
      </w:pPr>
      <w:r w:rsidRPr="006E5888">
        <w:rPr>
          <w:sz w:val="22"/>
        </w:rPr>
        <w:t>3</w:t>
      </w:r>
      <w:r w:rsidR="009A575F" w:rsidRPr="006E5888">
        <w:rPr>
          <w:sz w:val="22"/>
        </w:rPr>
        <w:t>4</w:t>
      </w:r>
      <w:r w:rsidRPr="006E5888">
        <w:rPr>
          <w:sz w:val="22"/>
        </w:rPr>
        <w:t>.</w:t>
      </w:r>
      <w:r w:rsidRPr="006E5888">
        <w:rPr>
          <w:i/>
          <w:sz w:val="22"/>
        </w:rPr>
        <w:t>att</w:t>
      </w:r>
      <w:r w:rsidRPr="006E5888">
        <w:rPr>
          <w:sz w:val="22"/>
        </w:rPr>
        <w:t xml:space="preserve">. </w:t>
      </w:r>
      <w:r w:rsidRPr="006E5888">
        <w:rPr>
          <w:b/>
          <w:bCs/>
          <w:sz w:val="22"/>
        </w:rPr>
        <w:t>Izdevumu neizpilde apakšprogrammā 45.01.00 “Veselības aprūpes finansējuma administrēšana un ekonomiskā novērtēšana”</w:t>
      </w:r>
    </w:p>
    <w:p w:rsidR="00641F87" w:rsidRPr="006E5888" w:rsidRDefault="00641F87" w:rsidP="00540830"/>
    <w:p w:rsidR="00EA2B02" w:rsidRPr="006E5888" w:rsidRDefault="00EA2B02" w:rsidP="00EA2B02">
      <w:pPr>
        <w:ind w:firstLine="709"/>
        <w:jc w:val="both"/>
        <w:rPr>
          <w:bCs/>
          <w:szCs w:val="24"/>
        </w:rPr>
      </w:pPr>
      <w:r w:rsidRPr="006E5888">
        <w:rPr>
          <w:bCs/>
          <w:szCs w:val="24"/>
        </w:rPr>
        <w:t>Izvērtējot VM skaidrojumus par izdevumu neizpildēm veselības aprūpes finansējuma administrēšanas un ekonomiskās novērtēšanas apakšprogrammā, secināms, ka ir sistemātiskas problēmas ar iepirkumu plānošanu un ar līgumu izpildītāju veikto darbu kontroli. Atbilstoši Valsts kases saimnieciskā gada pārskatiem par valsts budžeta izpildi un pašvaldību budžetiem par 2013.-2014.gadu un Valsts kases operatīvam pārskatam “Ministrijas pamatbudžeta ieņēmumu un izdevumu izpilde 2015. gada 12 mēnešos” ieņēmumi no  maksas pakalpojumiem un citiem pašu ieņēmumiem pārsniedz plānoto ieņēmumu apmēru  2013.gadā  56 649</w:t>
      </w:r>
      <w:r w:rsidRPr="006E5888">
        <w:rPr>
          <w:bCs/>
          <w:i/>
          <w:szCs w:val="24"/>
        </w:rPr>
        <w:t xml:space="preserve"> </w:t>
      </w:r>
      <w:proofErr w:type="spellStart"/>
      <w:r w:rsidRPr="006E5888">
        <w:rPr>
          <w:bCs/>
          <w:i/>
          <w:szCs w:val="24"/>
        </w:rPr>
        <w:t>euro</w:t>
      </w:r>
      <w:proofErr w:type="spellEnd"/>
      <w:r w:rsidRPr="006E5888">
        <w:rPr>
          <w:bCs/>
          <w:szCs w:val="24"/>
        </w:rPr>
        <w:t xml:space="preserve"> apmērā, 2014.gadā 178 952 </w:t>
      </w:r>
      <w:proofErr w:type="spellStart"/>
      <w:r w:rsidRPr="006E5888">
        <w:rPr>
          <w:bCs/>
          <w:i/>
          <w:szCs w:val="24"/>
        </w:rPr>
        <w:t>euro</w:t>
      </w:r>
      <w:proofErr w:type="spellEnd"/>
      <w:r w:rsidRPr="006E5888">
        <w:rPr>
          <w:bCs/>
          <w:szCs w:val="24"/>
        </w:rPr>
        <w:t xml:space="preserve"> apmērā un 2015.gadā 213 786</w:t>
      </w:r>
      <w:r w:rsidRPr="006E5888">
        <w:rPr>
          <w:bCs/>
          <w:i/>
          <w:szCs w:val="24"/>
        </w:rPr>
        <w:t xml:space="preserve"> </w:t>
      </w:r>
      <w:proofErr w:type="spellStart"/>
      <w:r w:rsidRPr="006E5888">
        <w:rPr>
          <w:bCs/>
          <w:i/>
          <w:szCs w:val="24"/>
        </w:rPr>
        <w:t>euro</w:t>
      </w:r>
      <w:proofErr w:type="spellEnd"/>
      <w:r w:rsidRPr="006E5888">
        <w:rPr>
          <w:bCs/>
          <w:szCs w:val="24"/>
        </w:rPr>
        <w:t xml:space="preserve"> apmērā. Atbilstoši Valsts kases informācijai apakšprogrammā 45.01.00 “Veselības aprūpes finansējuma administrēšana un ekonomiskā novērtēšana” pašu ieņēmumu no maksas pakalpojumiem un citiem pašu ieņēmumiem naudas līdzekļu atlikums uz 2016.gada 1.janvāri deponēto līdzekļu kontos bija 1 096 539</w:t>
      </w:r>
      <w:r w:rsidRPr="006E5888">
        <w:rPr>
          <w:bCs/>
          <w:i/>
          <w:szCs w:val="24"/>
        </w:rPr>
        <w:t xml:space="preserve"> </w:t>
      </w:r>
      <w:proofErr w:type="spellStart"/>
      <w:r w:rsidRPr="006E5888">
        <w:rPr>
          <w:bCs/>
          <w:i/>
          <w:szCs w:val="24"/>
        </w:rPr>
        <w:t>euro</w:t>
      </w:r>
      <w:proofErr w:type="spellEnd"/>
      <w:r w:rsidRPr="006E5888">
        <w:rPr>
          <w:bCs/>
          <w:szCs w:val="24"/>
        </w:rPr>
        <w:t xml:space="preserve"> apmērā. Savukārt, atbilstoši VM pieprasījumam 2016.gada 27.aprīlī ar FM rīkojumu Nr.201 apakšprogrammā 33.01.00 “Ārstniecība” tika palielināti izdevumi subsīdijām un dotācijām 516 482 </w:t>
      </w:r>
      <w:proofErr w:type="spellStart"/>
      <w:r w:rsidRPr="006E5888">
        <w:rPr>
          <w:bCs/>
          <w:i/>
          <w:szCs w:val="24"/>
        </w:rPr>
        <w:t>euro</w:t>
      </w:r>
      <w:proofErr w:type="spellEnd"/>
      <w:r w:rsidRPr="006E5888">
        <w:rPr>
          <w:bCs/>
          <w:szCs w:val="24"/>
        </w:rPr>
        <w:t xml:space="preserve"> apmērā, to finansēšanai novirzot daļu no minētā NVD 2014.gada un 2015.gada naudas līdzekļu atlikuma.</w:t>
      </w:r>
    </w:p>
    <w:p w:rsidR="00EA2B02" w:rsidRPr="006E5888" w:rsidRDefault="00EA2B02" w:rsidP="00EA2B02">
      <w:pPr>
        <w:ind w:firstLine="720"/>
        <w:jc w:val="both"/>
        <w:rPr>
          <w:bCs/>
          <w:szCs w:val="24"/>
        </w:rPr>
      </w:pPr>
      <w:r w:rsidRPr="006E5888">
        <w:rPr>
          <w:bCs/>
          <w:szCs w:val="24"/>
        </w:rPr>
        <w:t xml:space="preserve">Līdz ar to secināms, ka apakšprogrammā “Veselības aprūpes finansējuma administrēšana un ekonomiskā novērtēšana” ir finansējuma rezerve, kuru iespējams novirzīt citām veselības jomas </w:t>
      </w:r>
      <w:r w:rsidRPr="006E5888">
        <w:rPr>
          <w:bCs/>
          <w:szCs w:val="24"/>
        </w:rPr>
        <w:lastRenderedPageBreak/>
        <w:t>prioritātēm. Uzskatām, ka līdzīgi bija jārīkojas arī iepriekšējos gados, apzinoties samilzušās problēmas veselības jomā un pakalpojumu pieejamībā.</w:t>
      </w:r>
    </w:p>
    <w:p w:rsidR="00EA2B02" w:rsidRPr="006E5888" w:rsidRDefault="00EA2B02" w:rsidP="00C23082">
      <w:pPr>
        <w:spacing w:after="120"/>
        <w:ind w:firstLine="720"/>
        <w:jc w:val="both"/>
        <w:rPr>
          <w:bCs/>
          <w:szCs w:val="24"/>
        </w:rPr>
      </w:pPr>
      <w:r w:rsidRPr="006E5888">
        <w:rPr>
          <w:bCs/>
          <w:szCs w:val="24"/>
        </w:rPr>
        <w:t>Apakšprogrammā 45.02.00 “Ārstniecības riska fonda darbības nodrošināšana”, no tās izveidošanas gada, ik gadu veidojās neizpildes, kas ir attēlotas 33.attēlā.</w:t>
      </w:r>
    </w:p>
    <w:p w:rsidR="00641F87" w:rsidRPr="006E5888" w:rsidRDefault="006B6796" w:rsidP="00726DEC">
      <w:pPr>
        <w:tabs>
          <w:tab w:val="left" w:pos="8647"/>
        </w:tabs>
        <w:jc w:val="center"/>
        <w:rPr>
          <w:bCs/>
          <w:szCs w:val="24"/>
        </w:rPr>
      </w:pPr>
      <w:r w:rsidRPr="006E5888">
        <w:rPr>
          <w:bCs/>
          <w:noProof/>
          <w:szCs w:val="24"/>
          <w:lang w:eastAsia="lv-LV"/>
        </w:rPr>
        <w:drawing>
          <wp:inline distT="0" distB="0" distL="0" distR="0" wp14:anchorId="10CD1955" wp14:editId="275187C1">
            <wp:extent cx="5046980" cy="3335731"/>
            <wp:effectExtent l="19050" t="19050" r="20320" b="1714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89213" cy="3363645"/>
                    </a:xfrm>
                    <a:prstGeom prst="rect">
                      <a:avLst/>
                    </a:prstGeom>
                    <a:noFill/>
                    <a:ln>
                      <a:solidFill>
                        <a:schemeClr val="bg1">
                          <a:lumMod val="85000"/>
                        </a:schemeClr>
                      </a:solidFill>
                    </a:ln>
                  </pic:spPr>
                </pic:pic>
              </a:graphicData>
            </a:graphic>
          </wp:inline>
        </w:drawing>
      </w:r>
    </w:p>
    <w:p w:rsidR="006B6796" w:rsidRPr="006E5888" w:rsidRDefault="006B6796" w:rsidP="00E439EC">
      <w:pPr>
        <w:spacing w:before="120" w:after="120"/>
        <w:jc w:val="center"/>
        <w:rPr>
          <w:b/>
          <w:bCs/>
          <w:sz w:val="22"/>
        </w:rPr>
      </w:pPr>
      <w:r w:rsidRPr="006E5888">
        <w:rPr>
          <w:sz w:val="22"/>
        </w:rPr>
        <w:t>3</w:t>
      </w:r>
      <w:r w:rsidR="007D67A9" w:rsidRPr="006E5888">
        <w:rPr>
          <w:sz w:val="22"/>
        </w:rPr>
        <w:t>5</w:t>
      </w:r>
      <w:r w:rsidRPr="006E5888">
        <w:rPr>
          <w:sz w:val="22"/>
        </w:rPr>
        <w:t>.</w:t>
      </w:r>
      <w:r w:rsidRPr="006E5888">
        <w:rPr>
          <w:i/>
          <w:sz w:val="22"/>
        </w:rPr>
        <w:t>att</w:t>
      </w:r>
      <w:r w:rsidRPr="006E5888">
        <w:rPr>
          <w:sz w:val="22"/>
        </w:rPr>
        <w:t xml:space="preserve">. </w:t>
      </w:r>
      <w:r w:rsidRPr="006E5888">
        <w:rPr>
          <w:b/>
          <w:bCs/>
          <w:sz w:val="22"/>
        </w:rPr>
        <w:t>Izdevumu neizpilde apakšprogrammā 45.02.00 “Ārstniecības riska fonda darbības nodrošināšana”</w:t>
      </w:r>
    </w:p>
    <w:p w:rsidR="006B6796" w:rsidRPr="006E5888" w:rsidRDefault="006B6796" w:rsidP="006B6796">
      <w:pPr>
        <w:ind w:firstLine="720"/>
        <w:jc w:val="both"/>
        <w:rPr>
          <w:bCs/>
          <w:szCs w:val="24"/>
        </w:rPr>
      </w:pPr>
      <w:r w:rsidRPr="006E5888">
        <w:rPr>
          <w:bCs/>
          <w:szCs w:val="24"/>
        </w:rPr>
        <w:t xml:space="preserve">Laika posmā no 2014.gada līdz 2015.gadam veidojas līdzekļu </w:t>
      </w:r>
      <w:proofErr w:type="spellStart"/>
      <w:r w:rsidRPr="006E5888">
        <w:rPr>
          <w:bCs/>
          <w:szCs w:val="24"/>
        </w:rPr>
        <w:t>neapguve</w:t>
      </w:r>
      <w:proofErr w:type="spellEnd"/>
      <w:r w:rsidRPr="006E5888">
        <w:rPr>
          <w:bCs/>
          <w:szCs w:val="24"/>
        </w:rPr>
        <w:t xml:space="preserve"> 1,8 milj. </w:t>
      </w:r>
      <w:proofErr w:type="spellStart"/>
      <w:r w:rsidRPr="006E5888">
        <w:rPr>
          <w:bCs/>
          <w:i/>
          <w:szCs w:val="24"/>
        </w:rPr>
        <w:t>euro</w:t>
      </w:r>
      <w:proofErr w:type="spellEnd"/>
      <w:r w:rsidRPr="006E5888">
        <w:rPr>
          <w:bCs/>
          <w:szCs w:val="24"/>
        </w:rPr>
        <w:t xml:space="preserve"> apmērā vidēji gadā, kas veido 77,6% no vidējiem izdevumiem gadā.</w:t>
      </w:r>
    </w:p>
    <w:p w:rsidR="006B6796" w:rsidRPr="006E5888" w:rsidRDefault="006B6796" w:rsidP="006B6796">
      <w:pPr>
        <w:ind w:firstLine="720"/>
        <w:jc w:val="both"/>
        <w:rPr>
          <w:szCs w:val="24"/>
        </w:rPr>
      </w:pPr>
      <w:r w:rsidRPr="006E5888">
        <w:rPr>
          <w:bCs/>
          <w:szCs w:val="24"/>
        </w:rPr>
        <w:t>Veselības ministrija izdevumu neizpildi skaidro ar to, ka minēto izdevumu plānošana ir sarežģīta,</w:t>
      </w:r>
      <w:r w:rsidRPr="006E5888">
        <w:rPr>
          <w:szCs w:val="24"/>
        </w:rPr>
        <w:t xml:space="preserve"> jo Nacionālais veselības dienests (NVD) pieņem lēmumu par atlīdzības izmaksāšanu par pacienta dzīvībai vai veselībai nodarīto kaitējumu, kā arī atlīdzību par ārstniecības izdevumiem, tikai pamatojoties uz Veselības inspekcijas atzinumiem, kuru pieņemšana ir laikietilpīgs process. Vienlaikus izdevumu neizpilde saistīta ar to, ka 2014.gadā 24 gadījumos un 2015.gadā 49 gadījumos netika konstatēts kaitējums un, pamatojoties uz ekspertīzes rezultātiem, tika atteikta atlīdzība izmaksām no Ārstniecības riska fonda.</w:t>
      </w:r>
    </w:p>
    <w:p w:rsidR="006B6796" w:rsidRPr="006E5888" w:rsidRDefault="006B6796" w:rsidP="006B6796">
      <w:pPr>
        <w:ind w:firstLine="720"/>
        <w:jc w:val="both"/>
        <w:rPr>
          <w:szCs w:val="24"/>
        </w:rPr>
      </w:pPr>
      <w:r w:rsidRPr="006E5888">
        <w:rPr>
          <w:szCs w:val="24"/>
        </w:rPr>
        <w:t>Jāatzīmē, ka 2016.–2018.gadam plānoto izdevumu apmērus Veselības ministrija ir samazinājusi. Līdz ar to apakšprogrammā nav finansējuma rezerves, jautājums par plānoto izdevumu apmēru analizējams ikgadējā budžeta projekta sagatavošanas procesā.</w:t>
      </w:r>
    </w:p>
    <w:p w:rsidR="00D03C97" w:rsidRPr="006E5888" w:rsidRDefault="00D03C97" w:rsidP="00D03C97">
      <w:pPr>
        <w:ind w:firstLine="720"/>
        <w:jc w:val="both"/>
        <w:rPr>
          <w:bCs/>
          <w:szCs w:val="24"/>
        </w:rPr>
      </w:pPr>
      <w:r w:rsidRPr="006E5888">
        <w:rPr>
          <w:bCs/>
          <w:szCs w:val="24"/>
        </w:rPr>
        <w:t>Veicot Veselības ministrijas budžeta izdevumu analīzi laika periodā no 2013.gada līdz 2015.gadam, tiek konstatētas regulāras izdevumu pārdales saimnieciskā gada ietvaros vairākās apakšprogrammās.</w:t>
      </w:r>
    </w:p>
    <w:p w:rsidR="00D03C97" w:rsidRPr="006E5888" w:rsidRDefault="00D03C97" w:rsidP="00D03C97">
      <w:pPr>
        <w:ind w:firstLine="720"/>
        <w:jc w:val="both"/>
        <w:rPr>
          <w:bCs/>
          <w:szCs w:val="24"/>
        </w:rPr>
      </w:pPr>
      <w:r w:rsidRPr="006E5888">
        <w:rPr>
          <w:bCs/>
          <w:szCs w:val="24"/>
        </w:rPr>
        <w:t>Apakšprogrammā 33.04.00 “Centralizēta medikamentu un materiālu iegāde” konstatētās sistemātiskās izdevumu pārdales attēlotas 3</w:t>
      </w:r>
      <w:r w:rsidR="00E439EC" w:rsidRPr="006E5888">
        <w:rPr>
          <w:bCs/>
          <w:szCs w:val="24"/>
        </w:rPr>
        <w:t>6</w:t>
      </w:r>
      <w:r w:rsidRPr="006E5888">
        <w:rPr>
          <w:bCs/>
          <w:szCs w:val="24"/>
        </w:rPr>
        <w:t>.attēlā.</w:t>
      </w:r>
    </w:p>
    <w:p w:rsidR="00D03C97" w:rsidRPr="006E5888" w:rsidRDefault="00D03C97" w:rsidP="00D03C97">
      <w:pPr>
        <w:ind w:firstLine="709"/>
        <w:jc w:val="both"/>
        <w:rPr>
          <w:bCs/>
          <w:color w:val="002060"/>
          <w:szCs w:val="24"/>
        </w:rPr>
      </w:pPr>
      <w:r w:rsidRPr="006E5888">
        <w:rPr>
          <w:bCs/>
          <w:szCs w:val="24"/>
        </w:rPr>
        <w:t xml:space="preserve">Apakšprogrammā 33.04.00 “Centralizēta medikamentu un materiālu iegāde” 2013.-2015.gadā izdevumu pārdalēs vidēji ik gadu pārdala finansējumu uz citām Veselības ministrijas budžeta apakšprogrammām 403 693 </w:t>
      </w:r>
      <w:proofErr w:type="spellStart"/>
      <w:r w:rsidRPr="006E5888">
        <w:rPr>
          <w:bCs/>
          <w:i/>
          <w:szCs w:val="24"/>
        </w:rPr>
        <w:t>euro</w:t>
      </w:r>
      <w:proofErr w:type="spellEnd"/>
      <w:r w:rsidRPr="006E5888">
        <w:rPr>
          <w:bCs/>
          <w:szCs w:val="24"/>
        </w:rPr>
        <w:t xml:space="preserve"> apmērā, kas vidēji sastāda 4% no sākotnējā plāna.</w:t>
      </w:r>
    </w:p>
    <w:p w:rsidR="00641F87" w:rsidRPr="006E5888" w:rsidRDefault="00641F87" w:rsidP="006B6796"/>
    <w:p w:rsidR="00641F87" w:rsidRPr="006E5888" w:rsidRDefault="00D03C97" w:rsidP="00D03C97">
      <w:pPr>
        <w:jc w:val="center"/>
      </w:pPr>
      <w:r w:rsidRPr="006E5888">
        <w:rPr>
          <w:noProof/>
          <w:lang w:eastAsia="lv-LV"/>
        </w:rPr>
        <w:lastRenderedPageBreak/>
        <w:drawing>
          <wp:inline distT="0" distB="0" distL="0" distR="0" wp14:anchorId="7DD1C197" wp14:editId="72FCACD2">
            <wp:extent cx="4949568" cy="2816352"/>
            <wp:effectExtent l="0" t="0" r="3810" b="317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74077" cy="2830298"/>
                    </a:xfrm>
                    <a:prstGeom prst="rect">
                      <a:avLst/>
                    </a:prstGeom>
                    <a:noFill/>
                  </pic:spPr>
                </pic:pic>
              </a:graphicData>
            </a:graphic>
          </wp:inline>
        </w:drawing>
      </w:r>
    </w:p>
    <w:p w:rsidR="00641F87" w:rsidRPr="006E5888" w:rsidRDefault="00D03C97" w:rsidP="00D03C97">
      <w:pPr>
        <w:spacing w:after="240"/>
        <w:jc w:val="center"/>
      </w:pPr>
      <w:r w:rsidRPr="006E5888">
        <w:rPr>
          <w:sz w:val="22"/>
        </w:rPr>
        <w:t>3</w:t>
      </w:r>
      <w:r w:rsidR="00E439EC" w:rsidRPr="006E5888">
        <w:rPr>
          <w:sz w:val="22"/>
        </w:rPr>
        <w:t>6</w:t>
      </w:r>
      <w:r w:rsidRPr="006E5888">
        <w:rPr>
          <w:sz w:val="22"/>
        </w:rPr>
        <w:t>.</w:t>
      </w:r>
      <w:r w:rsidRPr="006E5888">
        <w:rPr>
          <w:i/>
          <w:sz w:val="22"/>
        </w:rPr>
        <w:t>att</w:t>
      </w:r>
      <w:r w:rsidRPr="006E5888">
        <w:rPr>
          <w:sz w:val="22"/>
        </w:rPr>
        <w:t xml:space="preserve">. </w:t>
      </w:r>
      <w:r w:rsidRPr="006E5888">
        <w:rPr>
          <w:b/>
          <w:sz w:val="22"/>
        </w:rPr>
        <w:t>Pārdales uz citām apakšprogrammām no apakšprogrammas 33.04.00 “Centralizēta medikamentu un materiālu iegāde”</w:t>
      </w:r>
    </w:p>
    <w:p w:rsidR="00641F87" w:rsidRPr="006E5888" w:rsidRDefault="00D03C97" w:rsidP="00D03C97">
      <w:pPr>
        <w:spacing w:after="120"/>
        <w:ind w:firstLine="709"/>
        <w:rPr>
          <w:szCs w:val="24"/>
        </w:rPr>
      </w:pPr>
      <w:r w:rsidRPr="006E5888">
        <w:rPr>
          <w:bCs/>
          <w:szCs w:val="24"/>
        </w:rPr>
        <w:t>Apakšprogrammas 39.03.00 “Asins un asins komponentu nodrošināšana”</w:t>
      </w:r>
      <w:r w:rsidRPr="006E5888">
        <w:rPr>
          <w:szCs w:val="24"/>
        </w:rPr>
        <w:t xml:space="preserve"> ietvaros 2013.-2015.gadā ir konstatētas regulāras izdevumu pārdales, kas attēlotas 3</w:t>
      </w:r>
      <w:r w:rsidR="00E439EC" w:rsidRPr="006E5888">
        <w:rPr>
          <w:szCs w:val="24"/>
        </w:rPr>
        <w:t>7</w:t>
      </w:r>
      <w:r w:rsidRPr="006E5888">
        <w:rPr>
          <w:szCs w:val="24"/>
        </w:rPr>
        <w:t>.attēlā.</w:t>
      </w:r>
    </w:p>
    <w:p w:rsidR="00641F87" w:rsidRPr="006E5888" w:rsidRDefault="00D03C97" w:rsidP="00D03C97">
      <w:pPr>
        <w:tabs>
          <w:tab w:val="left" w:pos="709"/>
          <w:tab w:val="left" w:pos="8364"/>
          <w:tab w:val="left" w:pos="8647"/>
        </w:tabs>
        <w:jc w:val="center"/>
      </w:pPr>
      <w:r w:rsidRPr="006E5888">
        <w:rPr>
          <w:noProof/>
          <w:lang w:eastAsia="lv-LV"/>
        </w:rPr>
        <w:drawing>
          <wp:inline distT="0" distB="0" distL="0" distR="0" wp14:anchorId="627EF4F0" wp14:editId="3B8796BF">
            <wp:extent cx="4853597" cy="2948025"/>
            <wp:effectExtent l="0" t="0" r="4445" b="5080"/>
            <wp:docPr id="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63401" cy="2953980"/>
                    </a:xfrm>
                    <a:prstGeom prst="rect">
                      <a:avLst/>
                    </a:prstGeom>
                    <a:noFill/>
                    <a:ln>
                      <a:noFill/>
                    </a:ln>
                  </pic:spPr>
                </pic:pic>
              </a:graphicData>
            </a:graphic>
          </wp:inline>
        </w:drawing>
      </w:r>
    </w:p>
    <w:p w:rsidR="00D03C97" w:rsidRPr="006E5888" w:rsidRDefault="00D03C97" w:rsidP="00D03C97">
      <w:pPr>
        <w:jc w:val="center"/>
        <w:rPr>
          <w:bCs/>
          <w:szCs w:val="24"/>
        </w:rPr>
      </w:pPr>
      <w:r w:rsidRPr="006E5888">
        <w:rPr>
          <w:sz w:val="22"/>
        </w:rPr>
        <w:t>3</w:t>
      </w:r>
      <w:r w:rsidR="00E439EC" w:rsidRPr="006E5888">
        <w:rPr>
          <w:sz w:val="22"/>
        </w:rPr>
        <w:t>7</w:t>
      </w:r>
      <w:r w:rsidRPr="006E5888">
        <w:rPr>
          <w:sz w:val="22"/>
        </w:rPr>
        <w:t>.</w:t>
      </w:r>
      <w:r w:rsidRPr="006E5888">
        <w:rPr>
          <w:i/>
          <w:sz w:val="22"/>
        </w:rPr>
        <w:t>att</w:t>
      </w:r>
      <w:r w:rsidRPr="006E5888">
        <w:rPr>
          <w:sz w:val="22"/>
        </w:rPr>
        <w:t>.</w:t>
      </w:r>
      <w:r w:rsidRPr="006E5888">
        <w:rPr>
          <w:bCs/>
          <w:szCs w:val="24"/>
        </w:rPr>
        <w:t xml:space="preserve"> </w:t>
      </w:r>
      <w:r w:rsidRPr="006E5888">
        <w:rPr>
          <w:b/>
          <w:bCs/>
          <w:sz w:val="22"/>
        </w:rPr>
        <w:t>Pārdales starp ekonomiskās klasifikācijas kodiem apakšprogrammas 39.03.00 “Asins un asins komponentu nodrošināšana” ietvaros</w:t>
      </w:r>
    </w:p>
    <w:p w:rsidR="00641F87" w:rsidRPr="006E5888" w:rsidRDefault="00641F87" w:rsidP="00D03C97"/>
    <w:p w:rsidR="00D03C97" w:rsidRPr="006E5888" w:rsidRDefault="00D03C97" w:rsidP="00D03C97">
      <w:pPr>
        <w:ind w:firstLine="720"/>
        <w:jc w:val="both"/>
        <w:rPr>
          <w:szCs w:val="24"/>
        </w:rPr>
      </w:pPr>
      <w:r w:rsidRPr="006E5888">
        <w:rPr>
          <w:bCs/>
          <w:szCs w:val="24"/>
        </w:rPr>
        <w:t xml:space="preserve">Apakšprogrammā 39.03.00 “Asins un asins komponentu nodrošināšana” 2013.-2015.gadā vidēji ik gadu starp ekonomiskās klasifikācijas kodiem apakšprogrammas ietvaros tiek veiktas pārdales vidēji gadā 253 666 </w:t>
      </w:r>
      <w:proofErr w:type="spellStart"/>
      <w:r w:rsidRPr="006E5888">
        <w:rPr>
          <w:bCs/>
          <w:i/>
          <w:szCs w:val="24"/>
        </w:rPr>
        <w:t>euro</w:t>
      </w:r>
      <w:proofErr w:type="spellEnd"/>
      <w:r w:rsidRPr="006E5888">
        <w:rPr>
          <w:bCs/>
          <w:szCs w:val="24"/>
        </w:rPr>
        <w:t xml:space="preserve"> apmērā.</w:t>
      </w:r>
    </w:p>
    <w:p w:rsidR="00D03C97" w:rsidRPr="006E5888" w:rsidRDefault="00D03C97" w:rsidP="00D03C97">
      <w:pPr>
        <w:ind w:firstLine="720"/>
        <w:jc w:val="both"/>
        <w:rPr>
          <w:szCs w:val="24"/>
        </w:rPr>
      </w:pPr>
      <w:r w:rsidRPr="006E5888">
        <w:rPr>
          <w:szCs w:val="24"/>
        </w:rPr>
        <w:t xml:space="preserve">2016.gada budžetā finansējums no izdevumiem atlīdzībām 200 600 </w:t>
      </w:r>
      <w:proofErr w:type="spellStart"/>
      <w:r w:rsidRPr="006E5888">
        <w:rPr>
          <w:i/>
          <w:szCs w:val="24"/>
        </w:rPr>
        <w:t>euro</w:t>
      </w:r>
      <w:proofErr w:type="spellEnd"/>
      <w:r w:rsidRPr="006E5888">
        <w:rPr>
          <w:szCs w:val="24"/>
        </w:rPr>
        <w:t xml:space="preserve"> apmērā tika pārdalīts uz izdevumiem precēm un pakalpojumiem 28 100 </w:t>
      </w:r>
      <w:proofErr w:type="spellStart"/>
      <w:r w:rsidRPr="006E5888">
        <w:rPr>
          <w:i/>
          <w:szCs w:val="24"/>
        </w:rPr>
        <w:t>euro</w:t>
      </w:r>
      <w:proofErr w:type="spellEnd"/>
      <w:r w:rsidRPr="006E5888">
        <w:rPr>
          <w:szCs w:val="24"/>
        </w:rPr>
        <w:t xml:space="preserve"> apmērā un izdevumiem pamatkapitāla veidošanai 172 500 </w:t>
      </w:r>
      <w:proofErr w:type="spellStart"/>
      <w:r w:rsidRPr="006E5888">
        <w:rPr>
          <w:i/>
          <w:szCs w:val="24"/>
        </w:rPr>
        <w:t>euro</w:t>
      </w:r>
      <w:proofErr w:type="spellEnd"/>
      <w:r w:rsidRPr="006E5888">
        <w:rPr>
          <w:szCs w:val="24"/>
        </w:rPr>
        <w:t xml:space="preserve"> apmērā, lai turpmāk nebūtu jāveic regulārās izdevumu pārdales. Ņemot vērā, ka 2016. un 2017.gadā finansējums  izdevumiem pamatkapitāla veidošanai plānots tehnoloģiskajām iekārtām un mašīnām, savukārt 2018.gadā transportlīdzekļiem, secināms, ka 2019.gadam ir pārskatāms pamatlīdzekļu iegādēm plānojamais finansējuma apmērs un mērķis, jo  izdevumi pamatkapitālam ir uzskatāmi par vienreizējiem izdevumiem.</w:t>
      </w:r>
    </w:p>
    <w:p w:rsidR="00726DEC" w:rsidRPr="006E5888" w:rsidRDefault="00726DEC" w:rsidP="00726DEC">
      <w:pPr>
        <w:spacing w:before="120"/>
        <w:ind w:firstLine="720"/>
        <w:jc w:val="both"/>
        <w:rPr>
          <w:szCs w:val="24"/>
        </w:rPr>
      </w:pPr>
      <w:r w:rsidRPr="006E5888">
        <w:rPr>
          <w:szCs w:val="24"/>
        </w:rPr>
        <w:lastRenderedPageBreak/>
        <w:t>Veicot VM budžeta bāzes izdevumu pārskatīšanas ir izdarīti vairāki secinājumi:</w:t>
      </w:r>
    </w:p>
    <w:p w:rsidR="00655896" w:rsidRPr="006E5888" w:rsidRDefault="00655896" w:rsidP="00655896">
      <w:pPr>
        <w:ind w:firstLine="567"/>
        <w:jc w:val="both"/>
      </w:pPr>
      <w:r w:rsidRPr="006E5888">
        <w:rPr>
          <w:bCs/>
          <w:szCs w:val="24"/>
        </w:rPr>
        <w:t xml:space="preserve">1. </w:t>
      </w:r>
      <w:r w:rsidRPr="006E5888">
        <w:t>Apakšprogrammā 45.01.00 ”Veselības aprūpes finansējuma administrēšana un ekonomiskā novērtēšana” pārskatāms dotācijas no vispārējiem ieņēmumiem un izdevumu apjoms, to novirzot citām veselības jomas prioritātēm.</w:t>
      </w:r>
    </w:p>
    <w:p w:rsidR="00655896" w:rsidRPr="006E5888" w:rsidRDefault="00655896" w:rsidP="00655896">
      <w:pPr>
        <w:ind w:firstLine="567"/>
        <w:jc w:val="both"/>
        <w:rPr>
          <w:bCs/>
          <w:szCs w:val="24"/>
        </w:rPr>
      </w:pPr>
      <w:r w:rsidRPr="006E5888">
        <w:t>2. Apakšprogrammā 39.02.00 “Sporta medicīnas nodrošināšana”, apakšprogrammā 45.02.00 “Ārstniecības riska fonda darbības nodrošināšana”, apakšprogrammā 39.06.00 “</w:t>
      </w:r>
      <w:r w:rsidRPr="006E5888">
        <w:rPr>
          <w:bCs/>
          <w:szCs w:val="24"/>
        </w:rPr>
        <w:t>Tiesu medicīniskā ekspertīze</w:t>
      </w:r>
      <w:r w:rsidRPr="006E5888">
        <w:t>” u.c. uzlabojama ieņēmumu no maksas pakalpojumiem un citiem pašu ieņēmumiem un tiem atbilstošu izdevumu plānošana, jo vērojama sistemātiska plāna neizpilde.</w:t>
      </w:r>
    </w:p>
    <w:p w:rsidR="00655896" w:rsidRPr="006E5888" w:rsidRDefault="00655896" w:rsidP="00655896">
      <w:pPr>
        <w:ind w:firstLine="567"/>
        <w:jc w:val="both"/>
        <w:rPr>
          <w:szCs w:val="24"/>
        </w:rPr>
      </w:pPr>
      <w:r w:rsidRPr="006E5888">
        <w:rPr>
          <w:szCs w:val="24"/>
        </w:rPr>
        <w:t xml:space="preserve">3. </w:t>
      </w:r>
      <w:r w:rsidR="00726DEC" w:rsidRPr="006E5888">
        <w:rPr>
          <w:bCs/>
          <w:szCs w:val="24"/>
        </w:rPr>
        <w:t>VM</w:t>
      </w:r>
      <w:r w:rsidRPr="006E5888">
        <w:rPr>
          <w:bCs/>
          <w:szCs w:val="24"/>
        </w:rPr>
        <w:t xml:space="preserve"> g</w:t>
      </w:r>
      <w:r w:rsidRPr="006E5888">
        <w:rPr>
          <w:szCs w:val="24"/>
        </w:rPr>
        <w:t xml:space="preserve">adskārtējā valsts budžeta likumprojekta plānošanas procesā nepieciešams veikt savlaicīgu izdevumu plānošanu un ieplānot izdevumus atbilstoši to ekonomiskajai būtībai un </w:t>
      </w:r>
      <w:r w:rsidR="00726DEC" w:rsidRPr="006E5888">
        <w:rPr>
          <w:szCs w:val="24"/>
        </w:rPr>
        <w:t>VM</w:t>
      </w:r>
      <w:r w:rsidRPr="006E5888">
        <w:rPr>
          <w:szCs w:val="24"/>
        </w:rPr>
        <w:t xml:space="preserve"> izdevumu prioritātēm veselības jomā, lai saimnieciskā gada laikā nebūtu jāveic apropriācijas pārdales.</w:t>
      </w:r>
    </w:p>
    <w:p w:rsidR="00655896" w:rsidRPr="006E5888" w:rsidRDefault="00655896" w:rsidP="00655896">
      <w:pPr>
        <w:ind w:firstLine="567"/>
        <w:jc w:val="both"/>
        <w:rPr>
          <w:szCs w:val="24"/>
        </w:rPr>
      </w:pPr>
      <w:r w:rsidRPr="006E5888">
        <w:rPr>
          <w:szCs w:val="24"/>
        </w:rPr>
        <w:t xml:space="preserve">4. Apakšprogrammai </w:t>
      </w:r>
      <w:r w:rsidR="00726DEC" w:rsidRPr="006E5888">
        <w:rPr>
          <w:bCs/>
          <w:szCs w:val="24"/>
        </w:rPr>
        <w:t>39.03.00 “</w:t>
      </w:r>
      <w:r w:rsidRPr="006E5888">
        <w:rPr>
          <w:bCs/>
          <w:szCs w:val="24"/>
        </w:rPr>
        <w:t>Asins un asins komponentu nodrošināšana</w:t>
      </w:r>
      <w:r w:rsidR="00726DEC" w:rsidRPr="006E5888">
        <w:rPr>
          <w:bCs/>
          <w:szCs w:val="24"/>
        </w:rPr>
        <w:t>”</w:t>
      </w:r>
      <w:r w:rsidRPr="006E5888">
        <w:rPr>
          <w:bCs/>
          <w:szCs w:val="24"/>
        </w:rPr>
        <w:t xml:space="preserve"> </w:t>
      </w:r>
      <w:r w:rsidRPr="006E5888">
        <w:rPr>
          <w:szCs w:val="24"/>
        </w:rPr>
        <w:t>2019.gadam ir pārskatāms pamatlīdzekļu iegādēm plānojamais finansējuma apmērs un mērķis.</w:t>
      </w:r>
    </w:p>
    <w:p w:rsidR="00726DEC" w:rsidRPr="006E5888" w:rsidRDefault="00671BB2" w:rsidP="002E1674">
      <w:pPr>
        <w:spacing w:before="120" w:after="120"/>
        <w:ind w:firstLine="709"/>
        <w:jc w:val="both"/>
        <w:rPr>
          <w:szCs w:val="24"/>
        </w:rPr>
      </w:pPr>
      <w:r w:rsidRPr="006E5888">
        <w:rPr>
          <w:szCs w:val="24"/>
        </w:rPr>
        <w:t>Galvenie secinājumi par stacion</w:t>
      </w:r>
      <w:r w:rsidR="002E1674" w:rsidRPr="006E5888">
        <w:rPr>
          <w:szCs w:val="24"/>
        </w:rPr>
        <w:t xml:space="preserve">āro veselības aprūpes daļu un </w:t>
      </w:r>
      <w:r w:rsidRPr="006E5888">
        <w:rPr>
          <w:szCs w:val="24"/>
        </w:rPr>
        <w:t>ambulatoro veselības aprūpi detalizēti pieejami informatīvā ziņojuma pielikumā Nr.</w:t>
      </w:r>
      <w:r w:rsidR="0080209C" w:rsidRPr="006E5888">
        <w:rPr>
          <w:szCs w:val="24"/>
        </w:rPr>
        <w:t>10.</w:t>
      </w:r>
    </w:p>
    <w:p w:rsidR="00726DEC" w:rsidRPr="006E5888" w:rsidRDefault="00726DEC" w:rsidP="00726DEC">
      <w:pPr>
        <w:spacing w:before="120" w:after="120"/>
        <w:ind w:firstLine="709"/>
        <w:jc w:val="both"/>
        <w:rPr>
          <w:b/>
          <w:szCs w:val="24"/>
          <w:u w:val="single"/>
        </w:rPr>
      </w:pPr>
      <w:r w:rsidRPr="006E5888">
        <w:rPr>
          <w:b/>
          <w:szCs w:val="24"/>
          <w:u w:val="single"/>
        </w:rPr>
        <w:t>Galvenie secinājumi un priekšlikumi pēc izdevumu pārskatīšanas VM izdevumos:</w:t>
      </w:r>
    </w:p>
    <w:p w:rsidR="00726DEC" w:rsidRPr="006E5888" w:rsidRDefault="00726DEC" w:rsidP="00671BB2">
      <w:pPr>
        <w:pStyle w:val="ListParagraph"/>
        <w:numPr>
          <w:ilvl w:val="0"/>
          <w:numId w:val="42"/>
        </w:numPr>
        <w:tabs>
          <w:tab w:val="left" w:pos="709"/>
        </w:tabs>
        <w:spacing w:beforeLines="60" w:before="144" w:afterLines="60" w:after="144"/>
        <w:ind w:left="284" w:right="-57" w:hanging="284"/>
        <w:contextualSpacing w:val="0"/>
        <w:jc w:val="both"/>
        <w:rPr>
          <w:bCs/>
          <w:szCs w:val="24"/>
        </w:rPr>
      </w:pPr>
      <w:r w:rsidRPr="006E5888">
        <w:rPr>
          <w:bCs/>
          <w:szCs w:val="24"/>
        </w:rPr>
        <w:t xml:space="preserve">Veselības nozarei piešķirtais finansējums ir nepietiekošs pie nenodefinēta pakalpojumu groza un nepieciešams rast risinājumu tā palielināšanai, tomēr šobrīd spēkā esošā valsts budžeta finansējuma sadales kārtība nesniedz pārliecību par tā maksimāli efektīvu sadalījumu un izlietojumu. Veselības aprūpes finansēšanas modelis ir necaurredzams, tarifu aprēķina metodikā vērojama virkne būtisku nepilnību, netiek veikts sistēmisks izdevumu efektivitātes un lietderīguma </w:t>
      </w:r>
      <w:proofErr w:type="spellStart"/>
      <w:r w:rsidRPr="006E5888">
        <w:rPr>
          <w:bCs/>
          <w:szCs w:val="24"/>
        </w:rPr>
        <w:t>izvērtējums</w:t>
      </w:r>
      <w:proofErr w:type="spellEnd"/>
      <w:r w:rsidRPr="006E5888">
        <w:rPr>
          <w:bCs/>
          <w:szCs w:val="24"/>
        </w:rPr>
        <w:t>. Veselības aprūpes finansēšanas modelī ir nepieciešamas būtiskas izmaiņas, palielinot finansējuma sadales un izlietojuma caurredzamību, sasaistot piešķirto finansējumu ar veselības aprūpes pakalpojumu kvalitāti raksturojošiem rādītājiem un nodrošinot pastāvīgu izdevumu lietderīguma un efektivitātes kontroli. Virknē gadījumu izdevumu efektivitātes palielinājums panākams, veicot izmaiņas veselības nozares politikas ietvarā.</w:t>
      </w:r>
    </w:p>
    <w:p w:rsidR="00726DEC" w:rsidRPr="006E5888" w:rsidRDefault="00726DEC" w:rsidP="00671BB2">
      <w:pPr>
        <w:pStyle w:val="ListParagraph"/>
        <w:numPr>
          <w:ilvl w:val="0"/>
          <w:numId w:val="42"/>
        </w:numPr>
        <w:tabs>
          <w:tab w:val="left" w:pos="709"/>
        </w:tabs>
        <w:spacing w:beforeLines="60" w:before="144" w:afterLines="60" w:after="144"/>
        <w:ind w:left="284" w:right="-57" w:hanging="284"/>
        <w:contextualSpacing w:val="0"/>
        <w:jc w:val="both"/>
        <w:rPr>
          <w:bCs/>
          <w:szCs w:val="24"/>
        </w:rPr>
      </w:pPr>
      <w:r w:rsidRPr="006E5888">
        <w:t xml:space="preserve">Veselības ministrijai nepieciešams definēt valsts apmaksāto pakalpojumu grozu, sasaistot veselības aprūpes pakalpojumu tvērumu ar valsts finansiālajām iespējām un prioritātēm, kas izvēlētas atkarībā no to sniegtā pienesuma sabiedrības veselības stāvokļa uzlabošanā. </w:t>
      </w:r>
    </w:p>
    <w:p w:rsidR="00726DEC" w:rsidRPr="006E5888" w:rsidRDefault="00726DEC" w:rsidP="00671BB2">
      <w:pPr>
        <w:pStyle w:val="ListParagraph"/>
        <w:numPr>
          <w:ilvl w:val="0"/>
          <w:numId w:val="42"/>
        </w:numPr>
        <w:tabs>
          <w:tab w:val="left" w:pos="709"/>
        </w:tabs>
        <w:spacing w:beforeLines="60" w:before="144" w:afterLines="60" w:after="144"/>
        <w:ind w:left="284" w:right="-58" w:hanging="284"/>
        <w:contextualSpacing w:val="0"/>
        <w:jc w:val="both"/>
        <w:rPr>
          <w:bCs/>
          <w:szCs w:val="24"/>
        </w:rPr>
      </w:pPr>
      <w:r w:rsidRPr="006E5888">
        <w:t>Vienlaicīgi kritiski jāizvērtē un jāpārskata veselības aprūpes pakalpojumu tarifi un to aprēķina metodoloģija, lai tie atspoguļotu sniegto pakalpojumu patiesās izmaksas. Patieso izmaksu izvērtēšanai nebūtu izmantojami pakalpojumu sniedzēju vidējie izmaksu rādītāji, pirms tam nenodrošinot harmonizētu uzskaiti un sistēmisku izdevumu lietderīguma un efektivitātes kontroli (esošajā situācijā būtu jāfokusējas uz nozares līderiem izdevumu efektivitātes jomā, veicot rūpīgu sniegto veselības aprūpes pakalpojumu izmaksu vērtējumu).</w:t>
      </w:r>
    </w:p>
    <w:p w:rsidR="00726DEC" w:rsidRPr="006E5888" w:rsidRDefault="00726DEC" w:rsidP="00671BB2">
      <w:pPr>
        <w:pStyle w:val="ListParagraph"/>
        <w:numPr>
          <w:ilvl w:val="0"/>
          <w:numId w:val="42"/>
        </w:numPr>
        <w:tabs>
          <w:tab w:val="left" w:pos="709"/>
        </w:tabs>
        <w:spacing w:beforeLines="60" w:before="144" w:afterLines="60" w:after="144"/>
        <w:ind w:left="284" w:right="-58" w:hanging="284"/>
        <w:contextualSpacing w:val="0"/>
        <w:jc w:val="both"/>
        <w:rPr>
          <w:bCs/>
          <w:szCs w:val="24"/>
        </w:rPr>
      </w:pPr>
      <w:r w:rsidRPr="006E5888">
        <w:t>Lai nodrošinātu izdevumu efektivitātes vērtēšanas iespējas, jāveic harmonizēta izdevumu uzskaite, kā arī centralizēta informācijas apkopošana un analīze. Kvalitatīva e-veselības sistēma, kurā identificējami individuāli pacienti, tiem sniegtie veselības aprūpes pakalpojumi un to izmaksas, ir būtisks priekšnosacījums izdevumu efektivitātes un lietderīguma vērtēšanai.</w:t>
      </w:r>
    </w:p>
    <w:p w:rsidR="00726DEC" w:rsidRPr="006E5888" w:rsidRDefault="00726DEC" w:rsidP="00671BB2">
      <w:pPr>
        <w:pStyle w:val="ListParagraph"/>
        <w:numPr>
          <w:ilvl w:val="0"/>
          <w:numId w:val="42"/>
        </w:numPr>
        <w:tabs>
          <w:tab w:val="left" w:pos="709"/>
        </w:tabs>
        <w:spacing w:beforeLines="60" w:before="144" w:afterLines="60" w:after="144"/>
        <w:ind w:left="284" w:right="-58" w:hanging="284"/>
        <w:contextualSpacing w:val="0"/>
        <w:jc w:val="both"/>
        <w:rPr>
          <w:bCs/>
          <w:szCs w:val="24"/>
        </w:rPr>
      </w:pPr>
      <w:r w:rsidRPr="006E5888">
        <w:rPr>
          <w:bCs/>
          <w:szCs w:val="24"/>
        </w:rPr>
        <w:t>Papildu finansējums nozarei piešķirams mērķēti un veicot strukturālās reformas, kas risinātu pirmajos četros punktos identificētās nepilnības.</w:t>
      </w:r>
    </w:p>
    <w:p w:rsidR="00726DEC" w:rsidRPr="006E5888" w:rsidRDefault="00726DEC" w:rsidP="00671BB2">
      <w:pPr>
        <w:pStyle w:val="ListParagraph"/>
        <w:numPr>
          <w:ilvl w:val="0"/>
          <w:numId w:val="42"/>
        </w:numPr>
        <w:tabs>
          <w:tab w:val="left" w:pos="709"/>
        </w:tabs>
        <w:spacing w:beforeLines="60" w:before="144" w:afterLines="60" w:after="144"/>
        <w:ind w:left="284" w:right="-58" w:hanging="284"/>
        <w:contextualSpacing w:val="0"/>
        <w:jc w:val="both"/>
        <w:rPr>
          <w:bCs/>
          <w:szCs w:val="24"/>
        </w:rPr>
      </w:pPr>
      <w:r w:rsidRPr="006E5888">
        <w:rPr>
          <w:bCs/>
          <w:szCs w:val="24"/>
        </w:rPr>
        <w:t>Valsts un ārstniecības iestāžu, ar kurām Nacionālais veselības dienests slēdz līgumus par veselības pakalpojumu sniegšanu, attiecību pamatā ir princips, ka valsts maksā par sniegtajiem pakalpojumiem, šajā procesā trūkst iepirkuma elementa, faktiski valsts lielākoties finansē ārstniecības iestādi atbilstoši fiksētam maksājumu apmēram, vāji saistot to ar sasniedzamajiem rezultātiem.</w:t>
      </w:r>
    </w:p>
    <w:p w:rsidR="00726DEC" w:rsidRPr="006E5888" w:rsidRDefault="00726DEC" w:rsidP="00671BB2">
      <w:pPr>
        <w:pStyle w:val="ListParagraph"/>
        <w:numPr>
          <w:ilvl w:val="0"/>
          <w:numId w:val="42"/>
        </w:numPr>
        <w:tabs>
          <w:tab w:val="left" w:pos="709"/>
        </w:tabs>
        <w:spacing w:beforeLines="60" w:before="144" w:afterLines="60" w:after="144"/>
        <w:ind w:left="284" w:right="-58" w:hanging="284"/>
        <w:contextualSpacing w:val="0"/>
        <w:jc w:val="both"/>
        <w:rPr>
          <w:bCs/>
          <w:szCs w:val="24"/>
        </w:rPr>
      </w:pPr>
      <w:r w:rsidRPr="006E5888">
        <w:rPr>
          <w:bCs/>
          <w:szCs w:val="24"/>
        </w:rPr>
        <w:lastRenderedPageBreak/>
        <w:t>Jāpārskata funkciju sadalījums starp Nacionālo veselības dienestu un Veselības ministriju. Šobrīd valdība apstiprina MK noteikumus, kas nosaka tarifus, bet reālo finansējuma sadalījumu veic Nacionālais veselības dienests - process nav pārskatāms, vāji kontrolēts no Veselības ministrijas puses. Lai nodrošinātu pilnvērtīgu Veselības ministrijas atbildību un  to, ka valsts budžeta finansējums tiek sadalīts atbilstoši mērķim, nepieciešams precizēt funkciju sadalījumu starp Nacionālo veselības dienestu un Veselības ministriju, normatīvajā regulējumā nosakot, ka Veselības ministrija pārņem valsts budžeta finansējuma, rezultatīvo rādītāju plānošanas un politikas plānošanu funkcijas, kā arī normatīvo aktu izstrādi un uzraudzību.</w:t>
      </w:r>
    </w:p>
    <w:p w:rsidR="00726DEC" w:rsidRPr="006E5888" w:rsidRDefault="00726DEC" w:rsidP="00671BB2">
      <w:pPr>
        <w:pStyle w:val="ListParagraph"/>
        <w:numPr>
          <w:ilvl w:val="0"/>
          <w:numId w:val="42"/>
        </w:numPr>
        <w:tabs>
          <w:tab w:val="left" w:pos="709"/>
        </w:tabs>
        <w:spacing w:beforeLines="60" w:before="144" w:afterLines="60" w:after="144"/>
        <w:ind w:left="284" w:right="-58" w:hanging="284"/>
        <w:contextualSpacing w:val="0"/>
        <w:jc w:val="both"/>
        <w:rPr>
          <w:bCs/>
          <w:szCs w:val="24"/>
        </w:rPr>
      </w:pPr>
      <w:r w:rsidRPr="006E5888">
        <w:rPr>
          <w:bCs/>
          <w:szCs w:val="24"/>
        </w:rPr>
        <w:t>Veselības ministrijai kā atbildīgajai nozares ministrijai, pēc Pasaules Bankas pētījuma rezultātu saņemšanas, nepieciešams sniegt konstruktīvus priekšlikumus, pārskatot veselības aprūpes pakalpojumu sniedzēju struktūru, lai nodrošinātu iedzīvotājiem kvalitatīvu veselības aprūpes pieejamību visā Latvijas teritorijā.</w:t>
      </w:r>
    </w:p>
    <w:p w:rsidR="00726DEC" w:rsidRPr="006E5888" w:rsidRDefault="00726DEC" w:rsidP="00671BB2">
      <w:pPr>
        <w:pStyle w:val="ListParagraph"/>
        <w:numPr>
          <w:ilvl w:val="0"/>
          <w:numId w:val="42"/>
        </w:numPr>
        <w:tabs>
          <w:tab w:val="left" w:pos="709"/>
        </w:tabs>
        <w:spacing w:beforeLines="60" w:before="144" w:afterLines="60" w:after="144"/>
        <w:ind w:left="284" w:right="-58" w:hanging="284"/>
        <w:contextualSpacing w:val="0"/>
        <w:jc w:val="both"/>
        <w:rPr>
          <w:bCs/>
          <w:szCs w:val="24"/>
        </w:rPr>
      </w:pPr>
      <w:r w:rsidRPr="006E5888">
        <w:t>Lai nodrošinātu veselības aprūpes budžeta caurskatāmību, Veselības ministrijai likumprojekta “Par valsts budžetu 2017.gadam” un likumprojekta “Par vidēja termiņa budžeta ietvaru 2017., 2018. un 2019.gadam” sagatavošanas un izskatīšanas procesā iesniegt Finanšu ministrijā priekšlikumu par budžeta apakšprogrammā 33.01.00 “Ārstniecība” plānotā finansējuma sadali pa apakšprogrammām, sadalot finansējumu atsevišķās apakšprogrammās:</w:t>
      </w:r>
    </w:p>
    <w:p w:rsidR="00726DEC" w:rsidRPr="006E5888" w:rsidRDefault="00726DEC" w:rsidP="00671BB2">
      <w:pPr>
        <w:pStyle w:val="ListParagraph"/>
        <w:numPr>
          <w:ilvl w:val="0"/>
          <w:numId w:val="44"/>
        </w:numPr>
        <w:spacing w:beforeLines="60" w:before="144" w:afterLines="60" w:after="144"/>
        <w:contextualSpacing w:val="0"/>
        <w:jc w:val="both"/>
      </w:pPr>
      <w:r w:rsidRPr="006E5888">
        <w:t>33.13.00 „Primārās ambulatorās veselības aprūpes nodrošināšana” (ģimenes ārstu, mājas aprūpes pakalpojumu, zobārstniecības);</w:t>
      </w:r>
    </w:p>
    <w:p w:rsidR="00726DEC" w:rsidRPr="006E5888" w:rsidRDefault="00726DEC" w:rsidP="00671BB2">
      <w:pPr>
        <w:pStyle w:val="ListParagraph"/>
        <w:numPr>
          <w:ilvl w:val="0"/>
          <w:numId w:val="44"/>
        </w:numPr>
        <w:spacing w:beforeLines="60" w:before="144" w:afterLines="60" w:after="144"/>
        <w:contextualSpacing w:val="0"/>
        <w:jc w:val="both"/>
      </w:pPr>
      <w:r w:rsidRPr="006E5888">
        <w:t>33.14.00 „Laboratorisko izmeklējumu nodrošināšana ambulatorajā aprūpē”;</w:t>
      </w:r>
    </w:p>
    <w:p w:rsidR="00726DEC" w:rsidRPr="006E5888" w:rsidRDefault="00726DEC" w:rsidP="00671BB2">
      <w:pPr>
        <w:pStyle w:val="ListParagraph"/>
        <w:numPr>
          <w:ilvl w:val="0"/>
          <w:numId w:val="44"/>
        </w:numPr>
        <w:spacing w:beforeLines="60" w:before="144" w:afterLines="60" w:after="144"/>
        <w:contextualSpacing w:val="0"/>
        <w:jc w:val="both"/>
      </w:pPr>
      <w:r w:rsidRPr="006E5888">
        <w:t>33.15.00 “Pārējo ambulatoro veselības aprūpes pakalpojumu nodrošināšana” (t.sk. sekundārās ambulatorās veselības aprūpes pakalpojumu – speciālistu konsultāciju un izmeklējumu, diagnostikas u.c. apmaksa (izņemot laboratoriskos izmeklējumus));</w:t>
      </w:r>
    </w:p>
    <w:p w:rsidR="00726DEC" w:rsidRPr="006E5888" w:rsidRDefault="00726DEC" w:rsidP="00671BB2">
      <w:pPr>
        <w:pStyle w:val="ListParagraph"/>
        <w:numPr>
          <w:ilvl w:val="0"/>
          <w:numId w:val="44"/>
        </w:numPr>
        <w:spacing w:beforeLines="60" w:before="144" w:afterLines="60" w:after="144"/>
        <w:contextualSpacing w:val="0"/>
        <w:jc w:val="both"/>
      </w:pPr>
      <w:r w:rsidRPr="006E5888">
        <w:t>33.16.00 “Neatliekamās medicīniskās palīdzības nodrošināšana stacionārās ārstniecības iestādēs”;</w:t>
      </w:r>
    </w:p>
    <w:p w:rsidR="00726DEC" w:rsidRPr="006E5888" w:rsidRDefault="00726DEC" w:rsidP="00671BB2">
      <w:pPr>
        <w:pStyle w:val="ListParagraph"/>
        <w:numPr>
          <w:ilvl w:val="0"/>
          <w:numId w:val="44"/>
        </w:numPr>
        <w:spacing w:beforeLines="60" w:before="144" w:afterLines="60" w:after="144"/>
        <w:contextualSpacing w:val="0"/>
        <w:jc w:val="both"/>
      </w:pPr>
      <w:r w:rsidRPr="006E5888">
        <w:t>33.17.00 “Plānveida stacionāro veselības aprūpes pakalpojumu nodrošināšana”;</w:t>
      </w:r>
    </w:p>
    <w:p w:rsidR="00726DEC" w:rsidRPr="006E5888" w:rsidRDefault="00726DEC" w:rsidP="00671BB2">
      <w:pPr>
        <w:pStyle w:val="ListParagraph"/>
        <w:numPr>
          <w:ilvl w:val="0"/>
          <w:numId w:val="44"/>
        </w:numPr>
        <w:spacing w:beforeLines="60" w:before="144" w:afterLines="60" w:after="144"/>
        <w:contextualSpacing w:val="0"/>
        <w:jc w:val="both"/>
      </w:pPr>
      <w:r w:rsidRPr="006E5888">
        <w:t>33.18.00 “Starptautiskie norēķini par sniegtajiem veselības aprūpes pakalpojumiem” (Apakšprogrammas 33.01.00 “Ārstniecība” finansējums norēķiniem ar ES un Eiropas ekonomiskās zonas valstīm par Latvijas iedzīvotājiem sniegtajiem pakalpojumiem un apakšprogrammas 37.03.00 “Krievijas Federācijas militāro pensionāru veselības aprūpe (no Krievijas Federācijas līdzekļiem)” finansējums).</w:t>
      </w:r>
    </w:p>
    <w:p w:rsidR="00726DEC" w:rsidRPr="006E5888" w:rsidRDefault="00726DEC" w:rsidP="00671BB2">
      <w:pPr>
        <w:pStyle w:val="ListParagraph"/>
        <w:numPr>
          <w:ilvl w:val="0"/>
          <w:numId w:val="42"/>
        </w:numPr>
        <w:tabs>
          <w:tab w:val="left" w:pos="426"/>
        </w:tabs>
        <w:spacing w:beforeLines="60" w:before="144" w:afterLines="60" w:after="144"/>
        <w:ind w:left="284" w:right="-58" w:hanging="284"/>
        <w:contextualSpacing w:val="0"/>
        <w:jc w:val="both"/>
      </w:pPr>
      <w:r w:rsidRPr="006E5888">
        <w:t>VM nepieciešams pārskatīt references kārtību kompensējamo zāļu sistēmā, paredzot iespēju alternatīvo medikamentu iekļaušanu arī B un C kompensējamo medikamentu sarakstos.</w:t>
      </w:r>
    </w:p>
    <w:p w:rsidR="00726DEC" w:rsidRPr="006E5888" w:rsidRDefault="00726DEC" w:rsidP="00671BB2">
      <w:pPr>
        <w:pStyle w:val="ListParagraph"/>
        <w:numPr>
          <w:ilvl w:val="0"/>
          <w:numId w:val="42"/>
        </w:numPr>
        <w:tabs>
          <w:tab w:val="left" w:pos="426"/>
        </w:tabs>
        <w:spacing w:beforeLines="60" w:before="144" w:afterLines="60" w:after="144"/>
        <w:ind w:left="284" w:right="-58" w:hanging="284"/>
        <w:contextualSpacing w:val="0"/>
        <w:jc w:val="both"/>
      </w:pPr>
      <w:r w:rsidRPr="006E5888">
        <w:t>Veselības aprūpes pakalpojumu līgumu apjomu plānošanā nepieciešams ņemt vērā ārstniecības iestāžu veikto pakalpojumu apjomu nevis 9 mēnešu, bet 12 mēnešu periodu, pieļaujot aptaujas un atlases korekcijas.</w:t>
      </w:r>
    </w:p>
    <w:p w:rsidR="00726DEC" w:rsidRPr="006E5888" w:rsidRDefault="00726DEC" w:rsidP="00671BB2">
      <w:pPr>
        <w:pStyle w:val="ListParagraph"/>
        <w:numPr>
          <w:ilvl w:val="0"/>
          <w:numId w:val="42"/>
        </w:numPr>
        <w:tabs>
          <w:tab w:val="left" w:pos="426"/>
        </w:tabs>
        <w:spacing w:beforeLines="60" w:before="144" w:afterLines="60" w:after="144"/>
        <w:ind w:left="284" w:right="-58" w:hanging="284"/>
        <w:contextualSpacing w:val="0"/>
        <w:jc w:val="both"/>
      </w:pPr>
      <w:r w:rsidRPr="006E5888">
        <w:t>Pārskatīt amortizācijas piemaksu daļu par tehnoloģiju līmeni datortomogrāfijas, ultrasonogrāfijas un magnētiskās rezonanses izmeklējumiem, nosakot to vienotā fiksētā līmenī, pretējā gadījumā no valsts budžeta līdzekļiem īsā laika periodā privātajiem pakalpojumu sniedzējiem tiek apmaksāta iekārtas iegāde.</w:t>
      </w:r>
    </w:p>
    <w:p w:rsidR="00726DEC" w:rsidRPr="006E5888" w:rsidRDefault="00726DEC" w:rsidP="00671BB2">
      <w:pPr>
        <w:pStyle w:val="ListParagraph"/>
        <w:numPr>
          <w:ilvl w:val="0"/>
          <w:numId w:val="42"/>
        </w:numPr>
        <w:tabs>
          <w:tab w:val="left" w:pos="426"/>
        </w:tabs>
        <w:spacing w:beforeLines="60" w:before="144" w:afterLines="60" w:after="144"/>
        <w:ind w:left="284" w:right="-58" w:hanging="284"/>
        <w:contextualSpacing w:val="0"/>
        <w:jc w:val="both"/>
      </w:pPr>
      <w:r w:rsidRPr="006E5888">
        <w:t>Nepieciešams veikt veselības aprūpes pakalpojumu tarifu aprēķinu metodikas pārskatīšanu, paredzot vienotu iekārtu amortizācijas un attīstības izmaksu tarifa elementu, kā arī darba samaksai piesaistīto tarifa elementu aprēķinu pārskatīšanu. Veselības ministrijai sagatavot veselības aprūpes pakalpojumu tarifu pārskatīšanas kalendāro grafiku, izdalot prioritāri pārskatāmo pakalpojumu tarifus.</w:t>
      </w:r>
    </w:p>
    <w:p w:rsidR="00726DEC" w:rsidRPr="006E5888" w:rsidRDefault="00726DEC" w:rsidP="00671BB2">
      <w:pPr>
        <w:pStyle w:val="ListParagraph"/>
        <w:numPr>
          <w:ilvl w:val="0"/>
          <w:numId w:val="42"/>
        </w:numPr>
        <w:tabs>
          <w:tab w:val="left" w:pos="426"/>
        </w:tabs>
        <w:spacing w:beforeLines="60" w:before="144" w:afterLines="60" w:after="144"/>
        <w:ind w:left="284" w:right="-58" w:hanging="284"/>
        <w:contextualSpacing w:val="0"/>
        <w:jc w:val="both"/>
      </w:pPr>
      <w:r w:rsidRPr="006E5888">
        <w:rPr>
          <w:bCs/>
          <w:szCs w:val="24"/>
        </w:rPr>
        <w:lastRenderedPageBreak/>
        <w:t>Uzskatām, ka n</w:t>
      </w:r>
      <w:r w:rsidRPr="006E5888">
        <w:rPr>
          <w:szCs w:val="24"/>
        </w:rPr>
        <w:t>eatliekamo palīdzību nepieciešams apmaksāt atbilstoši faktiskajām izmaksām (t.sk. nodrošinot finansējumu diagnostiskajiem izmeklējumiem), vienlaikus nodrošinot nepieciešamā finansējuma minimumu, lai nodrošinātu reģionos neatliekamās palīdzības sniegšanas iespējas iedzīvotājiem diennakts režīmā.</w:t>
      </w:r>
    </w:p>
    <w:p w:rsidR="00726DEC" w:rsidRPr="006E5888" w:rsidRDefault="00726DEC" w:rsidP="00671BB2">
      <w:pPr>
        <w:pStyle w:val="ListParagraph"/>
        <w:numPr>
          <w:ilvl w:val="0"/>
          <w:numId w:val="42"/>
        </w:numPr>
        <w:tabs>
          <w:tab w:val="left" w:pos="426"/>
        </w:tabs>
        <w:spacing w:beforeLines="60" w:before="144" w:afterLines="60" w:after="144"/>
        <w:ind w:left="284" w:right="-58" w:hanging="284"/>
        <w:contextualSpacing w:val="0"/>
        <w:jc w:val="both"/>
      </w:pPr>
      <w:r w:rsidRPr="006E5888">
        <w:rPr>
          <w:szCs w:val="24"/>
        </w:rPr>
        <w:t>Nepieciešams noteikt terciāro veselības aprūpes pakalpojumu īpašo statusu, sagatavojot grozījumus normatīvajos aktos, kas nosaka kritērijus un finansējuma sadalījuma apmēru un  piešķiršanas kārtību atbilstoši sniedzamā pakalpojuma sarežģītības pakāpei</w:t>
      </w:r>
      <w:r w:rsidRPr="006E5888">
        <w:rPr>
          <w:color w:val="1F497D"/>
          <w:szCs w:val="24"/>
        </w:rPr>
        <w:t xml:space="preserve">, </w:t>
      </w:r>
      <w:r w:rsidRPr="006E5888">
        <w:rPr>
          <w:szCs w:val="24"/>
        </w:rPr>
        <w:t>nodalot un precīzi definējot rezultātus.</w:t>
      </w:r>
    </w:p>
    <w:p w:rsidR="00726DEC" w:rsidRPr="006E5888" w:rsidRDefault="00726DEC" w:rsidP="00671BB2">
      <w:pPr>
        <w:pStyle w:val="ListParagraph"/>
        <w:numPr>
          <w:ilvl w:val="0"/>
          <w:numId w:val="42"/>
        </w:numPr>
        <w:tabs>
          <w:tab w:val="left" w:pos="426"/>
        </w:tabs>
        <w:spacing w:beforeLines="60" w:before="144" w:afterLines="60" w:after="144"/>
        <w:ind w:left="284" w:right="-58" w:hanging="284"/>
        <w:contextualSpacing w:val="0"/>
        <w:jc w:val="both"/>
      </w:pPr>
      <w:r w:rsidRPr="006E5888">
        <w:rPr>
          <w:szCs w:val="24"/>
        </w:rPr>
        <w:t>VM nepieciešams izvērtēt un sniegt priekšlikumus konkrētām ārstniecības programmām un pacientu grupām (atbilstoši pieejamam finansējuma apmēram), kurām pakalpojumi tiek apmaksātas pēc fakta (t.i. tās kurām ir kritiska ietekme uz sabiedrības veselību kopumā, piemēram citu personu apdraudējumu vai potenciālo darbspējīgo mūža ilgumu).</w:t>
      </w:r>
    </w:p>
    <w:p w:rsidR="00726DEC" w:rsidRPr="006E5888" w:rsidRDefault="00726DEC" w:rsidP="00671BB2">
      <w:pPr>
        <w:pStyle w:val="ListParagraph"/>
        <w:numPr>
          <w:ilvl w:val="0"/>
          <w:numId w:val="42"/>
        </w:numPr>
        <w:tabs>
          <w:tab w:val="left" w:pos="426"/>
        </w:tabs>
        <w:spacing w:beforeLines="60" w:before="144" w:afterLines="60" w:after="144"/>
        <w:ind w:left="284" w:right="-58" w:hanging="284"/>
        <w:contextualSpacing w:val="0"/>
        <w:jc w:val="both"/>
      </w:pPr>
      <w:r w:rsidRPr="006E5888">
        <w:rPr>
          <w:szCs w:val="24"/>
        </w:rPr>
        <w:t>VM nepieciešams pārskatīt ambulatorā pakalpojuma finansējuma nosacījumus, kas nosaka, ka konkurss par pakalpojumu sniegšanu notiek tikai tad, ja pakalpojumam ir deficīts (t.i. nav kas sniedz) konkrētajā reģionā. Būtībā ir nepieciešama jauna, visaptveroša pakalpojumu sniedzēju atlase (konkurss), kurā tiek vērtētas arī pakalpojuma izmaksas, pieejamās tehnoloģijas, kapacitāte un cilvēkresursi, saikne ar stacionāro aprūpi.</w:t>
      </w:r>
    </w:p>
    <w:p w:rsidR="00726DEC" w:rsidRPr="006E5888" w:rsidRDefault="00726DEC" w:rsidP="00671BB2">
      <w:pPr>
        <w:pStyle w:val="ListParagraph"/>
        <w:numPr>
          <w:ilvl w:val="0"/>
          <w:numId w:val="42"/>
        </w:numPr>
        <w:tabs>
          <w:tab w:val="left" w:pos="426"/>
        </w:tabs>
        <w:spacing w:beforeLines="60" w:before="144" w:afterLines="60" w:after="144"/>
        <w:ind w:left="284" w:right="-58" w:hanging="284"/>
        <w:contextualSpacing w:val="0"/>
        <w:jc w:val="both"/>
        <w:rPr>
          <w:rFonts w:cs="Times New Roman"/>
        </w:rPr>
      </w:pPr>
      <w:r w:rsidRPr="006E5888">
        <w:rPr>
          <w:szCs w:val="24"/>
        </w:rPr>
        <w:t xml:space="preserve">VM </w:t>
      </w:r>
      <w:r w:rsidRPr="006E5888">
        <w:rPr>
          <w:rFonts w:cs="Times New Roman"/>
        </w:rPr>
        <w:t xml:space="preserve">izmantojot Pasaules Bankas pētījuma ietvaros sagatavoto slimnīcu kartējumu, nepieciešams veikt pakalpojumu sniedzēju institūciju skaita un sniegto pakalpojumu profilu un apjomu pārskatīšanu, </w:t>
      </w:r>
      <w:proofErr w:type="spellStart"/>
      <w:r w:rsidRPr="006E5888">
        <w:rPr>
          <w:rFonts w:cs="Times New Roman"/>
        </w:rPr>
        <w:t>efektivizējot</w:t>
      </w:r>
      <w:proofErr w:type="spellEnd"/>
      <w:r w:rsidRPr="006E5888">
        <w:rPr>
          <w:rFonts w:cs="Times New Roman"/>
        </w:rPr>
        <w:t xml:space="preserve"> procesu, kas nodrošina pakalpojuma pieejamību visā Latvijas teritorijā.</w:t>
      </w:r>
    </w:p>
    <w:p w:rsidR="00726DEC" w:rsidRPr="006E5888" w:rsidRDefault="00726DEC" w:rsidP="00671BB2">
      <w:pPr>
        <w:pStyle w:val="ListParagraph"/>
        <w:numPr>
          <w:ilvl w:val="0"/>
          <w:numId w:val="42"/>
        </w:numPr>
        <w:tabs>
          <w:tab w:val="left" w:pos="426"/>
        </w:tabs>
        <w:spacing w:beforeLines="60" w:before="144" w:afterLines="60" w:after="144"/>
        <w:ind w:left="284" w:right="-58" w:hanging="284"/>
        <w:contextualSpacing w:val="0"/>
        <w:jc w:val="both"/>
        <w:rPr>
          <w:rFonts w:cs="Times New Roman"/>
        </w:rPr>
      </w:pPr>
      <w:r w:rsidRPr="006E5888">
        <w:rPr>
          <w:szCs w:val="24"/>
        </w:rPr>
        <w:t>VM</w:t>
      </w:r>
      <w:r w:rsidRPr="006E5888">
        <w:rPr>
          <w:rFonts w:cs="Times New Roman"/>
        </w:rPr>
        <w:t xml:space="preserve"> sadarbībā ar LM izvērtēt nepieciešamību izveidot trešo, iztrūkstošo sistēmu paralēli sociālajai aprūpei un veselības aprūpei – ilgtermiņa aprūpi (hroniskie pacienti). Izmantot infrastruktūru, kura vairs nav nepieciešama  akūtās veselības aprūpes sniegšanai. Hronisko pacientu aprūpe- kopšana, aprūpe mājās, HIV/AIDS, ventilējamie, ar zondi barojamie, gulošie utt. – pacienti, kuri nav akūti, bet tajā paša laikā tie nav sociālās aprūpes pacienti, jo nepieciešama ārsta uzraudzība.</w:t>
      </w:r>
    </w:p>
    <w:p w:rsidR="00726DEC" w:rsidRPr="006E5888" w:rsidRDefault="00726DEC" w:rsidP="00671BB2">
      <w:pPr>
        <w:pStyle w:val="ListParagraph"/>
        <w:numPr>
          <w:ilvl w:val="0"/>
          <w:numId w:val="42"/>
        </w:numPr>
        <w:tabs>
          <w:tab w:val="left" w:pos="426"/>
        </w:tabs>
        <w:spacing w:beforeLines="60" w:before="144" w:afterLines="60" w:after="144"/>
        <w:ind w:left="284" w:right="-58" w:hanging="284"/>
        <w:contextualSpacing w:val="0"/>
        <w:jc w:val="both"/>
        <w:rPr>
          <w:rFonts w:cs="Times New Roman"/>
        </w:rPr>
      </w:pPr>
      <w:r w:rsidRPr="006E5888">
        <w:rPr>
          <w:rFonts w:cs="Times New Roman"/>
        </w:rPr>
        <w:t xml:space="preserve">VM pārskatīt ģimenes ārstu finansēšanas pamatā izmantoto fiksētās maksas apmēru, saistot to ar faktiski sniegto pakalpojumu kvalitāti. Kopumā fiksētie maksājumi ģimenes ārstu praksēs sastāda 85,3%, savukārt kvalitātes maksājumi ir zem 2% no kopējiem apmaksātajiem ģimenes ārstu pakalpojumiem. Turklāt pēc Nacionālo veselības dienesta sniegtās informācijas fiksēto maksu tiek plānots ar 2016.gada 1.jūliju palielināt, kas ir pretrunā ar starptautisko ekspertu ieteikumiem. Vienlaikus, lai izvairītos no situācijas, ka ģimenes ārsti turpina saņemt </w:t>
      </w:r>
      <w:proofErr w:type="spellStart"/>
      <w:r w:rsidRPr="006E5888">
        <w:rPr>
          <w:rFonts w:cs="Times New Roman"/>
        </w:rPr>
        <w:t>kapitācijas</w:t>
      </w:r>
      <w:proofErr w:type="spellEnd"/>
      <w:r w:rsidRPr="006E5888">
        <w:rPr>
          <w:rFonts w:cs="Times New Roman"/>
        </w:rPr>
        <w:t xml:space="preserve"> maksājumus par lielāku reģistrēto pacientu skaitu nekā reālais Latvijas iedzīvotāju skaits, Veselības ministrijai jāizstrādā mehānisms, kā pēc konkrēta laika perioda, kura laikā pacients nav apmeklēji ģimenes ārstu, tiek apturēta </w:t>
      </w:r>
      <w:proofErr w:type="spellStart"/>
      <w:r w:rsidRPr="006E5888">
        <w:rPr>
          <w:rFonts w:cs="Times New Roman"/>
        </w:rPr>
        <w:t>kapitācijas</w:t>
      </w:r>
      <w:proofErr w:type="spellEnd"/>
      <w:r w:rsidRPr="006E5888">
        <w:rPr>
          <w:rFonts w:cs="Times New Roman"/>
        </w:rPr>
        <w:t xml:space="preserve"> maksājuma izmaksa par šo pacientu.</w:t>
      </w:r>
    </w:p>
    <w:p w:rsidR="00726DEC" w:rsidRPr="006E5888" w:rsidRDefault="00726DEC" w:rsidP="00671BB2">
      <w:pPr>
        <w:pStyle w:val="ListParagraph"/>
        <w:numPr>
          <w:ilvl w:val="0"/>
          <w:numId w:val="42"/>
        </w:numPr>
        <w:tabs>
          <w:tab w:val="left" w:pos="426"/>
        </w:tabs>
        <w:spacing w:beforeLines="60" w:before="144" w:afterLines="60" w:after="144"/>
        <w:ind w:left="284" w:right="-58" w:hanging="284"/>
        <w:contextualSpacing w:val="0"/>
        <w:jc w:val="both"/>
        <w:rPr>
          <w:rFonts w:cs="Times New Roman"/>
        </w:rPr>
      </w:pPr>
      <w:r w:rsidRPr="006E5888">
        <w:rPr>
          <w:rFonts w:cs="Times New Roman"/>
        </w:rPr>
        <w:t xml:space="preserve">Ņemot vērā, ka viena apmeklējuma izmaksas ģimenes ārsta praksēs 2015.gadā svārstās robežās no 6 </w:t>
      </w:r>
      <w:proofErr w:type="spellStart"/>
      <w:r w:rsidRPr="006E5888">
        <w:rPr>
          <w:rFonts w:cs="Times New Roman"/>
          <w:i/>
        </w:rPr>
        <w:t>euro</w:t>
      </w:r>
      <w:proofErr w:type="spellEnd"/>
      <w:r w:rsidRPr="006E5888">
        <w:rPr>
          <w:rFonts w:cs="Times New Roman"/>
        </w:rPr>
        <w:t xml:space="preserve"> līdz pat 43 </w:t>
      </w:r>
      <w:proofErr w:type="spellStart"/>
      <w:r w:rsidRPr="006E5888">
        <w:rPr>
          <w:rFonts w:cs="Times New Roman"/>
          <w:i/>
        </w:rPr>
        <w:t>euro</w:t>
      </w:r>
      <w:proofErr w:type="spellEnd"/>
      <w:r w:rsidRPr="006E5888">
        <w:rPr>
          <w:rFonts w:cs="Times New Roman"/>
        </w:rPr>
        <w:t xml:space="preserve">, VM sadarbībā ar NVD izvērtēt ģimenes ārstu prakšu, kurās viena apmeklējuma izmaksas pārsniedz 20 </w:t>
      </w:r>
      <w:proofErr w:type="spellStart"/>
      <w:r w:rsidRPr="006E5888">
        <w:rPr>
          <w:rFonts w:cs="Times New Roman"/>
          <w:i/>
        </w:rPr>
        <w:t>euro</w:t>
      </w:r>
      <w:proofErr w:type="spellEnd"/>
      <w:r w:rsidRPr="006E5888">
        <w:rPr>
          <w:rFonts w:cs="Times New Roman"/>
        </w:rPr>
        <w:t xml:space="preserve"> apmēru, lietderību, iespējams izvēloties citu pakalpojuma nodrošināšanas formu (piemēram, ģimenes ārsta prakse ar vairākām pieņemšanas vietām) un faktisko ģimenes ārstu noslogotību. Ņemot vērā minēto, VM nepieciešams izstrādāt  kritērijus un normas  ģimenes ārsta prakšu valsts finansējuma pārtraukšanai, nodefinējot minimālo reģistrēto pacientu skaitu.</w:t>
      </w:r>
    </w:p>
    <w:p w:rsidR="00655896" w:rsidRPr="006E5888" w:rsidRDefault="00726DEC" w:rsidP="00671BB2">
      <w:pPr>
        <w:pStyle w:val="ListParagraph"/>
        <w:numPr>
          <w:ilvl w:val="0"/>
          <w:numId w:val="42"/>
        </w:numPr>
        <w:tabs>
          <w:tab w:val="left" w:pos="426"/>
        </w:tabs>
        <w:spacing w:beforeLines="60" w:before="144" w:afterLines="60" w:after="144"/>
        <w:ind w:left="284" w:right="-58" w:hanging="284"/>
        <w:contextualSpacing w:val="0"/>
        <w:jc w:val="both"/>
        <w:rPr>
          <w:rFonts w:cs="Times New Roman"/>
        </w:rPr>
      </w:pPr>
      <w:r w:rsidRPr="006E5888">
        <w:rPr>
          <w:rFonts w:cs="Times New Roman"/>
        </w:rPr>
        <w:t>Izvērtēt iespēju veikt centralizētu medikamentu iepirkumu organizēšanu valsts slimnīcās, izmantojot Elektronisko iepirkumu sistēmu, lai iegūstot apjoma atlaides, kā arī izvairoties no situācijas, ka dažādās slimnīcās vienam un tam pašam medikamentam vai materiālam ir atšķirīgas cenas.</w:t>
      </w:r>
    </w:p>
    <w:p w:rsidR="00F768C1" w:rsidRPr="006E5888" w:rsidRDefault="00F72914" w:rsidP="00984DC7">
      <w:pPr>
        <w:pStyle w:val="Heading2"/>
        <w:spacing w:after="120"/>
        <w:rPr>
          <w:rFonts w:ascii="Times New Roman" w:hAnsi="Times New Roman" w:cs="Times New Roman"/>
          <w:b/>
          <w:color w:val="auto"/>
          <w:sz w:val="24"/>
          <w:szCs w:val="24"/>
        </w:rPr>
      </w:pPr>
      <w:r w:rsidRPr="006E5888">
        <w:rPr>
          <w:rFonts w:ascii="Times New Roman" w:hAnsi="Times New Roman" w:cs="Times New Roman"/>
          <w:b/>
          <w:color w:val="auto"/>
          <w:sz w:val="24"/>
          <w:szCs w:val="24"/>
        </w:rPr>
        <w:lastRenderedPageBreak/>
        <w:t xml:space="preserve"> </w:t>
      </w:r>
      <w:bookmarkStart w:id="12" w:name="_Toc451340349"/>
      <w:r w:rsidRPr="006E5888">
        <w:rPr>
          <w:rFonts w:ascii="Times New Roman" w:hAnsi="Times New Roman" w:cs="Times New Roman"/>
          <w:b/>
          <w:color w:val="auto"/>
          <w:sz w:val="24"/>
          <w:szCs w:val="24"/>
        </w:rPr>
        <w:t xml:space="preserve">6.2. </w:t>
      </w:r>
      <w:r w:rsidR="00CA1C2E" w:rsidRPr="006E5888">
        <w:rPr>
          <w:rFonts w:ascii="Times New Roman" w:hAnsi="Times New Roman" w:cs="Times New Roman"/>
          <w:b/>
          <w:color w:val="auto"/>
          <w:sz w:val="24"/>
          <w:szCs w:val="24"/>
        </w:rPr>
        <w:t>IZGLĪTĪBA</w:t>
      </w:r>
      <w:bookmarkEnd w:id="12"/>
    </w:p>
    <w:p w:rsidR="00665FFB" w:rsidRPr="006E5888" w:rsidRDefault="00665FFB" w:rsidP="00665FFB">
      <w:pPr>
        <w:ind w:firstLine="720"/>
        <w:jc w:val="both"/>
      </w:pPr>
      <w:r w:rsidRPr="006E5888">
        <w:t>Latvijas izglītības sistēma sastāv no pirmskolas izglītības, pamatizglītības, vidējās izglītības un augstākās izglītības. Vispārējā izglītība pavisam ilgst 12 gadus, ietverot obligāto 9</w:t>
      </w:r>
      <w:r w:rsidR="00E60A3B" w:rsidRPr="006E5888">
        <w:t xml:space="preserve"> –</w:t>
      </w:r>
      <w:r w:rsidRPr="006E5888">
        <w:t xml:space="preserve">gadīgo </w:t>
      </w:r>
      <w:r w:rsidR="00E60A3B" w:rsidRPr="006E5888">
        <w:t>pamatizglītību un 3–</w:t>
      </w:r>
      <w:r w:rsidRPr="006E5888">
        <w:t>gadīgo vidējo izglītību. Papildus Latvijā ir o</w:t>
      </w:r>
      <w:r w:rsidR="00661F5D" w:rsidRPr="006E5888">
        <w:t>bligāta pirmsskolas izglītība 5–</w:t>
      </w:r>
      <w:r w:rsidRPr="006E5888">
        <w:t>6 gadu vecumā. Pamatizglītības pakāpe ietv</w:t>
      </w:r>
      <w:r w:rsidR="009F323E" w:rsidRPr="006E5888">
        <w:t>er vispārējo pamatizglītību (1.–</w:t>
      </w:r>
      <w:r w:rsidRPr="006E5888">
        <w:t>9.klases) un profesionālo pamatizglītību. Vidējās izglītības pakāpe ietver vispārējo vidējo izglītību, profesionālo vidējo izglītību un arodizglītību. Augstākās izglītības pakāpe ietver gan akadēmiskās, gan profesionālās studiju programmas</w:t>
      </w:r>
      <w:r w:rsidRPr="006E5888">
        <w:rPr>
          <w:rStyle w:val="FootnoteReference"/>
        </w:rPr>
        <w:footnoteReference w:id="26"/>
      </w:r>
      <w:r w:rsidRPr="006E5888">
        <w:t>.</w:t>
      </w:r>
    </w:p>
    <w:p w:rsidR="00665FFB" w:rsidRPr="006E5888" w:rsidRDefault="00665FFB" w:rsidP="009670C5">
      <w:pPr>
        <w:ind w:firstLine="720"/>
        <w:jc w:val="both"/>
      </w:pPr>
      <w:r w:rsidRPr="006E5888">
        <w:t>Izdevumu izvērtēšanas ietvaros tika analizēti valsts budžeta izdevumi, tomēr, lai novērtētu situāciju izglītības nozarē kopumā, kā viens no aspektiem tika izmantoti vispārējie statistikas dati par izglītību, tai skaitā kombinētais izglītojamo un studentu skaits, kombinētais pedagogu un akadēmiskā personāla skaits, kā arī vispārējās valdības izdevumi izglītībai, kas ietver visus izglītības nozarē veiktos ieguldījumus no publiskā finansējuma.</w:t>
      </w:r>
    </w:p>
    <w:p w:rsidR="00DE6A7F" w:rsidRPr="006E5888" w:rsidRDefault="00665FFB" w:rsidP="009670C5">
      <w:pPr>
        <w:ind w:firstLine="720"/>
        <w:jc w:val="both"/>
      </w:pPr>
      <w:r w:rsidRPr="006E5888">
        <w:t>Sākotnēji apskatot datus par vispārējās valdības izdevumiem izglītībai un to sasaisti ar kombinēto izglītojamo un studentu skaitu, ir novērojams, ka izglītojamo un studentu skaits katru gadu samazinās, tomēr šāda tendence nav vērojama vispārējās vald</w:t>
      </w:r>
      <w:r w:rsidR="00203B48" w:rsidRPr="006E5888">
        <w:t xml:space="preserve">ības izdevumu apmēra izmaiņās. </w:t>
      </w:r>
    </w:p>
    <w:p w:rsidR="001A0615" w:rsidRPr="006E5888" w:rsidRDefault="001A0615" w:rsidP="009670C5">
      <w:pPr>
        <w:ind w:firstLine="720"/>
        <w:jc w:val="both"/>
      </w:pPr>
    </w:p>
    <w:p w:rsidR="009670C5" w:rsidRPr="006E5888" w:rsidRDefault="009670C5" w:rsidP="009670C5">
      <w:pPr>
        <w:ind w:firstLine="720"/>
        <w:jc w:val="both"/>
        <w:rPr>
          <w:sz w:val="4"/>
          <w:szCs w:val="4"/>
        </w:rPr>
      </w:pPr>
    </w:p>
    <w:p w:rsidR="00DE6A7F" w:rsidRPr="006E5888" w:rsidRDefault="009670C5" w:rsidP="009B6F06">
      <w:pPr>
        <w:tabs>
          <w:tab w:val="left" w:pos="8931"/>
        </w:tabs>
        <w:jc w:val="center"/>
        <w:rPr>
          <w:b/>
        </w:rPr>
      </w:pPr>
      <w:r w:rsidRPr="006E5888">
        <w:rPr>
          <w:b/>
          <w:noProof/>
          <w:lang w:eastAsia="lv-LV"/>
        </w:rPr>
        <w:drawing>
          <wp:inline distT="0" distB="0" distL="0" distR="0" wp14:anchorId="5BAEE504" wp14:editId="5F94BD2B">
            <wp:extent cx="5347538" cy="3226003"/>
            <wp:effectExtent l="0" t="0" r="571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47538" cy="3226003"/>
                    </a:xfrm>
                    <a:prstGeom prst="rect">
                      <a:avLst/>
                    </a:prstGeom>
                    <a:noFill/>
                  </pic:spPr>
                </pic:pic>
              </a:graphicData>
            </a:graphic>
          </wp:inline>
        </w:drawing>
      </w:r>
    </w:p>
    <w:p w:rsidR="00DE6A7F" w:rsidRPr="006E5888" w:rsidRDefault="00EF150C" w:rsidP="00EF150C">
      <w:pPr>
        <w:spacing w:before="120"/>
        <w:jc w:val="center"/>
      </w:pPr>
      <w:r w:rsidRPr="006E5888">
        <w:rPr>
          <w:rFonts w:cs="Times New Roman"/>
          <w:sz w:val="22"/>
        </w:rPr>
        <w:t>3</w:t>
      </w:r>
      <w:r w:rsidR="00E439EC" w:rsidRPr="006E5888">
        <w:rPr>
          <w:rFonts w:cs="Times New Roman"/>
          <w:sz w:val="22"/>
        </w:rPr>
        <w:t>8</w:t>
      </w:r>
      <w:r w:rsidR="009670C5" w:rsidRPr="006E5888">
        <w:rPr>
          <w:rFonts w:cs="Times New Roman"/>
          <w:sz w:val="22"/>
        </w:rPr>
        <w:t>.</w:t>
      </w:r>
      <w:r w:rsidR="009670C5" w:rsidRPr="006E5888">
        <w:rPr>
          <w:rFonts w:cs="Times New Roman"/>
          <w:i/>
          <w:sz w:val="22"/>
        </w:rPr>
        <w:t>att.</w:t>
      </w:r>
      <w:r w:rsidR="009670C5" w:rsidRPr="006E5888">
        <w:rPr>
          <w:rFonts w:cs="Times New Roman"/>
          <w:sz w:val="22"/>
        </w:rPr>
        <w:t xml:space="preserve"> </w:t>
      </w:r>
      <w:r w:rsidR="00DE6A7F" w:rsidRPr="006E5888">
        <w:rPr>
          <w:b/>
          <w:sz w:val="22"/>
        </w:rPr>
        <w:t xml:space="preserve">Kombinētais izglītojamo un studentu skaits un vispārējās valdības izdevumi izglītībai </w:t>
      </w:r>
      <w:r w:rsidR="00DE6A7F" w:rsidRPr="006E5888">
        <w:rPr>
          <w:sz w:val="22"/>
        </w:rPr>
        <w:t xml:space="preserve">milj. </w:t>
      </w:r>
      <w:proofErr w:type="spellStart"/>
      <w:r w:rsidR="00DE6A7F" w:rsidRPr="006E5888">
        <w:rPr>
          <w:i/>
          <w:sz w:val="22"/>
        </w:rPr>
        <w:t>euro</w:t>
      </w:r>
      <w:proofErr w:type="spellEnd"/>
      <w:r w:rsidR="00DE6A7F" w:rsidRPr="006E5888">
        <w:rPr>
          <w:b/>
          <w:sz w:val="22"/>
        </w:rPr>
        <w:t xml:space="preserve"> 2005.-2014.gadā</w:t>
      </w:r>
      <w:r w:rsidR="00DE6A7F" w:rsidRPr="006E5888">
        <w:rPr>
          <w:rStyle w:val="FootnoteReference"/>
          <w:b/>
          <w:sz w:val="22"/>
        </w:rPr>
        <w:footnoteReference w:id="27"/>
      </w:r>
    </w:p>
    <w:p w:rsidR="00DE6A7F" w:rsidRPr="006E5888" w:rsidRDefault="00DE6A7F" w:rsidP="00DE6A7F">
      <w:pPr>
        <w:jc w:val="center"/>
        <w:rPr>
          <w:b/>
        </w:rPr>
      </w:pPr>
    </w:p>
    <w:p w:rsidR="00DE6A7F" w:rsidRPr="006E5888" w:rsidRDefault="00DE6A7F" w:rsidP="00DE6A7F">
      <w:pPr>
        <w:ind w:firstLine="720"/>
        <w:jc w:val="both"/>
      </w:pPr>
      <w:r w:rsidRPr="006E5888">
        <w:t>Vienlaikus</w:t>
      </w:r>
      <w:r w:rsidR="00EF150C" w:rsidRPr="006E5888">
        <w:t>,</w:t>
      </w:r>
      <w:r w:rsidRPr="006E5888">
        <w:t xml:space="preserve"> kā redzams </w:t>
      </w:r>
      <w:r w:rsidR="00EF150C" w:rsidRPr="006E5888">
        <w:t>3</w:t>
      </w:r>
      <w:r w:rsidR="00714B01" w:rsidRPr="006E5888">
        <w:t>9</w:t>
      </w:r>
      <w:r w:rsidRPr="006E5888">
        <w:t>.attēlā</w:t>
      </w:r>
      <w:r w:rsidR="00EF150C" w:rsidRPr="006E5888">
        <w:t>,</w:t>
      </w:r>
      <w:r w:rsidRPr="006E5888">
        <w:t xml:space="preserve"> izglītības finansējums </w:t>
      </w:r>
      <w:r w:rsidRPr="006E5888">
        <w:rPr>
          <w:color w:val="000000"/>
        </w:rPr>
        <w:t xml:space="preserve">attiecībā pret </w:t>
      </w:r>
      <w:r w:rsidR="001A0615" w:rsidRPr="006E5888">
        <w:rPr>
          <w:color w:val="000000"/>
        </w:rPr>
        <w:t>ES</w:t>
      </w:r>
      <w:r w:rsidRPr="006E5888">
        <w:rPr>
          <w:color w:val="000000"/>
        </w:rPr>
        <w:t xml:space="preserve"> valstu vidējo rādītāju ir augsts gan kā īpatsvars no kopējiem vispārējās valdības izdevumiem, gan izteiksmē pret tautsaimniecību</w:t>
      </w:r>
      <w:r w:rsidRPr="006E5888">
        <w:t xml:space="preserve"> (2014.gadā Latvijā starp </w:t>
      </w:r>
      <w:r w:rsidR="001A0615" w:rsidRPr="006E5888">
        <w:t>ES</w:t>
      </w:r>
      <w:r w:rsidRPr="006E5888">
        <w:t xml:space="preserve"> valstīm ir visaugstākais izglītības finansējuma īpatsvars no kopējiem vispārējās valdības izdevumiem, kā arī septītais augstākais izglītības finansējuma īpatsvars attiecībā pret </w:t>
      </w:r>
      <w:r w:rsidR="001A0615" w:rsidRPr="006E5888">
        <w:t>IKP</w:t>
      </w:r>
      <w:r w:rsidRPr="006E5888">
        <w:t>). Šie dati ir viens no signāliem, kas norāda uz to, ka izglītības sistēmā nepieciešamas reformas nozares ietvaros, lai nodrošinātu pieejamo resursu efektīvāku pārvaldi.</w:t>
      </w:r>
    </w:p>
    <w:p w:rsidR="00DE6A7F" w:rsidRPr="006E5888" w:rsidRDefault="00DE6A7F" w:rsidP="009B6F06"/>
    <w:p w:rsidR="00DE6A7F" w:rsidRPr="006E5888" w:rsidRDefault="009B6F06" w:rsidP="00B17A41">
      <w:pPr>
        <w:tabs>
          <w:tab w:val="left" w:pos="8789"/>
          <w:tab w:val="left" w:pos="8931"/>
        </w:tabs>
        <w:jc w:val="center"/>
        <w:rPr>
          <w:b/>
        </w:rPr>
      </w:pPr>
      <w:r w:rsidRPr="006E5888">
        <w:rPr>
          <w:b/>
          <w:noProof/>
          <w:lang w:eastAsia="lv-LV"/>
        </w:rPr>
        <w:lastRenderedPageBreak/>
        <w:drawing>
          <wp:inline distT="0" distB="0" distL="0" distR="0" wp14:anchorId="6829F7FB" wp14:editId="2D1B3E76">
            <wp:extent cx="5032858" cy="3146138"/>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77704" cy="3174172"/>
                    </a:xfrm>
                    <a:prstGeom prst="rect">
                      <a:avLst/>
                    </a:prstGeom>
                    <a:noFill/>
                  </pic:spPr>
                </pic:pic>
              </a:graphicData>
            </a:graphic>
          </wp:inline>
        </w:drawing>
      </w:r>
    </w:p>
    <w:p w:rsidR="00DE6A7F" w:rsidRPr="006E5888" w:rsidRDefault="00EF150C" w:rsidP="00DE6A7F">
      <w:pPr>
        <w:jc w:val="center"/>
        <w:rPr>
          <w:sz w:val="22"/>
        </w:rPr>
      </w:pPr>
      <w:r w:rsidRPr="006E5888">
        <w:rPr>
          <w:rFonts w:cs="Times New Roman"/>
          <w:sz w:val="22"/>
        </w:rPr>
        <w:t>3</w:t>
      </w:r>
      <w:r w:rsidR="000308C6" w:rsidRPr="006E5888">
        <w:rPr>
          <w:rFonts w:cs="Times New Roman"/>
          <w:sz w:val="22"/>
        </w:rPr>
        <w:t>9</w:t>
      </w:r>
      <w:r w:rsidR="00387260" w:rsidRPr="006E5888">
        <w:rPr>
          <w:rFonts w:cs="Times New Roman"/>
          <w:sz w:val="22"/>
        </w:rPr>
        <w:t>.</w:t>
      </w:r>
      <w:r w:rsidR="00387260" w:rsidRPr="006E5888">
        <w:rPr>
          <w:rFonts w:cs="Times New Roman"/>
          <w:i/>
          <w:sz w:val="22"/>
        </w:rPr>
        <w:t>att</w:t>
      </w:r>
      <w:r w:rsidR="00387260" w:rsidRPr="006E5888">
        <w:rPr>
          <w:sz w:val="22"/>
        </w:rPr>
        <w:t xml:space="preserve">. </w:t>
      </w:r>
      <w:r w:rsidR="00DE6A7F" w:rsidRPr="006E5888">
        <w:rPr>
          <w:b/>
          <w:sz w:val="22"/>
        </w:rPr>
        <w:t>Vispārējās valdības izdevumu izglītībai īpatsvars 2009.</w:t>
      </w:r>
      <w:r w:rsidR="00387260" w:rsidRPr="006E5888">
        <w:rPr>
          <w:b/>
          <w:sz w:val="22"/>
        </w:rPr>
        <w:t>–</w:t>
      </w:r>
      <w:r w:rsidR="00DE6A7F" w:rsidRPr="006E5888">
        <w:rPr>
          <w:b/>
          <w:sz w:val="22"/>
        </w:rPr>
        <w:t xml:space="preserve">2014.gadā, </w:t>
      </w:r>
      <w:r w:rsidR="00DE6A7F" w:rsidRPr="006E5888">
        <w:rPr>
          <w:sz w:val="22"/>
        </w:rPr>
        <w:t xml:space="preserve">% </w:t>
      </w:r>
      <w:r w:rsidR="00DE6A7F" w:rsidRPr="006E5888">
        <w:rPr>
          <w:rStyle w:val="FootnoteReference"/>
          <w:sz w:val="22"/>
        </w:rPr>
        <w:footnoteReference w:id="28"/>
      </w:r>
    </w:p>
    <w:p w:rsidR="00DE6A7F" w:rsidRPr="006E5888" w:rsidRDefault="00DE6A7F" w:rsidP="00DE6A7F">
      <w:pPr>
        <w:ind w:firstLine="720"/>
        <w:jc w:val="center"/>
      </w:pPr>
    </w:p>
    <w:p w:rsidR="00DE6A7F" w:rsidRPr="006E5888" w:rsidRDefault="00DE6A7F" w:rsidP="00DE6A7F">
      <w:pPr>
        <w:ind w:firstLine="720"/>
        <w:jc w:val="both"/>
        <w:rPr>
          <w:color w:val="000000"/>
        </w:rPr>
      </w:pPr>
      <w:r w:rsidRPr="006E5888">
        <w:t xml:space="preserve">Sadalījumā pa izglītības veidiem būtiskākais izglītības finansējuma īpatsvara vispārējās valdības izdevumos pārsvars attiecībā pret </w:t>
      </w:r>
      <w:r w:rsidR="00F3254A" w:rsidRPr="006E5888">
        <w:rPr>
          <w:color w:val="000000"/>
        </w:rPr>
        <w:t>ES</w:t>
      </w:r>
      <w:r w:rsidRPr="006E5888">
        <w:rPr>
          <w:color w:val="000000"/>
        </w:rPr>
        <w:t xml:space="preserve"> valstu vidējo rādītāju 2014.gadā ir pirmsskolas un sākumskolas izglītībai, vienlaikus tas ir augsts arī vidējā izglītībā, terciārā izglītībā, līmeņos nedefinējamā izglītībā un citur neklasificētajā izglītībā. </w:t>
      </w:r>
    </w:p>
    <w:p w:rsidR="00DE6A7F" w:rsidRPr="006E5888" w:rsidRDefault="00DE6A7F" w:rsidP="00DE6A7F">
      <w:pPr>
        <w:ind w:firstLine="720"/>
        <w:jc w:val="both"/>
        <w:rPr>
          <w:color w:val="000000"/>
          <w:sz w:val="6"/>
          <w:szCs w:val="6"/>
        </w:rPr>
      </w:pPr>
    </w:p>
    <w:p w:rsidR="00DE6A7F" w:rsidRPr="006E5888" w:rsidRDefault="001E4E16" w:rsidP="00051C30">
      <w:pPr>
        <w:tabs>
          <w:tab w:val="left" w:pos="709"/>
          <w:tab w:val="left" w:pos="8647"/>
          <w:tab w:val="left" w:pos="8789"/>
          <w:tab w:val="left" w:pos="8931"/>
        </w:tabs>
        <w:jc w:val="center"/>
      </w:pPr>
      <w:r w:rsidRPr="006E5888">
        <w:rPr>
          <w:noProof/>
          <w:lang w:eastAsia="lv-LV"/>
        </w:rPr>
        <w:drawing>
          <wp:inline distT="0" distB="0" distL="0" distR="0" wp14:anchorId="09380C63" wp14:editId="463FEB6F">
            <wp:extent cx="5040173" cy="3124832"/>
            <wp:effectExtent l="0" t="0" r="825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06196" cy="3165765"/>
                    </a:xfrm>
                    <a:prstGeom prst="rect">
                      <a:avLst/>
                    </a:prstGeom>
                    <a:noFill/>
                  </pic:spPr>
                </pic:pic>
              </a:graphicData>
            </a:graphic>
          </wp:inline>
        </w:drawing>
      </w:r>
    </w:p>
    <w:p w:rsidR="001E4E16" w:rsidRPr="006E5888" w:rsidRDefault="001E4E16" w:rsidP="00DE6A7F">
      <w:pPr>
        <w:jc w:val="center"/>
        <w:rPr>
          <w:sz w:val="4"/>
          <w:szCs w:val="4"/>
        </w:rPr>
      </w:pPr>
    </w:p>
    <w:p w:rsidR="00DE6A7F" w:rsidRPr="006E5888" w:rsidRDefault="00BA5BB8" w:rsidP="00DE6A7F">
      <w:pPr>
        <w:jc w:val="center"/>
        <w:rPr>
          <w:b/>
          <w:sz w:val="22"/>
        </w:rPr>
      </w:pPr>
      <w:r w:rsidRPr="006E5888">
        <w:rPr>
          <w:rFonts w:cs="Times New Roman"/>
          <w:sz w:val="22"/>
        </w:rPr>
        <w:t>40</w:t>
      </w:r>
      <w:r w:rsidR="00B17A41" w:rsidRPr="006E5888">
        <w:rPr>
          <w:rFonts w:cs="Times New Roman"/>
          <w:sz w:val="22"/>
        </w:rPr>
        <w:t>.</w:t>
      </w:r>
      <w:r w:rsidR="00B17A41" w:rsidRPr="006E5888">
        <w:rPr>
          <w:rFonts w:cs="Times New Roman"/>
          <w:i/>
          <w:sz w:val="22"/>
        </w:rPr>
        <w:t>att</w:t>
      </w:r>
      <w:r w:rsidR="00B17A41" w:rsidRPr="006E5888">
        <w:rPr>
          <w:sz w:val="22"/>
        </w:rPr>
        <w:t xml:space="preserve">. </w:t>
      </w:r>
      <w:r w:rsidR="00DE6A7F" w:rsidRPr="006E5888">
        <w:rPr>
          <w:b/>
          <w:sz w:val="22"/>
        </w:rPr>
        <w:t xml:space="preserve">Vispārējās valdības izdevumi izglītībai % no vispārējās valdības izdevumiem sadalījumā pa izglītības veidiem </w:t>
      </w:r>
      <w:r w:rsidR="00DE6A7F" w:rsidRPr="006E5888">
        <w:rPr>
          <w:rStyle w:val="FootnoteReference"/>
          <w:b/>
          <w:sz w:val="22"/>
        </w:rPr>
        <w:footnoteReference w:id="29"/>
      </w:r>
    </w:p>
    <w:p w:rsidR="00B17A41" w:rsidRPr="006E5888" w:rsidRDefault="00B17A41" w:rsidP="00DE6A7F">
      <w:pPr>
        <w:jc w:val="center"/>
        <w:rPr>
          <w:sz w:val="8"/>
          <w:szCs w:val="8"/>
        </w:rPr>
      </w:pPr>
    </w:p>
    <w:p w:rsidR="00DE6A7F" w:rsidRPr="006E5888" w:rsidRDefault="00DE6A7F" w:rsidP="00B17A41">
      <w:pPr>
        <w:ind w:firstLine="709"/>
        <w:jc w:val="both"/>
      </w:pPr>
      <w:r w:rsidRPr="006E5888">
        <w:t xml:space="preserve">Analizējot vispārējās valdības izdevumu sadalījumā pa valdības līmeņiem un izglītības veidiem, centrālās valdības izdevumi izglītībai pārsniedz vidējo </w:t>
      </w:r>
      <w:r w:rsidR="00347F17" w:rsidRPr="006E5888">
        <w:t>ES</w:t>
      </w:r>
      <w:r w:rsidRPr="006E5888">
        <w:t xml:space="preserve"> valstu līmeni (2014.gadā </w:t>
      </w:r>
      <w:r w:rsidR="00347F17" w:rsidRPr="006E5888">
        <w:t>ES</w:t>
      </w:r>
      <w:r w:rsidRPr="006E5888">
        <w:t xml:space="preserve"> valstu vidējie vispārējās valdības izdevumi izglītībai bija 5,8% apmērā no vispārējās valdības izdevumiem). Vienlaikus</w:t>
      </w:r>
      <w:r w:rsidR="00EF150C" w:rsidRPr="006E5888">
        <w:t>,</w:t>
      </w:r>
      <w:r w:rsidRPr="006E5888">
        <w:t xml:space="preserve"> kā iepriekš tika norādīts, ka augsts izdevumu rādītājs ir pirmsskolas un </w:t>
      </w:r>
      <w:r w:rsidRPr="006E5888">
        <w:lastRenderedPageBreak/>
        <w:t>sākumskolas izglītībā, kurā lielāko daļu izdevumu veido pašvaldību budžets, tas attiecīgi rosina izskatīt nepieciešamību arī pašvaldībām izvērtēt veiktos ieguldījumus izglītībā.</w:t>
      </w:r>
    </w:p>
    <w:p w:rsidR="00DE6A7F" w:rsidRPr="006E5888" w:rsidRDefault="00DE6A7F" w:rsidP="00DE6A7F">
      <w:pPr>
        <w:ind w:firstLine="720"/>
        <w:jc w:val="both"/>
        <w:rPr>
          <w:sz w:val="8"/>
          <w:szCs w:val="8"/>
        </w:rPr>
      </w:pPr>
    </w:p>
    <w:p w:rsidR="00DE6A7F" w:rsidRPr="006E5888" w:rsidRDefault="00C16793" w:rsidP="000B3E37">
      <w:pPr>
        <w:jc w:val="center"/>
      </w:pPr>
      <w:r w:rsidRPr="006E5888">
        <w:rPr>
          <w:noProof/>
          <w:lang w:eastAsia="lv-LV"/>
        </w:rPr>
        <w:drawing>
          <wp:inline distT="0" distB="0" distL="0" distR="0" wp14:anchorId="1D37E761" wp14:editId="04B436DA">
            <wp:extent cx="5076749" cy="3076627"/>
            <wp:effectExtent l="19050" t="19050" r="1016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150117" cy="3121090"/>
                    </a:xfrm>
                    <a:prstGeom prst="rect">
                      <a:avLst/>
                    </a:prstGeom>
                    <a:noFill/>
                    <a:ln>
                      <a:solidFill>
                        <a:schemeClr val="bg1">
                          <a:lumMod val="85000"/>
                        </a:schemeClr>
                      </a:solidFill>
                    </a:ln>
                  </pic:spPr>
                </pic:pic>
              </a:graphicData>
            </a:graphic>
          </wp:inline>
        </w:drawing>
      </w:r>
    </w:p>
    <w:p w:rsidR="00DE6A7F" w:rsidRPr="006E5888" w:rsidRDefault="00F73AD8" w:rsidP="0031766F">
      <w:pPr>
        <w:spacing w:before="120" w:after="120"/>
        <w:jc w:val="center"/>
        <w:rPr>
          <w:b/>
          <w:sz w:val="22"/>
        </w:rPr>
      </w:pPr>
      <w:r w:rsidRPr="006E5888">
        <w:rPr>
          <w:rFonts w:cs="Times New Roman"/>
          <w:sz w:val="22"/>
        </w:rPr>
        <w:t>41</w:t>
      </w:r>
      <w:r w:rsidR="00753913" w:rsidRPr="006E5888">
        <w:rPr>
          <w:rFonts w:cs="Times New Roman"/>
          <w:sz w:val="22"/>
        </w:rPr>
        <w:t>.</w:t>
      </w:r>
      <w:r w:rsidR="00753913" w:rsidRPr="006E5888">
        <w:rPr>
          <w:rFonts w:cs="Times New Roman"/>
          <w:i/>
          <w:sz w:val="22"/>
        </w:rPr>
        <w:t>att</w:t>
      </w:r>
      <w:r w:rsidR="00753913" w:rsidRPr="006E5888">
        <w:rPr>
          <w:sz w:val="22"/>
        </w:rPr>
        <w:t xml:space="preserve">. </w:t>
      </w:r>
      <w:r w:rsidR="00DE6A7F" w:rsidRPr="006E5888">
        <w:rPr>
          <w:b/>
          <w:sz w:val="22"/>
        </w:rPr>
        <w:t>Vispārējās valdības izdevumi izglītībai % no vispārējās valdības izdevumiem sadalījumā pa valdības līmeņiem un izglītības veidiem</w:t>
      </w:r>
      <w:r w:rsidR="00DE6A7F" w:rsidRPr="006E5888">
        <w:rPr>
          <w:rStyle w:val="FootnoteReference"/>
          <w:b/>
          <w:sz w:val="22"/>
        </w:rPr>
        <w:footnoteReference w:id="30"/>
      </w:r>
    </w:p>
    <w:p w:rsidR="00DE6A7F" w:rsidRPr="006E5888" w:rsidRDefault="00DE6A7F" w:rsidP="00DE6A7F">
      <w:pPr>
        <w:ind w:firstLine="720"/>
        <w:jc w:val="both"/>
        <w:rPr>
          <w:sz w:val="8"/>
          <w:szCs w:val="8"/>
        </w:rPr>
      </w:pPr>
    </w:p>
    <w:p w:rsidR="009C1521" w:rsidRPr="006E5888" w:rsidRDefault="00DE6A7F" w:rsidP="00051C30">
      <w:pPr>
        <w:tabs>
          <w:tab w:val="left" w:pos="567"/>
        </w:tabs>
        <w:jc w:val="center"/>
        <w:rPr>
          <w:rFonts w:cs="Times New Roman"/>
          <w:sz w:val="22"/>
        </w:rPr>
      </w:pPr>
      <w:r w:rsidRPr="006E5888">
        <w:rPr>
          <w:b/>
          <w:noProof/>
          <w:lang w:eastAsia="lv-LV"/>
        </w:rPr>
        <w:drawing>
          <wp:inline distT="0" distB="0" distL="0" distR="0" wp14:anchorId="10A90F08" wp14:editId="40B26479">
            <wp:extent cx="5112017" cy="2668905"/>
            <wp:effectExtent l="19050" t="19050" r="12700" b="171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15624" cy="2722997"/>
                    </a:xfrm>
                    <a:prstGeom prst="rect">
                      <a:avLst/>
                    </a:prstGeom>
                    <a:noFill/>
                    <a:ln>
                      <a:solidFill>
                        <a:schemeClr val="bg1">
                          <a:lumMod val="85000"/>
                        </a:schemeClr>
                      </a:solidFill>
                    </a:ln>
                  </pic:spPr>
                </pic:pic>
              </a:graphicData>
            </a:graphic>
          </wp:inline>
        </w:drawing>
      </w:r>
    </w:p>
    <w:p w:rsidR="00DE6A7F" w:rsidRPr="006E5888" w:rsidRDefault="00F73AD8" w:rsidP="00712786">
      <w:pPr>
        <w:tabs>
          <w:tab w:val="left" w:pos="567"/>
        </w:tabs>
        <w:spacing w:before="120"/>
        <w:jc w:val="center"/>
        <w:rPr>
          <w:b/>
        </w:rPr>
      </w:pPr>
      <w:r w:rsidRPr="006E5888">
        <w:rPr>
          <w:rFonts w:cs="Times New Roman"/>
          <w:sz w:val="22"/>
        </w:rPr>
        <w:t>42</w:t>
      </w:r>
      <w:r w:rsidR="005B4C9C" w:rsidRPr="006E5888">
        <w:rPr>
          <w:rFonts w:cs="Times New Roman"/>
          <w:sz w:val="22"/>
        </w:rPr>
        <w:t>.</w:t>
      </w:r>
      <w:r w:rsidR="005B4C9C" w:rsidRPr="006E5888">
        <w:rPr>
          <w:rFonts w:cs="Times New Roman"/>
          <w:i/>
          <w:sz w:val="22"/>
        </w:rPr>
        <w:t>att</w:t>
      </w:r>
      <w:r w:rsidR="005B4C9C" w:rsidRPr="006E5888">
        <w:rPr>
          <w:sz w:val="22"/>
        </w:rPr>
        <w:t xml:space="preserve">. </w:t>
      </w:r>
      <w:r w:rsidR="00DE6A7F" w:rsidRPr="006E5888">
        <w:rPr>
          <w:b/>
          <w:sz w:val="22"/>
        </w:rPr>
        <w:t>Kombinētais izglītojamo/studentu un pedagoģisko darbinieku/akadēmiskā personāla skaits</w:t>
      </w:r>
      <w:r w:rsidR="00DE6A7F" w:rsidRPr="006E5888">
        <w:rPr>
          <w:rStyle w:val="FootnoteReference"/>
          <w:sz w:val="22"/>
        </w:rPr>
        <w:footnoteReference w:id="31"/>
      </w:r>
    </w:p>
    <w:p w:rsidR="00DE6A7F" w:rsidRPr="006E5888" w:rsidRDefault="005B4C9C" w:rsidP="00051C30">
      <w:pPr>
        <w:tabs>
          <w:tab w:val="left" w:pos="8647"/>
          <w:tab w:val="left" w:pos="8789"/>
        </w:tabs>
        <w:spacing w:before="120"/>
        <w:ind w:firstLine="709"/>
        <w:jc w:val="both"/>
      </w:pPr>
      <w:r w:rsidRPr="006E5888">
        <w:t xml:space="preserve">Izglītības nozares analīzē būtiski analizēt arī datus par pedagoģisko darbinieku un akadēmiskā personāla skaitu. Kā redzams </w:t>
      </w:r>
      <w:r w:rsidR="007F07E1" w:rsidRPr="006E5888">
        <w:t>4</w:t>
      </w:r>
      <w:r w:rsidR="00F73AD8" w:rsidRPr="006E5888">
        <w:t>2</w:t>
      </w:r>
      <w:r w:rsidRPr="006E5888">
        <w:t>.attēlā</w:t>
      </w:r>
      <w:r w:rsidR="007E1878" w:rsidRPr="006E5888">
        <w:t>,</w:t>
      </w:r>
      <w:r w:rsidRPr="006E5888">
        <w:t xml:space="preserve"> kombinētais pedagoģisko darbinieku un akadēmiskā personāla skaits ir pieaudzis pretēji izglītojamo un studentu skaita samazinājumam (2014.gadā attiecībā pret 2009.gadu tas ir palielinājies par 2,5 %, savukārt izglītojamo un studentu skaits samazinājies par 11,6 %). </w:t>
      </w:r>
    </w:p>
    <w:p w:rsidR="00DE6A7F" w:rsidRPr="006E5888" w:rsidRDefault="00DE6A7F" w:rsidP="00D663D0">
      <w:pPr>
        <w:spacing w:after="120"/>
        <w:ind w:firstLine="720"/>
        <w:jc w:val="both"/>
      </w:pPr>
      <w:r w:rsidRPr="006E5888">
        <w:t>Ņemot vērā iepriekš</w:t>
      </w:r>
      <w:r w:rsidR="007E1878" w:rsidRPr="006E5888">
        <w:t xml:space="preserve"> </w:t>
      </w:r>
      <w:r w:rsidRPr="006E5888">
        <w:t xml:space="preserve">minēto, pēdējos gados ir samazinājusies arī izglītojamo un studentu skaita attiecība pret vienu pedagoģisko un akadēmisko darbinieku galvenokārt vispārizglītojošās </w:t>
      </w:r>
      <w:r w:rsidRPr="006E5888">
        <w:lastRenderedPageBreak/>
        <w:t>izglītības iestādēs, kā arī augstskolās un koledžās. Turklāt vispārizglītojošās izglītības iest</w:t>
      </w:r>
      <w:r w:rsidR="009F2496" w:rsidRPr="006E5888">
        <w:t>ādēs šī attiecība ir viszemākā.</w:t>
      </w:r>
    </w:p>
    <w:p w:rsidR="00DE6A7F" w:rsidRPr="006E5888" w:rsidRDefault="00302ED1" w:rsidP="00DE6A7F">
      <w:pPr>
        <w:jc w:val="center"/>
        <w:rPr>
          <w:b/>
        </w:rPr>
      </w:pPr>
      <w:r w:rsidRPr="006E5888">
        <w:rPr>
          <w:b/>
          <w:noProof/>
          <w:lang w:eastAsia="lv-LV"/>
        </w:rPr>
        <w:drawing>
          <wp:inline distT="0" distB="0" distL="0" distR="0" wp14:anchorId="16C54323" wp14:editId="28AD4CA4">
            <wp:extent cx="4824483" cy="2889538"/>
            <wp:effectExtent l="0" t="0" r="0" b="63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887126" cy="2927057"/>
                    </a:xfrm>
                    <a:prstGeom prst="rect">
                      <a:avLst/>
                    </a:prstGeom>
                    <a:noFill/>
                  </pic:spPr>
                </pic:pic>
              </a:graphicData>
            </a:graphic>
          </wp:inline>
        </w:drawing>
      </w:r>
    </w:p>
    <w:p w:rsidR="00DE6A7F" w:rsidRPr="006E5888" w:rsidRDefault="007E1878" w:rsidP="00F73AD8">
      <w:pPr>
        <w:spacing w:before="120"/>
        <w:jc w:val="center"/>
      </w:pPr>
      <w:r w:rsidRPr="006E5888">
        <w:rPr>
          <w:rFonts w:cs="Times New Roman"/>
          <w:sz w:val="22"/>
        </w:rPr>
        <w:t>4</w:t>
      </w:r>
      <w:r w:rsidR="00F73AD8" w:rsidRPr="006E5888">
        <w:rPr>
          <w:rFonts w:cs="Times New Roman"/>
          <w:sz w:val="22"/>
        </w:rPr>
        <w:t>3</w:t>
      </w:r>
      <w:r w:rsidR="00051C30" w:rsidRPr="006E5888">
        <w:rPr>
          <w:rFonts w:cs="Times New Roman"/>
          <w:sz w:val="22"/>
        </w:rPr>
        <w:t>.</w:t>
      </w:r>
      <w:r w:rsidR="00051C30" w:rsidRPr="006E5888">
        <w:rPr>
          <w:rFonts w:cs="Times New Roman"/>
          <w:i/>
          <w:sz w:val="22"/>
        </w:rPr>
        <w:t>att</w:t>
      </w:r>
      <w:r w:rsidR="00051C30" w:rsidRPr="006E5888">
        <w:rPr>
          <w:sz w:val="22"/>
        </w:rPr>
        <w:t xml:space="preserve">. </w:t>
      </w:r>
      <w:r w:rsidR="00DE6A7F" w:rsidRPr="006E5888">
        <w:rPr>
          <w:b/>
          <w:sz w:val="22"/>
        </w:rPr>
        <w:t>Izglītojamo/studentu skaita attiecība pret vienu pedagoģisko/akadēmisko darbinieku</w:t>
      </w:r>
      <w:r w:rsidR="00DE6A7F" w:rsidRPr="006E5888">
        <w:rPr>
          <w:sz w:val="22"/>
        </w:rPr>
        <w:t xml:space="preserve"> </w:t>
      </w:r>
      <w:r w:rsidR="00DE6A7F" w:rsidRPr="006E5888">
        <w:rPr>
          <w:rStyle w:val="FootnoteReference"/>
          <w:sz w:val="22"/>
        </w:rPr>
        <w:footnoteReference w:id="32"/>
      </w:r>
    </w:p>
    <w:p w:rsidR="00DE6A7F" w:rsidRPr="006E5888" w:rsidRDefault="00DE6A7F" w:rsidP="00DE6A7F">
      <w:pPr>
        <w:ind w:firstLine="720"/>
        <w:jc w:val="both"/>
        <w:rPr>
          <w:sz w:val="8"/>
          <w:szCs w:val="8"/>
        </w:rPr>
      </w:pPr>
    </w:p>
    <w:p w:rsidR="00DE6A7F" w:rsidRPr="006E5888" w:rsidRDefault="00DE6A7F" w:rsidP="00D663D0">
      <w:pPr>
        <w:spacing w:after="240"/>
        <w:ind w:firstLine="720"/>
        <w:jc w:val="both"/>
      </w:pPr>
      <w:r w:rsidRPr="006E5888">
        <w:t>Turklāt</w:t>
      </w:r>
      <w:r w:rsidR="007E1878" w:rsidRPr="006E5888">
        <w:t>,</w:t>
      </w:r>
      <w:r w:rsidRPr="006E5888">
        <w:t xml:space="preserve"> aprēķinot vispārējo valdības izdevumu izglītībai apmēru pret vienu vienību, ir vērojams ieguldītā finansējuma pieaugums gan attiecībā uz vienu izglītojamo/studentu, gan arī vienu pedagoģisko/akadēmisko darbinieku, tas norāda, ka izglītībā ieguldītais finansējums ir pieaudzis straujāk (2014.gadā attiecībā pret 2009.gadu par 9,6%) nekā palielinājies pedagoģisko/akadēmisko darbinieku skaits (2014.gadā a</w:t>
      </w:r>
      <w:r w:rsidR="00037928" w:rsidRPr="006E5888">
        <w:t>ttiecībā pret 2009.gadu par 2,5</w:t>
      </w:r>
      <w:r w:rsidRPr="006E5888">
        <w:t>%)</w:t>
      </w:r>
      <w:r w:rsidR="007E1878" w:rsidRPr="006E5888">
        <w:t>.</w:t>
      </w:r>
    </w:p>
    <w:p w:rsidR="00D85F0D" w:rsidRPr="006E5888" w:rsidRDefault="00E90867" w:rsidP="00E90867">
      <w:pPr>
        <w:tabs>
          <w:tab w:val="left" w:pos="709"/>
          <w:tab w:val="left" w:pos="8647"/>
        </w:tabs>
        <w:jc w:val="center"/>
        <w:rPr>
          <w:b/>
        </w:rPr>
      </w:pPr>
      <w:r w:rsidRPr="006E5888">
        <w:rPr>
          <w:b/>
          <w:noProof/>
          <w:lang w:eastAsia="lv-LV"/>
        </w:rPr>
        <w:drawing>
          <wp:inline distT="0" distB="0" distL="0" distR="0" wp14:anchorId="1B61E887" wp14:editId="16223852">
            <wp:extent cx="4817659" cy="2950383"/>
            <wp:effectExtent l="0" t="0" r="2540" b="254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93432" cy="2996787"/>
                    </a:xfrm>
                    <a:prstGeom prst="rect">
                      <a:avLst/>
                    </a:prstGeom>
                    <a:noFill/>
                  </pic:spPr>
                </pic:pic>
              </a:graphicData>
            </a:graphic>
          </wp:inline>
        </w:drawing>
      </w:r>
    </w:p>
    <w:p w:rsidR="00DE6A7F" w:rsidRPr="006E5888" w:rsidRDefault="007E1878" w:rsidP="00F73AD8">
      <w:pPr>
        <w:spacing w:before="120" w:after="120"/>
        <w:jc w:val="center"/>
        <w:rPr>
          <w:b/>
        </w:rPr>
      </w:pPr>
      <w:r w:rsidRPr="006E5888">
        <w:rPr>
          <w:rFonts w:cs="Times New Roman"/>
          <w:sz w:val="22"/>
        </w:rPr>
        <w:t>4</w:t>
      </w:r>
      <w:r w:rsidR="00F73AD8" w:rsidRPr="006E5888">
        <w:rPr>
          <w:rFonts w:cs="Times New Roman"/>
          <w:sz w:val="22"/>
        </w:rPr>
        <w:t>4</w:t>
      </w:r>
      <w:r w:rsidR="00D85F0D" w:rsidRPr="006E5888">
        <w:rPr>
          <w:rFonts w:cs="Times New Roman"/>
          <w:sz w:val="22"/>
        </w:rPr>
        <w:t>.</w:t>
      </w:r>
      <w:r w:rsidR="00D85F0D" w:rsidRPr="006E5888">
        <w:rPr>
          <w:rFonts w:cs="Times New Roman"/>
          <w:i/>
          <w:sz w:val="22"/>
        </w:rPr>
        <w:t>att</w:t>
      </w:r>
      <w:r w:rsidR="00D85F0D" w:rsidRPr="006E5888">
        <w:rPr>
          <w:sz w:val="22"/>
        </w:rPr>
        <w:t xml:space="preserve">. </w:t>
      </w:r>
      <w:r w:rsidR="00DE6A7F" w:rsidRPr="006E5888">
        <w:rPr>
          <w:b/>
          <w:sz w:val="22"/>
        </w:rPr>
        <w:t>Vispārējās valdības izdevumi izglītībai</w:t>
      </w:r>
      <w:r w:rsidR="00DE6A7F" w:rsidRPr="006E5888">
        <w:rPr>
          <w:sz w:val="22"/>
        </w:rPr>
        <w:t xml:space="preserve">, </w:t>
      </w:r>
      <w:proofErr w:type="spellStart"/>
      <w:r w:rsidR="00DE6A7F" w:rsidRPr="006E5888">
        <w:rPr>
          <w:i/>
          <w:sz w:val="22"/>
        </w:rPr>
        <w:t>euro</w:t>
      </w:r>
      <w:proofErr w:type="spellEnd"/>
      <w:r w:rsidR="00DE6A7F" w:rsidRPr="006E5888">
        <w:rPr>
          <w:sz w:val="22"/>
        </w:rPr>
        <w:t xml:space="preserve"> </w:t>
      </w:r>
      <w:r w:rsidR="00DE6A7F" w:rsidRPr="006E5888">
        <w:rPr>
          <w:rStyle w:val="FootnoteReference"/>
          <w:sz w:val="22"/>
        </w:rPr>
        <w:footnoteReference w:id="33"/>
      </w:r>
    </w:p>
    <w:p w:rsidR="00DE6A7F" w:rsidRPr="006E5888" w:rsidRDefault="00DE6A7F" w:rsidP="00DE6A7F">
      <w:pPr>
        <w:ind w:firstLine="720"/>
        <w:jc w:val="both"/>
      </w:pPr>
      <w:r w:rsidRPr="006E5888">
        <w:t>Ņemot vērā iepriekš</w:t>
      </w:r>
      <w:r w:rsidR="00205F79" w:rsidRPr="006E5888">
        <w:t xml:space="preserve"> </w:t>
      </w:r>
      <w:r w:rsidRPr="006E5888">
        <w:t>minēto, kā arī informāciju par vispārējās valdības izdevumiem izglītībai, var secināt, ka izglītības nozarē viens izglītojamais kļūst dārgāks, tomēr neapmierinātība ar izglītības nozarē ieguldīto finansējumu saglabājas.</w:t>
      </w:r>
    </w:p>
    <w:p w:rsidR="00DE6A7F" w:rsidRPr="006E5888" w:rsidRDefault="00DE6A7F" w:rsidP="00D663D0">
      <w:pPr>
        <w:spacing w:after="120"/>
        <w:ind w:firstLine="720"/>
        <w:jc w:val="both"/>
      </w:pPr>
      <w:r w:rsidRPr="006E5888">
        <w:lastRenderedPageBreak/>
        <w:t xml:space="preserve">Latvijā izglītības nozares finansēšanu nodrošina IZM, </w:t>
      </w:r>
      <w:r w:rsidR="00E90867" w:rsidRPr="006E5888">
        <w:t>KM</w:t>
      </w:r>
      <w:r w:rsidRPr="006E5888">
        <w:t xml:space="preserve">, </w:t>
      </w:r>
      <w:r w:rsidR="00E90867" w:rsidRPr="006E5888">
        <w:t>VM</w:t>
      </w:r>
      <w:r w:rsidRPr="006E5888">
        <w:t xml:space="preserve">, </w:t>
      </w:r>
      <w:r w:rsidR="00E90867" w:rsidRPr="006E5888">
        <w:t>IeM</w:t>
      </w:r>
      <w:r w:rsidRPr="006E5888">
        <w:t xml:space="preserve">, </w:t>
      </w:r>
      <w:proofErr w:type="spellStart"/>
      <w:r w:rsidR="00E90867" w:rsidRPr="006E5888">
        <w:t>AiM</w:t>
      </w:r>
      <w:proofErr w:type="spellEnd"/>
      <w:r w:rsidRPr="006E5888">
        <w:t xml:space="preserve"> un </w:t>
      </w:r>
      <w:r w:rsidR="00E90867" w:rsidRPr="006E5888">
        <w:t>ZM</w:t>
      </w:r>
      <w:r w:rsidRPr="006E5888">
        <w:t xml:space="preserve">. Šāda situācija saistīta ar to, ka ne visas valsts īpašumā esošās izglītības iestādes pārvalda par nozari atbildīgā IZM, jo, piemēram, Latvijas Lauksaimniecības Universitāte ir </w:t>
      </w:r>
      <w:r w:rsidR="00E90867" w:rsidRPr="006E5888">
        <w:t>ZM</w:t>
      </w:r>
      <w:r w:rsidRPr="006E5888">
        <w:t xml:space="preserve"> pakļautībā, savukārt Rīgas Stradiņa Universitāte ir </w:t>
      </w:r>
      <w:r w:rsidR="00E90867" w:rsidRPr="006E5888">
        <w:t>VM</w:t>
      </w:r>
      <w:r w:rsidRPr="006E5888">
        <w:t xml:space="preserve"> pakļautībā. Attiecīgi ministriju kompetences izglītības finansēšanā pārklājas, tāpēc būtu nepieciešams izvērtēt, vai šāda situācija netraucē nozares efektīvai pārvaldībai.</w:t>
      </w:r>
    </w:p>
    <w:p w:rsidR="00DE6A7F" w:rsidRPr="006E5888" w:rsidRDefault="0031766F" w:rsidP="009D5030">
      <w:pPr>
        <w:jc w:val="center"/>
        <w:rPr>
          <w:b/>
        </w:rPr>
      </w:pPr>
      <w:r w:rsidRPr="006E5888">
        <w:rPr>
          <w:b/>
          <w:noProof/>
          <w:lang w:eastAsia="lv-LV"/>
        </w:rPr>
        <w:drawing>
          <wp:inline distT="0" distB="0" distL="0" distR="0" wp14:anchorId="39D75AE3" wp14:editId="15C679AE">
            <wp:extent cx="4779125" cy="3056271"/>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22541" cy="3084036"/>
                    </a:xfrm>
                    <a:prstGeom prst="rect">
                      <a:avLst/>
                    </a:prstGeom>
                    <a:noFill/>
                  </pic:spPr>
                </pic:pic>
              </a:graphicData>
            </a:graphic>
          </wp:inline>
        </w:drawing>
      </w:r>
    </w:p>
    <w:p w:rsidR="00DE6A7F" w:rsidRPr="006E5888" w:rsidRDefault="00205F79" w:rsidP="00D663D0">
      <w:pPr>
        <w:spacing w:before="120"/>
        <w:jc w:val="center"/>
      </w:pPr>
      <w:r w:rsidRPr="006E5888">
        <w:rPr>
          <w:rFonts w:cs="Times New Roman"/>
          <w:sz w:val="22"/>
        </w:rPr>
        <w:t>4</w:t>
      </w:r>
      <w:r w:rsidR="00F73AD8" w:rsidRPr="006E5888">
        <w:rPr>
          <w:rFonts w:cs="Times New Roman"/>
          <w:sz w:val="22"/>
        </w:rPr>
        <w:t>5</w:t>
      </w:r>
      <w:r w:rsidR="00E90867" w:rsidRPr="006E5888">
        <w:rPr>
          <w:rFonts w:cs="Times New Roman"/>
          <w:sz w:val="22"/>
        </w:rPr>
        <w:t>.</w:t>
      </w:r>
      <w:r w:rsidR="00E90867" w:rsidRPr="006E5888">
        <w:rPr>
          <w:rFonts w:cs="Times New Roman"/>
          <w:i/>
          <w:sz w:val="22"/>
        </w:rPr>
        <w:t>att</w:t>
      </w:r>
      <w:r w:rsidR="00E90867" w:rsidRPr="006E5888">
        <w:rPr>
          <w:sz w:val="22"/>
        </w:rPr>
        <w:t xml:space="preserve">. </w:t>
      </w:r>
      <w:r w:rsidR="00DE6A7F" w:rsidRPr="006E5888">
        <w:rPr>
          <w:b/>
          <w:sz w:val="22"/>
        </w:rPr>
        <w:t>Valsts budžeta izdevumu plāns izglītības funkcijai 2016.gadā</w:t>
      </w:r>
      <w:r w:rsidR="00DE6A7F" w:rsidRPr="006E5888">
        <w:rPr>
          <w:sz w:val="22"/>
        </w:rPr>
        <w:t xml:space="preserve">, milj. </w:t>
      </w:r>
      <w:proofErr w:type="spellStart"/>
      <w:r w:rsidR="00DE6A7F" w:rsidRPr="006E5888">
        <w:rPr>
          <w:i/>
          <w:sz w:val="22"/>
        </w:rPr>
        <w:t>euro</w:t>
      </w:r>
      <w:proofErr w:type="spellEnd"/>
      <w:r w:rsidR="00DE6A7F" w:rsidRPr="006E5888">
        <w:rPr>
          <w:sz w:val="22"/>
        </w:rPr>
        <w:t xml:space="preserve"> un % </w:t>
      </w:r>
      <w:r w:rsidR="00DE6A7F" w:rsidRPr="006E5888">
        <w:rPr>
          <w:rStyle w:val="FootnoteReference"/>
          <w:sz w:val="22"/>
        </w:rPr>
        <w:footnoteReference w:id="34"/>
      </w:r>
    </w:p>
    <w:p w:rsidR="00E90867" w:rsidRPr="006E5888" w:rsidRDefault="00E90867" w:rsidP="00DE6A7F">
      <w:pPr>
        <w:ind w:firstLine="720"/>
        <w:jc w:val="both"/>
        <w:rPr>
          <w:b/>
        </w:rPr>
      </w:pPr>
    </w:p>
    <w:p w:rsidR="00DE6A7F" w:rsidRPr="006E5888" w:rsidRDefault="00DE6A7F" w:rsidP="008819D2">
      <w:pPr>
        <w:ind w:firstLine="720"/>
        <w:jc w:val="both"/>
        <w:rPr>
          <w:b/>
        </w:rPr>
      </w:pPr>
      <w:r w:rsidRPr="006E5888">
        <w:rPr>
          <w:b/>
        </w:rPr>
        <w:t xml:space="preserve">6.2.1. Valsts budžeta mērķdotācijas pašvaldībām </w:t>
      </w:r>
    </w:p>
    <w:p w:rsidR="00DE6A7F" w:rsidRPr="006E5888" w:rsidRDefault="00DE6A7F" w:rsidP="00650CA1">
      <w:pPr>
        <w:spacing w:before="120" w:after="120"/>
        <w:ind w:firstLine="720"/>
        <w:jc w:val="both"/>
      </w:pPr>
      <w:r w:rsidRPr="006E5888">
        <w:t>Lielākā daļa izglītības finansējuma no valsts budžeta (50,7 % no 2016.gadā plānotajiem valsts budžeta izdevumiem izglītībai) tiek novirzīta kā mērķdotācijas pašvaldībām pašvaldību izglītības iestāžu pedagogu darba samaksai un valsts sociālās apdrošināšanas obligātajām iemaksām, kā arī atsevišķu iestāžu uzturēšanas izdevumu segšanai. Mērķdotācijas pašvaldībām apmērs pēdējos gados ir nodrošināts stabilā apmērā, tikmēr izglītojamos skaits ir samazinājies, attiecīgi finansējuma apmērs uz vienu izglītojamo palielinās.</w:t>
      </w:r>
    </w:p>
    <w:p w:rsidR="00650CA1" w:rsidRPr="006E5888" w:rsidRDefault="00650CA1" w:rsidP="00650CA1">
      <w:pPr>
        <w:ind w:firstLine="709"/>
        <w:jc w:val="both"/>
        <w:rPr>
          <w:szCs w:val="24"/>
        </w:rPr>
      </w:pPr>
      <w:r w:rsidRPr="006E5888">
        <w:rPr>
          <w:szCs w:val="24"/>
        </w:rPr>
        <w:t>Mērķdotācijas pašvaldībām ietvaros finansējums tiek nodrošināts:</w:t>
      </w:r>
    </w:p>
    <w:p w:rsidR="00650CA1" w:rsidRPr="006E5888" w:rsidRDefault="00650CA1" w:rsidP="00B756BC">
      <w:pPr>
        <w:pStyle w:val="ListParagraph"/>
        <w:numPr>
          <w:ilvl w:val="0"/>
          <w:numId w:val="19"/>
        </w:numPr>
        <w:jc w:val="both"/>
        <w:rPr>
          <w:szCs w:val="24"/>
        </w:rPr>
      </w:pPr>
      <w:r w:rsidRPr="006E5888">
        <w:rPr>
          <w:szCs w:val="24"/>
        </w:rPr>
        <w:t>mērķdotācijas izglītības pasākumiem (pašvaldību speciālajām pirmsskolas izglītības iestādēm, internātskolām, Izglītības iestāžu reģistrā reģistrētajiem attīstības un rehabilitācijas centriem un speciālajām internātskolām bērniem ar fiziskās un garīgās attīstības traucējumiem pedagogu darba samaksai un iestāžu uzturēšanai) (01.00.00);</w:t>
      </w:r>
    </w:p>
    <w:p w:rsidR="00650CA1" w:rsidRPr="006E5888" w:rsidRDefault="00650CA1" w:rsidP="00B756BC">
      <w:pPr>
        <w:pStyle w:val="ListParagraph"/>
        <w:numPr>
          <w:ilvl w:val="0"/>
          <w:numId w:val="19"/>
        </w:numPr>
        <w:jc w:val="both"/>
        <w:rPr>
          <w:szCs w:val="24"/>
        </w:rPr>
      </w:pPr>
      <w:r w:rsidRPr="006E5888">
        <w:rPr>
          <w:szCs w:val="24"/>
        </w:rPr>
        <w:t>mērķdotācijas pašvaldībām – pašvaldību izglītības iestāžu (pamata un vispārējās vidējās izglītības iestāžu, pašvaldību speciālās izglītības iestāžu, pašvaldību profesionālās izglītības iestāžu un daļējai interešu izglītības programmu) pedagogu darba samaksai un valsts sociālās apdrošināšanas obligātajām iemaksām (05.00.00);</w:t>
      </w:r>
    </w:p>
    <w:p w:rsidR="00DE6A7F" w:rsidRPr="006E5888" w:rsidRDefault="00650CA1" w:rsidP="00D663D0">
      <w:pPr>
        <w:pStyle w:val="ListParagraph"/>
        <w:numPr>
          <w:ilvl w:val="0"/>
          <w:numId w:val="19"/>
        </w:numPr>
        <w:jc w:val="both"/>
        <w:rPr>
          <w:szCs w:val="24"/>
        </w:rPr>
      </w:pPr>
      <w:r w:rsidRPr="006E5888">
        <w:rPr>
          <w:szCs w:val="24"/>
        </w:rPr>
        <w:t>mērķdotācijas pašvaldībām – pašvaldību izglītības iestādēs bērnu no piecu gadu vecuma izglītošanā nodarbināto pedagogu darba samaksai un valsts sociālās apdrošināšanas obligātajām iemaksām (10.00.00).</w:t>
      </w:r>
    </w:p>
    <w:p w:rsidR="00DE6A7F" w:rsidRPr="006E5888" w:rsidRDefault="00DE6A7F" w:rsidP="00DE6A7F">
      <w:pPr>
        <w:jc w:val="center"/>
      </w:pPr>
      <w:r w:rsidRPr="006E5888">
        <w:rPr>
          <w:noProof/>
          <w:lang w:eastAsia="lv-LV"/>
        </w:rPr>
        <w:lastRenderedPageBreak/>
        <w:drawing>
          <wp:inline distT="0" distB="0" distL="0" distR="0" wp14:anchorId="7A36B910" wp14:editId="20668523">
            <wp:extent cx="5425410" cy="3123591"/>
            <wp:effectExtent l="19050" t="19050" r="23495" b="1968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57812" cy="3142246"/>
                    </a:xfrm>
                    <a:prstGeom prst="rect">
                      <a:avLst/>
                    </a:prstGeom>
                    <a:noFill/>
                    <a:ln>
                      <a:solidFill>
                        <a:schemeClr val="bg1">
                          <a:lumMod val="85000"/>
                        </a:schemeClr>
                      </a:solidFill>
                    </a:ln>
                  </pic:spPr>
                </pic:pic>
              </a:graphicData>
            </a:graphic>
          </wp:inline>
        </w:drawing>
      </w:r>
    </w:p>
    <w:p w:rsidR="00DE6A7F" w:rsidRPr="006E5888" w:rsidRDefault="00205F79" w:rsidP="00DE6A7F">
      <w:pPr>
        <w:jc w:val="center"/>
      </w:pPr>
      <w:r w:rsidRPr="006E5888">
        <w:rPr>
          <w:rFonts w:cs="Times New Roman"/>
          <w:sz w:val="22"/>
        </w:rPr>
        <w:t>4</w:t>
      </w:r>
      <w:r w:rsidR="002B55B5" w:rsidRPr="006E5888">
        <w:rPr>
          <w:rFonts w:cs="Times New Roman"/>
          <w:sz w:val="22"/>
        </w:rPr>
        <w:t>6</w:t>
      </w:r>
      <w:r w:rsidR="0088679A" w:rsidRPr="006E5888">
        <w:rPr>
          <w:rFonts w:cs="Times New Roman"/>
          <w:sz w:val="22"/>
        </w:rPr>
        <w:t>.</w:t>
      </w:r>
      <w:r w:rsidR="0088679A" w:rsidRPr="006E5888">
        <w:rPr>
          <w:rFonts w:cs="Times New Roman"/>
          <w:i/>
          <w:sz w:val="22"/>
        </w:rPr>
        <w:t>att</w:t>
      </w:r>
      <w:r w:rsidR="0088679A" w:rsidRPr="006E5888">
        <w:rPr>
          <w:sz w:val="22"/>
        </w:rPr>
        <w:t xml:space="preserve">. </w:t>
      </w:r>
      <w:r w:rsidR="00DE6A7F" w:rsidRPr="006E5888">
        <w:rPr>
          <w:b/>
          <w:sz w:val="22"/>
        </w:rPr>
        <w:t xml:space="preserve">Mērķdotācijas pašvaldībām izdevumi </w:t>
      </w:r>
      <w:r w:rsidR="0088679A" w:rsidRPr="006E5888">
        <w:rPr>
          <w:b/>
          <w:sz w:val="22"/>
        </w:rPr>
        <w:t>(</w:t>
      </w:r>
      <w:r w:rsidR="00DE6A7F" w:rsidRPr="006E5888">
        <w:rPr>
          <w:sz w:val="22"/>
        </w:rPr>
        <w:t xml:space="preserve">milj. </w:t>
      </w:r>
      <w:proofErr w:type="spellStart"/>
      <w:r w:rsidR="00DE6A7F" w:rsidRPr="006E5888">
        <w:rPr>
          <w:i/>
          <w:sz w:val="22"/>
        </w:rPr>
        <w:t>euro</w:t>
      </w:r>
      <w:proofErr w:type="spellEnd"/>
      <w:r w:rsidR="0088679A" w:rsidRPr="006E5888">
        <w:rPr>
          <w:sz w:val="22"/>
        </w:rPr>
        <w:t>)</w:t>
      </w:r>
      <w:r w:rsidR="00DE6A7F" w:rsidRPr="006E5888">
        <w:rPr>
          <w:sz w:val="22"/>
        </w:rPr>
        <w:t xml:space="preserve"> </w:t>
      </w:r>
      <w:r w:rsidR="00DE6A7F" w:rsidRPr="006E5888">
        <w:rPr>
          <w:b/>
          <w:sz w:val="22"/>
        </w:rPr>
        <w:t>un izglītojamo skaits</w:t>
      </w:r>
    </w:p>
    <w:p w:rsidR="00DE6A7F" w:rsidRPr="006E5888" w:rsidRDefault="00DE6A7F" w:rsidP="00DE6A7F">
      <w:pPr>
        <w:jc w:val="both"/>
      </w:pPr>
    </w:p>
    <w:p w:rsidR="00DE6A7F" w:rsidRPr="006E5888" w:rsidRDefault="00DE6A7F" w:rsidP="00DE6A7F">
      <w:pPr>
        <w:ind w:firstLine="720"/>
        <w:jc w:val="both"/>
      </w:pPr>
      <w:r w:rsidRPr="006E5888">
        <w:t>Vērtējot mērķdotācijas pašvaldībām izdevumu uz vienu izglītojamo, ir redzams, ka visdārgāk izmaksā izglītojamais pašvaldību speciālajās pirmsskolas izglītības iestādēs, internātskolās, attīstības un rehabilitācijas centros un speciālajās internātskolās. Tāda situācija veidojas, jo šajās izglītības iestādēs izglītojamam nepieciešama speciāla aprūpe, tomēr vienlaikus diskutējama ir situācija, vai finansējumam pedagogu darba samaksai šajās izglītības iestādēs uz vienu izglītojamo ir jābūt trīs reizes lielākam nekā finansējumam citās izglītības iestādēs.</w:t>
      </w:r>
    </w:p>
    <w:p w:rsidR="00DE6A7F" w:rsidRPr="006E5888" w:rsidRDefault="00DE6A7F" w:rsidP="00D663D0">
      <w:pPr>
        <w:spacing w:after="120"/>
        <w:ind w:firstLine="720"/>
        <w:jc w:val="both"/>
      </w:pPr>
      <w:r w:rsidRPr="006E5888">
        <w:t>IZM katru gadu</w:t>
      </w:r>
      <w:r w:rsidR="00205F79" w:rsidRPr="006E5888">
        <w:t>,</w:t>
      </w:r>
      <w:r w:rsidRPr="006E5888">
        <w:t xml:space="preserve"> aprēķinot mērķdotācijas sadalījumu pašvaldībām, norāda, ka tās rīcībā ir nepietiekoši līdzekļi, lai nodrošinātu </w:t>
      </w:r>
      <w:r w:rsidR="0088679A" w:rsidRPr="006E5888">
        <w:t>MK</w:t>
      </w:r>
      <w:r w:rsidRPr="006E5888">
        <w:t xml:space="preserve"> 2010.gada 31.augusta noteikumu Nr.825</w:t>
      </w:r>
      <w:r w:rsidR="0088679A" w:rsidRPr="006E5888">
        <w:rPr>
          <w:rStyle w:val="FootnoteReference"/>
        </w:rPr>
        <w:footnoteReference w:id="35"/>
      </w:r>
      <w:r w:rsidRPr="006E5888">
        <w:t xml:space="preserve"> noteikto normu izpildi 100 procentu apmērā attiecībā uz uzturēšanas izdevumiem.</w:t>
      </w:r>
    </w:p>
    <w:p w:rsidR="00DE6A7F" w:rsidRPr="006E5888" w:rsidRDefault="00DE6A7F" w:rsidP="0088679A">
      <w:pPr>
        <w:jc w:val="center"/>
      </w:pPr>
      <w:r w:rsidRPr="006E5888">
        <w:rPr>
          <w:noProof/>
          <w:lang w:eastAsia="lv-LV"/>
        </w:rPr>
        <w:drawing>
          <wp:inline distT="0" distB="0" distL="0" distR="0" wp14:anchorId="180E5FF7" wp14:editId="7A844ECF">
            <wp:extent cx="5732060" cy="3217146"/>
            <wp:effectExtent l="19050" t="19050" r="21590" b="2159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92590" cy="3251119"/>
                    </a:xfrm>
                    <a:prstGeom prst="rect">
                      <a:avLst/>
                    </a:prstGeom>
                    <a:noFill/>
                    <a:ln>
                      <a:solidFill>
                        <a:schemeClr val="bg1">
                          <a:lumMod val="85000"/>
                        </a:schemeClr>
                      </a:solidFill>
                    </a:ln>
                  </pic:spPr>
                </pic:pic>
              </a:graphicData>
            </a:graphic>
          </wp:inline>
        </w:drawing>
      </w:r>
    </w:p>
    <w:p w:rsidR="00DE6A7F" w:rsidRPr="006E5888" w:rsidRDefault="00205F79" w:rsidP="00DE6A7F">
      <w:pPr>
        <w:jc w:val="center"/>
      </w:pPr>
      <w:r w:rsidRPr="006E5888">
        <w:rPr>
          <w:rFonts w:cs="Times New Roman"/>
          <w:sz w:val="22"/>
        </w:rPr>
        <w:t>4</w:t>
      </w:r>
      <w:r w:rsidR="002B55B5" w:rsidRPr="006E5888">
        <w:rPr>
          <w:rFonts w:cs="Times New Roman"/>
          <w:sz w:val="22"/>
        </w:rPr>
        <w:t>7</w:t>
      </w:r>
      <w:r w:rsidR="0088679A" w:rsidRPr="006E5888">
        <w:rPr>
          <w:rFonts w:cs="Times New Roman"/>
          <w:sz w:val="22"/>
        </w:rPr>
        <w:t>.</w:t>
      </w:r>
      <w:r w:rsidR="0088679A" w:rsidRPr="006E5888">
        <w:rPr>
          <w:rFonts w:cs="Times New Roman"/>
          <w:i/>
          <w:sz w:val="22"/>
        </w:rPr>
        <w:t>att</w:t>
      </w:r>
      <w:r w:rsidR="0088679A" w:rsidRPr="006E5888">
        <w:rPr>
          <w:sz w:val="22"/>
        </w:rPr>
        <w:t xml:space="preserve">. </w:t>
      </w:r>
      <w:r w:rsidR="00DE6A7F" w:rsidRPr="006E5888">
        <w:rPr>
          <w:b/>
          <w:sz w:val="22"/>
        </w:rPr>
        <w:t>Mērķdotācijas pašvaldībām izdevumi u</w:t>
      </w:r>
      <w:r w:rsidR="005D4A8A" w:rsidRPr="006E5888">
        <w:rPr>
          <w:b/>
          <w:sz w:val="22"/>
        </w:rPr>
        <w:t>z</w:t>
      </w:r>
      <w:r w:rsidR="00DE6A7F" w:rsidRPr="006E5888">
        <w:rPr>
          <w:b/>
          <w:sz w:val="22"/>
        </w:rPr>
        <w:t xml:space="preserve"> </w:t>
      </w:r>
      <w:r w:rsidR="008B3E63" w:rsidRPr="006E5888">
        <w:rPr>
          <w:b/>
          <w:sz w:val="22"/>
        </w:rPr>
        <w:t xml:space="preserve">vienu </w:t>
      </w:r>
      <w:r w:rsidR="00DE6A7F" w:rsidRPr="006E5888">
        <w:rPr>
          <w:b/>
          <w:sz w:val="22"/>
        </w:rPr>
        <w:t xml:space="preserve">izglītojamo </w:t>
      </w:r>
      <w:r w:rsidR="008B3E63" w:rsidRPr="006E5888">
        <w:rPr>
          <w:sz w:val="22"/>
        </w:rPr>
        <w:t>(</w:t>
      </w:r>
      <w:proofErr w:type="spellStart"/>
      <w:r w:rsidR="005D4A8A" w:rsidRPr="006E5888">
        <w:rPr>
          <w:i/>
          <w:sz w:val="22"/>
        </w:rPr>
        <w:t>euro</w:t>
      </w:r>
      <w:proofErr w:type="spellEnd"/>
      <w:r w:rsidR="008B3E63" w:rsidRPr="006E5888">
        <w:rPr>
          <w:sz w:val="22"/>
        </w:rPr>
        <w:t>)</w:t>
      </w:r>
    </w:p>
    <w:p w:rsidR="00DE6A7F" w:rsidRPr="006E5888" w:rsidRDefault="00DE6A7F" w:rsidP="00DE6A7F">
      <w:pPr>
        <w:ind w:firstLine="720"/>
        <w:jc w:val="both"/>
      </w:pPr>
    </w:p>
    <w:p w:rsidR="00DE6A7F" w:rsidRPr="006E5888" w:rsidRDefault="00DE6A7F" w:rsidP="0022642C">
      <w:pPr>
        <w:ind w:firstLine="709"/>
        <w:jc w:val="both"/>
      </w:pPr>
      <w:r w:rsidRPr="006E5888">
        <w:t>Ņemot vērā uzturēšanas izdevumu apmēru uz vienu izglītojamo, kā arī pedagogu darba samaksai paredzētā finansējuma apmēru uz vienu izglītojamo salīdzinājumā ar citām izglītības iestādēm, kā viens no risinājumiem finansējuma efektīvākai izmantošanai ir optimizēt situāciju pieejamā finansējuma ietvaros, piemēram, pārskatot izstrādāto uzturēšanas izdevumu normatīvu, kā arī pārskatīt iepriekšminēto izglītības iestāžu tīklu, vai nepieciešams uzturēt līdzšinējo internātskolu skaitu un tamlīdzīgi.</w:t>
      </w:r>
    </w:p>
    <w:p w:rsidR="00DE6A7F" w:rsidRPr="006E5888" w:rsidRDefault="00DE6A7F" w:rsidP="00D663D0">
      <w:pPr>
        <w:spacing w:after="120"/>
        <w:ind w:firstLine="720"/>
        <w:jc w:val="both"/>
      </w:pPr>
      <w:r w:rsidRPr="006E5888">
        <w:t>Vienlaikus, atgriežoties pie jautājuma par pedagogu skaitu izglītības iestādēs, kas pēdējos gados ir mēreni palielinājies, šobrīd ir izveidojusies situācija, ka vispārējās izglītības iestādēs pedagogi tiek nodarbināti gan ar pilnu slodzi, gan arī ma</w:t>
      </w:r>
      <w:r w:rsidR="00D663D0" w:rsidRPr="006E5888">
        <w:t xml:space="preserve">zāk un vairāk kā vienu slodzi. </w:t>
      </w:r>
    </w:p>
    <w:p w:rsidR="00DE6A7F" w:rsidRPr="006E5888" w:rsidRDefault="001B4AA5" w:rsidP="00DE6A7F">
      <w:pPr>
        <w:jc w:val="center"/>
      </w:pPr>
      <w:r w:rsidRPr="006E5888">
        <w:rPr>
          <w:noProof/>
          <w:lang w:eastAsia="lv-LV"/>
        </w:rPr>
        <w:drawing>
          <wp:inline distT="0" distB="0" distL="0" distR="0" wp14:anchorId="40D0515D" wp14:editId="12CE217F">
            <wp:extent cx="5559552" cy="3330193"/>
            <wp:effectExtent l="0" t="0" r="3175" b="381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88036" cy="3347255"/>
                    </a:xfrm>
                    <a:prstGeom prst="rect">
                      <a:avLst/>
                    </a:prstGeom>
                    <a:noFill/>
                  </pic:spPr>
                </pic:pic>
              </a:graphicData>
            </a:graphic>
          </wp:inline>
        </w:drawing>
      </w:r>
    </w:p>
    <w:p w:rsidR="001B4AA5" w:rsidRPr="006E5888" w:rsidRDefault="00205F79" w:rsidP="00D663D0">
      <w:pPr>
        <w:spacing w:before="120" w:after="120"/>
        <w:jc w:val="center"/>
        <w:rPr>
          <w:sz w:val="22"/>
        </w:rPr>
      </w:pPr>
      <w:r w:rsidRPr="006E5888">
        <w:rPr>
          <w:rFonts w:cs="Times New Roman"/>
          <w:sz w:val="22"/>
        </w:rPr>
        <w:t>4</w:t>
      </w:r>
      <w:r w:rsidR="00EC6BFB" w:rsidRPr="006E5888">
        <w:rPr>
          <w:rFonts w:cs="Times New Roman"/>
          <w:sz w:val="22"/>
        </w:rPr>
        <w:t>8</w:t>
      </w:r>
      <w:r w:rsidR="001B4AA5" w:rsidRPr="006E5888">
        <w:rPr>
          <w:rFonts w:cs="Times New Roman"/>
          <w:sz w:val="22"/>
        </w:rPr>
        <w:t>.</w:t>
      </w:r>
      <w:r w:rsidR="001B4AA5" w:rsidRPr="006E5888">
        <w:rPr>
          <w:rFonts w:cs="Times New Roman"/>
          <w:i/>
          <w:sz w:val="22"/>
        </w:rPr>
        <w:t>att</w:t>
      </w:r>
      <w:r w:rsidR="001B4AA5" w:rsidRPr="006E5888">
        <w:rPr>
          <w:sz w:val="22"/>
        </w:rPr>
        <w:t xml:space="preserve">. </w:t>
      </w:r>
      <w:r w:rsidR="00DE6A7F" w:rsidRPr="006E5888">
        <w:rPr>
          <w:b/>
          <w:sz w:val="22"/>
        </w:rPr>
        <w:t>Vispārizglītojošo izglītības iestāžu pedagogu skaits sadalījumā pa darba slodzēm</w:t>
      </w:r>
      <w:r w:rsidR="00DE6A7F" w:rsidRPr="006E5888">
        <w:rPr>
          <w:rStyle w:val="FootnoteReference"/>
          <w:sz w:val="22"/>
        </w:rPr>
        <w:footnoteReference w:id="36"/>
      </w:r>
    </w:p>
    <w:p w:rsidR="00DE6A7F" w:rsidRPr="006E5888" w:rsidRDefault="00DE6A7F" w:rsidP="00DE6A7F">
      <w:pPr>
        <w:ind w:firstLine="720"/>
        <w:jc w:val="both"/>
      </w:pPr>
      <w:r w:rsidRPr="006E5888">
        <w:t>Pedagogu nodarbināšana nepilnas vai vairāk kā vienas slodzes apmērā ir vispārēji sastopama darba organizācijas sastāvdaļa, tomēr, ņemot vērā izveidojušos situāciju, ka 2015./2016. mācību gadā pedagogi, kas strādā vienu līdz pusotru slodzi ir tikai 33,3% no visiem pedagogiem, kamēr 66,7% no visiem pedagogiem strādā vai nu mazāk kā vienu slodzi (30,8%) vai vairāk kā pusotru slodzi (35,9%), rodas jautājums, kā izglītības kvalitātes nodrošināšanā tiek ievērota vienlīdzība pedagogu noslogotībā (piemēram, vai noguris pedagogs var nodrošināt nepieciešamo izglītības kvalitāti). Turklāt</w:t>
      </w:r>
      <w:r w:rsidR="00205F79" w:rsidRPr="006E5888">
        <w:t>,</w:t>
      </w:r>
      <w:r w:rsidRPr="006E5888">
        <w:t xml:space="preserve"> analizējot pedagogu skaita tendences pa gadiem saistībā ar vispārējo pedagogu skaita  palielinājumu, ir novērojams, ka tieši nepilnas slodzes pedagogu skaits kopš 2012.gada ir pakāpeniski palielinājies (tātad palielinās mazāk atalgoto pedagogu skaits).</w:t>
      </w:r>
    </w:p>
    <w:p w:rsidR="00DE6A7F" w:rsidRPr="006E5888" w:rsidRDefault="00DE6A7F" w:rsidP="00DE6A7F">
      <w:pPr>
        <w:ind w:firstLine="720"/>
        <w:jc w:val="both"/>
      </w:pPr>
      <w:r w:rsidRPr="006E5888">
        <w:t>Vienlaikus</w:t>
      </w:r>
      <w:r w:rsidR="00205F79" w:rsidRPr="006E5888">
        <w:t>,</w:t>
      </w:r>
      <w:r w:rsidRPr="006E5888">
        <w:t xml:space="preserve"> analizējot pedagogu darba slodzes situāciju sadalījumā pa novadiem un republikas pilsētām, vairāk kā puse pedagogu ir nodarbināti novados, no kuriem augstākais īpatsvars Rīgas reģionā (25,3%). Novados augstākais īpatsvars nepilnas slodzes pedagogiem ir Vidzemes reģionā (24,5%), vienlaikus tas ir augsts arī Rīgas reģionā (21,2%), un augstākais īpatsvars pedagogiem, kas nodarbināti vairāk kā pusotru slodzi, ir Rīgas reģionā (31,7%). </w:t>
      </w:r>
    </w:p>
    <w:p w:rsidR="00DE6A7F" w:rsidRPr="006E5888" w:rsidRDefault="00DE6A7F" w:rsidP="00DE6A7F">
      <w:pPr>
        <w:ind w:firstLine="720"/>
        <w:jc w:val="right"/>
      </w:pPr>
    </w:p>
    <w:p w:rsidR="00904E80" w:rsidRPr="006E5888" w:rsidRDefault="00904E80" w:rsidP="00DE6A7F">
      <w:pPr>
        <w:ind w:firstLine="720"/>
        <w:jc w:val="right"/>
      </w:pPr>
    </w:p>
    <w:p w:rsidR="00D663D0" w:rsidRPr="006E5888" w:rsidRDefault="00D663D0" w:rsidP="00DE6A7F">
      <w:pPr>
        <w:ind w:firstLine="720"/>
        <w:jc w:val="right"/>
      </w:pPr>
    </w:p>
    <w:p w:rsidR="00DE6A7F" w:rsidRPr="006E5888" w:rsidRDefault="00DE6A7F" w:rsidP="00DC394F">
      <w:pPr>
        <w:spacing w:after="120"/>
        <w:ind w:firstLine="720"/>
        <w:jc w:val="right"/>
      </w:pPr>
      <w:r w:rsidRPr="006E5888">
        <w:lastRenderedPageBreak/>
        <w:t>Tabula Nr.1</w:t>
      </w:r>
      <w:r w:rsidR="003F7196" w:rsidRPr="006E5888">
        <w:t>7</w:t>
      </w:r>
    </w:p>
    <w:p w:rsidR="00DE6A7F" w:rsidRPr="006E5888" w:rsidRDefault="00DE6A7F" w:rsidP="00DE6A7F">
      <w:pPr>
        <w:jc w:val="center"/>
      </w:pPr>
      <w:r w:rsidRPr="006E5888">
        <w:t>Vispārizglītojošo izglītības iestāžu pedagogu skaits sadalījumā pa darba slodzēm novados (t.sk. reģionos) un republikas pilsētās</w:t>
      </w:r>
    </w:p>
    <w:tbl>
      <w:tblPr>
        <w:tblW w:w="9067" w:type="dxa"/>
        <w:jc w:val="center"/>
        <w:tblLook w:val="04A0" w:firstRow="1" w:lastRow="0" w:firstColumn="1" w:lastColumn="0" w:noHBand="0" w:noVBand="1"/>
      </w:tblPr>
      <w:tblGrid>
        <w:gridCol w:w="2547"/>
        <w:gridCol w:w="1843"/>
        <w:gridCol w:w="1275"/>
        <w:gridCol w:w="1134"/>
        <w:gridCol w:w="1134"/>
        <w:gridCol w:w="1134"/>
      </w:tblGrid>
      <w:tr w:rsidR="00DE6A7F" w:rsidRPr="006E5888" w:rsidTr="004032E9">
        <w:trPr>
          <w:trHeight w:val="20"/>
          <w:tblHeader/>
          <w:jc w:val="center"/>
        </w:trPr>
        <w:tc>
          <w:tcPr>
            <w:tcW w:w="439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DE6A7F" w:rsidRPr="006E5888" w:rsidRDefault="00DE6A7F" w:rsidP="004032E9">
            <w:pPr>
              <w:jc w:val="center"/>
              <w:rPr>
                <w:b/>
                <w:sz w:val="22"/>
                <w:lang w:eastAsia="lv-LV"/>
              </w:rPr>
            </w:pPr>
            <w:r w:rsidRPr="006E5888">
              <w:rPr>
                <w:b/>
                <w:sz w:val="22"/>
              </w:rPr>
              <w:t>2015./2016. māc. gads</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rsidR="00DE6A7F" w:rsidRPr="006E5888" w:rsidRDefault="00DE6A7F" w:rsidP="004032E9">
            <w:pPr>
              <w:jc w:val="center"/>
              <w:rPr>
                <w:b/>
                <w:sz w:val="22"/>
              </w:rPr>
            </w:pPr>
            <w:r w:rsidRPr="006E5888">
              <w:rPr>
                <w:b/>
                <w:sz w:val="22"/>
              </w:rPr>
              <w:t>Darba slodze &lt;1,0</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rsidR="00DE6A7F" w:rsidRPr="006E5888" w:rsidRDefault="00DE6A7F" w:rsidP="004032E9">
            <w:pPr>
              <w:jc w:val="center"/>
              <w:rPr>
                <w:b/>
                <w:sz w:val="22"/>
              </w:rPr>
            </w:pPr>
            <w:r w:rsidRPr="006E5888">
              <w:rPr>
                <w:b/>
                <w:sz w:val="22"/>
              </w:rPr>
              <w:t>Darba slodze 1,0-1,5</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rsidR="00DE6A7F" w:rsidRPr="006E5888" w:rsidRDefault="00DE6A7F" w:rsidP="004032E9">
            <w:pPr>
              <w:jc w:val="center"/>
              <w:rPr>
                <w:b/>
                <w:sz w:val="22"/>
              </w:rPr>
            </w:pPr>
            <w:r w:rsidRPr="006E5888">
              <w:rPr>
                <w:b/>
                <w:sz w:val="22"/>
              </w:rPr>
              <w:t>Darba slodze &gt;1,5</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rsidR="00DE6A7F" w:rsidRPr="006E5888" w:rsidRDefault="00DE6A7F" w:rsidP="004032E9">
            <w:pPr>
              <w:jc w:val="center"/>
              <w:rPr>
                <w:b/>
                <w:sz w:val="22"/>
              </w:rPr>
            </w:pPr>
            <w:r w:rsidRPr="006E5888">
              <w:rPr>
                <w:b/>
                <w:sz w:val="22"/>
              </w:rPr>
              <w:t>KOPĀ</w:t>
            </w:r>
          </w:p>
        </w:tc>
      </w:tr>
      <w:tr w:rsidR="00DE6A7F" w:rsidRPr="006E5888" w:rsidTr="004032E9">
        <w:trPr>
          <w:trHeight w:val="20"/>
          <w:jc w:val="center"/>
        </w:trPr>
        <w:tc>
          <w:tcPr>
            <w:tcW w:w="43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6A7F" w:rsidRPr="006E5888" w:rsidRDefault="00DE6A7F" w:rsidP="004032E9">
            <w:pPr>
              <w:jc w:val="both"/>
              <w:rPr>
                <w:sz w:val="22"/>
              </w:rPr>
            </w:pPr>
            <w:r w:rsidRPr="006E5888">
              <w:rPr>
                <w:sz w:val="22"/>
              </w:rPr>
              <w:t>Vispārizglītojošo izglītības iestāžu pedagogu skaits</w:t>
            </w:r>
          </w:p>
        </w:tc>
        <w:tc>
          <w:tcPr>
            <w:tcW w:w="1275"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sz w:val="22"/>
              </w:rPr>
            </w:pPr>
            <w:r w:rsidRPr="006E5888">
              <w:rPr>
                <w:sz w:val="22"/>
              </w:rPr>
              <w:t>9 333</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sz w:val="22"/>
              </w:rPr>
            </w:pPr>
            <w:r w:rsidRPr="006E5888">
              <w:rPr>
                <w:sz w:val="22"/>
              </w:rPr>
              <w:t>10 051</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sz w:val="22"/>
              </w:rPr>
            </w:pPr>
            <w:r w:rsidRPr="006E5888">
              <w:rPr>
                <w:sz w:val="22"/>
              </w:rPr>
              <w:t>10 209</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sz w:val="22"/>
              </w:rPr>
            </w:pPr>
            <w:r w:rsidRPr="006E5888">
              <w:rPr>
                <w:sz w:val="22"/>
              </w:rPr>
              <w:t>29 593</w:t>
            </w:r>
          </w:p>
        </w:tc>
      </w:tr>
      <w:tr w:rsidR="00DE6A7F" w:rsidRPr="006E5888" w:rsidTr="004032E9">
        <w:trPr>
          <w:trHeight w:val="20"/>
          <w:jc w:val="center"/>
        </w:trPr>
        <w:tc>
          <w:tcPr>
            <w:tcW w:w="2547" w:type="dxa"/>
            <w:vMerge w:val="restart"/>
            <w:tcBorders>
              <w:top w:val="nil"/>
              <w:left w:val="single" w:sz="4" w:space="0" w:color="auto"/>
              <w:bottom w:val="single" w:sz="4" w:space="0" w:color="auto"/>
              <w:right w:val="single" w:sz="4" w:space="0" w:color="auto"/>
            </w:tcBorders>
            <w:shd w:val="clear" w:color="auto" w:fill="auto"/>
            <w:vAlign w:val="center"/>
            <w:hideMark/>
          </w:tcPr>
          <w:p w:rsidR="00DE6A7F" w:rsidRPr="006E5888" w:rsidRDefault="00DE6A7F" w:rsidP="004032E9">
            <w:pPr>
              <w:rPr>
                <w:sz w:val="22"/>
              </w:rPr>
            </w:pPr>
            <w:r w:rsidRPr="006E5888">
              <w:rPr>
                <w:sz w:val="22"/>
              </w:rPr>
              <w:t>t.sk. novados</w:t>
            </w:r>
          </w:p>
        </w:tc>
        <w:tc>
          <w:tcPr>
            <w:tcW w:w="1843"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rPr>
                <w:sz w:val="22"/>
              </w:rPr>
            </w:pPr>
            <w:r w:rsidRPr="006E5888">
              <w:rPr>
                <w:sz w:val="22"/>
              </w:rPr>
              <w:t>skaits</w:t>
            </w:r>
          </w:p>
        </w:tc>
        <w:tc>
          <w:tcPr>
            <w:tcW w:w="1275"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sz w:val="22"/>
              </w:rPr>
            </w:pPr>
            <w:r w:rsidRPr="006E5888">
              <w:rPr>
                <w:sz w:val="22"/>
              </w:rPr>
              <w:t>5 665</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sz w:val="22"/>
              </w:rPr>
            </w:pPr>
            <w:r w:rsidRPr="006E5888">
              <w:rPr>
                <w:sz w:val="22"/>
              </w:rPr>
              <w:t>5 717</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sz w:val="22"/>
              </w:rPr>
            </w:pPr>
            <w:r w:rsidRPr="006E5888">
              <w:rPr>
                <w:sz w:val="22"/>
              </w:rPr>
              <w:t>5 284</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sz w:val="22"/>
              </w:rPr>
            </w:pPr>
            <w:r w:rsidRPr="006E5888">
              <w:rPr>
                <w:sz w:val="22"/>
              </w:rPr>
              <w:t>16 666</w:t>
            </w:r>
          </w:p>
        </w:tc>
      </w:tr>
      <w:tr w:rsidR="00DE6A7F" w:rsidRPr="006E5888" w:rsidTr="004032E9">
        <w:trPr>
          <w:trHeight w:val="20"/>
          <w:jc w:val="center"/>
        </w:trPr>
        <w:tc>
          <w:tcPr>
            <w:tcW w:w="2547" w:type="dxa"/>
            <w:vMerge/>
            <w:tcBorders>
              <w:top w:val="nil"/>
              <w:left w:val="single" w:sz="4" w:space="0" w:color="auto"/>
              <w:bottom w:val="single" w:sz="4" w:space="0" w:color="auto"/>
              <w:right w:val="single" w:sz="4" w:space="0" w:color="auto"/>
            </w:tcBorders>
            <w:vAlign w:val="center"/>
            <w:hideMark/>
          </w:tcPr>
          <w:p w:rsidR="00DE6A7F" w:rsidRPr="006E5888" w:rsidRDefault="00DE6A7F" w:rsidP="004032E9">
            <w:pPr>
              <w:rPr>
                <w:sz w:val="22"/>
              </w:rPr>
            </w:pPr>
          </w:p>
        </w:tc>
        <w:tc>
          <w:tcPr>
            <w:tcW w:w="1843"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rPr>
                <w:i/>
                <w:iCs/>
                <w:sz w:val="22"/>
              </w:rPr>
            </w:pPr>
            <w:r w:rsidRPr="006E5888">
              <w:rPr>
                <w:i/>
                <w:iCs/>
                <w:sz w:val="22"/>
              </w:rPr>
              <w:t>% no kopējiem</w:t>
            </w:r>
          </w:p>
        </w:tc>
        <w:tc>
          <w:tcPr>
            <w:tcW w:w="1275"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60,7%</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56,9%</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51,8%</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56,3%</w:t>
            </w:r>
          </w:p>
        </w:tc>
      </w:tr>
      <w:tr w:rsidR="00DE6A7F" w:rsidRPr="006E5888" w:rsidTr="004032E9">
        <w:trPr>
          <w:trHeight w:val="20"/>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E6A7F" w:rsidRPr="006E5888" w:rsidRDefault="00DE6A7F" w:rsidP="004032E9">
            <w:pPr>
              <w:jc w:val="right"/>
              <w:rPr>
                <w:sz w:val="22"/>
              </w:rPr>
            </w:pPr>
            <w:r w:rsidRPr="006E5888">
              <w:rPr>
                <w:sz w:val="22"/>
              </w:rPr>
              <w:t>t.sk. Kurzemes reģions</w:t>
            </w:r>
          </w:p>
        </w:tc>
        <w:tc>
          <w:tcPr>
            <w:tcW w:w="1843"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 no novadiem</w:t>
            </w:r>
          </w:p>
        </w:tc>
        <w:tc>
          <w:tcPr>
            <w:tcW w:w="1275"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18,1%</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17,1%</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16,1%</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17,1%</w:t>
            </w:r>
          </w:p>
        </w:tc>
      </w:tr>
      <w:tr w:rsidR="00DE6A7F" w:rsidRPr="006E5888" w:rsidTr="004032E9">
        <w:trPr>
          <w:trHeight w:val="20"/>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E6A7F" w:rsidRPr="006E5888" w:rsidRDefault="00DE6A7F" w:rsidP="004032E9">
            <w:pPr>
              <w:jc w:val="right"/>
              <w:rPr>
                <w:sz w:val="22"/>
              </w:rPr>
            </w:pPr>
            <w:r w:rsidRPr="006E5888">
              <w:rPr>
                <w:sz w:val="22"/>
              </w:rPr>
              <w:t>t.sk. Latgales reģions</w:t>
            </w:r>
          </w:p>
        </w:tc>
        <w:tc>
          <w:tcPr>
            <w:tcW w:w="1843"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 no novadiem</w:t>
            </w:r>
          </w:p>
        </w:tc>
        <w:tc>
          <w:tcPr>
            <w:tcW w:w="1275"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17,6%</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20,0%</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16,8%</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18,2%</w:t>
            </w:r>
          </w:p>
        </w:tc>
      </w:tr>
      <w:tr w:rsidR="00DE6A7F" w:rsidRPr="006E5888" w:rsidTr="004032E9">
        <w:trPr>
          <w:trHeight w:val="20"/>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E6A7F" w:rsidRPr="006E5888" w:rsidRDefault="00DE6A7F" w:rsidP="004032E9">
            <w:pPr>
              <w:jc w:val="right"/>
              <w:rPr>
                <w:sz w:val="22"/>
              </w:rPr>
            </w:pPr>
            <w:r w:rsidRPr="006E5888">
              <w:rPr>
                <w:sz w:val="22"/>
              </w:rPr>
              <w:t>t.sk. Rīgas reģions</w:t>
            </w:r>
          </w:p>
        </w:tc>
        <w:tc>
          <w:tcPr>
            <w:tcW w:w="1843"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 no novadiem</w:t>
            </w:r>
          </w:p>
        </w:tc>
        <w:tc>
          <w:tcPr>
            <w:tcW w:w="1275"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21,2%</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23,5%</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31,7%</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25,3%</w:t>
            </w:r>
          </w:p>
        </w:tc>
      </w:tr>
      <w:tr w:rsidR="00DE6A7F" w:rsidRPr="006E5888" w:rsidTr="004032E9">
        <w:trPr>
          <w:trHeight w:val="20"/>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E6A7F" w:rsidRPr="006E5888" w:rsidRDefault="00DE6A7F" w:rsidP="004032E9">
            <w:pPr>
              <w:jc w:val="right"/>
              <w:rPr>
                <w:sz w:val="22"/>
              </w:rPr>
            </w:pPr>
            <w:r w:rsidRPr="006E5888">
              <w:rPr>
                <w:sz w:val="22"/>
              </w:rPr>
              <w:t>t.sk. Vidzemes reģions</w:t>
            </w:r>
          </w:p>
        </w:tc>
        <w:tc>
          <w:tcPr>
            <w:tcW w:w="1843"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 no novadiem</w:t>
            </w:r>
          </w:p>
        </w:tc>
        <w:tc>
          <w:tcPr>
            <w:tcW w:w="1275"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24,5%</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22,1%</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16,5%</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21,2%</w:t>
            </w:r>
          </w:p>
        </w:tc>
      </w:tr>
      <w:tr w:rsidR="00DE6A7F" w:rsidRPr="006E5888" w:rsidTr="004032E9">
        <w:trPr>
          <w:trHeight w:val="20"/>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E6A7F" w:rsidRPr="006E5888" w:rsidRDefault="00DE6A7F" w:rsidP="004032E9">
            <w:pPr>
              <w:jc w:val="right"/>
              <w:rPr>
                <w:sz w:val="22"/>
              </w:rPr>
            </w:pPr>
            <w:r w:rsidRPr="006E5888">
              <w:rPr>
                <w:sz w:val="22"/>
              </w:rPr>
              <w:t>t.sk. Zemgales reģions</w:t>
            </w:r>
          </w:p>
        </w:tc>
        <w:tc>
          <w:tcPr>
            <w:tcW w:w="1843"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 no novadiem</w:t>
            </w:r>
          </w:p>
        </w:tc>
        <w:tc>
          <w:tcPr>
            <w:tcW w:w="1275"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18,5%</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17,4%</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18,8%</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18,2%</w:t>
            </w:r>
          </w:p>
        </w:tc>
      </w:tr>
      <w:tr w:rsidR="00DE6A7F" w:rsidRPr="006E5888" w:rsidTr="004032E9">
        <w:trPr>
          <w:trHeight w:val="20"/>
          <w:jc w:val="center"/>
        </w:trPr>
        <w:tc>
          <w:tcPr>
            <w:tcW w:w="2547" w:type="dxa"/>
            <w:vMerge w:val="restart"/>
            <w:tcBorders>
              <w:top w:val="nil"/>
              <w:left w:val="single" w:sz="4" w:space="0" w:color="auto"/>
              <w:bottom w:val="single" w:sz="4" w:space="0" w:color="auto"/>
              <w:right w:val="single" w:sz="4" w:space="0" w:color="auto"/>
            </w:tcBorders>
            <w:shd w:val="clear" w:color="auto" w:fill="auto"/>
            <w:vAlign w:val="center"/>
            <w:hideMark/>
          </w:tcPr>
          <w:p w:rsidR="00DE6A7F" w:rsidRPr="006E5888" w:rsidRDefault="00DE6A7F" w:rsidP="004032E9">
            <w:pPr>
              <w:rPr>
                <w:sz w:val="22"/>
              </w:rPr>
            </w:pPr>
            <w:r w:rsidRPr="006E5888">
              <w:rPr>
                <w:sz w:val="22"/>
              </w:rPr>
              <w:t>t.sk. republikas nozīmes pilsētās</w:t>
            </w:r>
          </w:p>
        </w:tc>
        <w:tc>
          <w:tcPr>
            <w:tcW w:w="1843"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rPr>
                <w:sz w:val="22"/>
              </w:rPr>
            </w:pPr>
            <w:r w:rsidRPr="006E5888">
              <w:rPr>
                <w:sz w:val="22"/>
              </w:rPr>
              <w:t>skaits</w:t>
            </w:r>
          </w:p>
        </w:tc>
        <w:tc>
          <w:tcPr>
            <w:tcW w:w="1275"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sz w:val="22"/>
              </w:rPr>
            </w:pPr>
            <w:r w:rsidRPr="006E5888">
              <w:rPr>
                <w:sz w:val="22"/>
              </w:rPr>
              <w:t>3 668</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sz w:val="22"/>
              </w:rPr>
            </w:pPr>
            <w:r w:rsidRPr="006E5888">
              <w:rPr>
                <w:sz w:val="22"/>
              </w:rPr>
              <w:t>4 334</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sz w:val="22"/>
              </w:rPr>
            </w:pPr>
            <w:r w:rsidRPr="006E5888">
              <w:rPr>
                <w:sz w:val="22"/>
              </w:rPr>
              <w:t>4 925</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sz w:val="22"/>
              </w:rPr>
            </w:pPr>
            <w:r w:rsidRPr="006E5888">
              <w:rPr>
                <w:sz w:val="22"/>
              </w:rPr>
              <w:t>12 927</w:t>
            </w:r>
          </w:p>
        </w:tc>
      </w:tr>
      <w:tr w:rsidR="00DE6A7F" w:rsidRPr="006E5888" w:rsidTr="004032E9">
        <w:trPr>
          <w:trHeight w:val="20"/>
          <w:jc w:val="center"/>
        </w:trPr>
        <w:tc>
          <w:tcPr>
            <w:tcW w:w="2547" w:type="dxa"/>
            <w:vMerge/>
            <w:tcBorders>
              <w:top w:val="nil"/>
              <w:left w:val="single" w:sz="4" w:space="0" w:color="auto"/>
              <w:bottom w:val="single" w:sz="4" w:space="0" w:color="auto"/>
              <w:right w:val="single" w:sz="4" w:space="0" w:color="auto"/>
            </w:tcBorders>
            <w:vAlign w:val="center"/>
            <w:hideMark/>
          </w:tcPr>
          <w:p w:rsidR="00DE6A7F" w:rsidRPr="006E5888" w:rsidRDefault="00DE6A7F" w:rsidP="004032E9">
            <w:pPr>
              <w:rPr>
                <w:sz w:val="22"/>
              </w:rPr>
            </w:pPr>
          </w:p>
        </w:tc>
        <w:tc>
          <w:tcPr>
            <w:tcW w:w="1843"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rPr>
                <w:i/>
                <w:iCs/>
                <w:sz w:val="22"/>
              </w:rPr>
            </w:pPr>
            <w:r w:rsidRPr="006E5888">
              <w:rPr>
                <w:i/>
                <w:iCs/>
                <w:sz w:val="22"/>
              </w:rPr>
              <w:t>% no kopējiem</w:t>
            </w:r>
          </w:p>
        </w:tc>
        <w:tc>
          <w:tcPr>
            <w:tcW w:w="1275"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39,3%</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43,1%</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48,2%</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43,7%</w:t>
            </w:r>
          </w:p>
        </w:tc>
      </w:tr>
      <w:tr w:rsidR="00DE6A7F" w:rsidRPr="006E5888" w:rsidTr="004032E9">
        <w:trPr>
          <w:trHeight w:val="20"/>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DE6A7F" w:rsidRPr="006E5888" w:rsidRDefault="00DE6A7F" w:rsidP="004032E9">
            <w:pPr>
              <w:jc w:val="right"/>
              <w:rPr>
                <w:sz w:val="22"/>
              </w:rPr>
            </w:pPr>
            <w:r w:rsidRPr="006E5888">
              <w:rPr>
                <w:sz w:val="22"/>
              </w:rPr>
              <w:t>t.sk. Rīga</w:t>
            </w:r>
          </w:p>
        </w:tc>
        <w:tc>
          <w:tcPr>
            <w:tcW w:w="1843"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 no rep. noz. pils.</w:t>
            </w:r>
          </w:p>
        </w:tc>
        <w:tc>
          <w:tcPr>
            <w:tcW w:w="1275"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62,4%</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60,2%</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63,6%</w:t>
            </w:r>
          </w:p>
        </w:tc>
        <w:tc>
          <w:tcPr>
            <w:tcW w:w="1134" w:type="dxa"/>
            <w:tcBorders>
              <w:top w:val="nil"/>
              <w:left w:val="nil"/>
              <w:bottom w:val="single" w:sz="4" w:space="0" w:color="auto"/>
              <w:right w:val="single" w:sz="4" w:space="0" w:color="auto"/>
            </w:tcBorders>
            <w:shd w:val="clear" w:color="auto" w:fill="auto"/>
            <w:vAlign w:val="center"/>
            <w:hideMark/>
          </w:tcPr>
          <w:p w:rsidR="00DE6A7F" w:rsidRPr="006E5888" w:rsidRDefault="00DE6A7F" w:rsidP="004032E9">
            <w:pPr>
              <w:jc w:val="right"/>
              <w:rPr>
                <w:i/>
                <w:iCs/>
                <w:sz w:val="22"/>
              </w:rPr>
            </w:pPr>
            <w:r w:rsidRPr="006E5888">
              <w:rPr>
                <w:i/>
                <w:iCs/>
                <w:sz w:val="22"/>
              </w:rPr>
              <w:t>62,1%</w:t>
            </w:r>
          </w:p>
        </w:tc>
      </w:tr>
    </w:tbl>
    <w:p w:rsidR="00DE6A7F" w:rsidRPr="006E5888" w:rsidRDefault="00DE6A7F" w:rsidP="00DE6A7F">
      <w:pPr>
        <w:ind w:firstLine="720"/>
        <w:jc w:val="both"/>
      </w:pPr>
    </w:p>
    <w:p w:rsidR="00DE6A7F" w:rsidRPr="006E5888" w:rsidRDefault="00DE6A7F" w:rsidP="00DE6A7F">
      <w:pPr>
        <w:ind w:firstLine="720"/>
        <w:jc w:val="both"/>
      </w:pPr>
      <w:r w:rsidRPr="006E5888">
        <w:t xml:space="preserve">Ņemot vērā, ka IZM šobrīd turpina darbu pie jauna pedagogu darba samaksas modeļa izstrādes, modeļa izstrādes ietvaros nepieciešams ieviest tādas normas, kas ciešāk sasaistītu izlietotā finansējuma un tā raksturojošo rādītāju sasaisti, paredzētu normas adekvātai izglītojamo un pedagogu skaita attiecībai, kā arī vienlaikus risināt jautājumu par pedagogu noslodzi, lai neveidotos nevienlīdzība pedagogu starpā attiecībā uz nostrādātajām stundām un saņemto atalgojumu, tādējādi radot finansējuma iekšējās rezerves, lai nodrošinātu pedagoga individuālo atalgojuma pieaugumu. Papildus iekšējām finansējuma rezervēm pedagogu darba samaksas reformas ieviešanai valsts, pašvaldību un privātajās izglītības iestādēs saskaņā ar likuma “Par valsts budžetu 2016.gadam” 58.pantu no 2016.gada 1.septembra valsts budžeta resorā “74. Gadskārtējā valsts budžeta izpildes procesā pārdalāmais finansējums” ir rezervēts finansējums 2016.gada četriem mēnešiem 9 000 000 </w:t>
      </w:r>
      <w:proofErr w:type="spellStart"/>
      <w:r w:rsidRPr="006E5888">
        <w:rPr>
          <w:i/>
        </w:rPr>
        <w:t>euro</w:t>
      </w:r>
      <w:proofErr w:type="spellEnd"/>
      <w:r w:rsidRPr="006E5888">
        <w:t xml:space="preserve"> apmērā, paredzot, ka finansējuma apmērs tiks precizēts atbilstoši IZM veiktajiem aprēķiniem, nepārsniedzot rezervēto summu.</w:t>
      </w:r>
    </w:p>
    <w:p w:rsidR="001B4AA5" w:rsidRPr="006E5888" w:rsidRDefault="001B4AA5" w:rsidP="001B4AA5">
      <w:pPr>
        <w:jc w:val="both"/>
        <w:rPr>
          <w:b/>
        </w:rPr>
      </w:pPr>
    </w:p>
    <w:p w:rsidR="00DE6A7F" w:rsidRPr="006E5888" w:rsidRDefault="00DE6A7F" w:rsidP="001B4AA5">
      <w:pPr>
        <w:jc w:val="both"/>
        <w:rPr>
          <w:b/>
        </w:rPr>
      </w:pPr>
      <w:r w:rsidRPr="006E5888">
        <w:rPr>
          <w:b/>
        </w:rPr>
        <w:t>6.2.2. Valsts budžeta izdevumi vispārējai izglītībai no IZM resora budžeta programmas “Vispārējā izglītība”</w:t>
      </w:r>
    </w:p>
    <w:p w:rsidR="00DE6A7F" w:rsidRPr="006E5888" w:rsidRDefault="00DE6A7F" w:rsidP="00DE6A7F">
      <w:pPr>
        <w:ind w:firstLine="720"/>
        <w:jc w:val="both"/>
      </w:pPr>
    </w:p>
    <w:p w:rsidR="00DE6A7F" w:rsidRPr="006E5888" w:rsidRDefault="00584435" w:rsidP="00DE6A7F">
      <w:pPr>
        <w:ind w:firstLine="720"/>
        <w:jc w:val="both"/>
      </w:pPr>
      <w:r w:rsidRPr="006E5888">
        <w:t>No IZM</w:t>
      </w:r>
      <w:r w:rsidR="00DE6A7F" w:rsidRPr="006E5888">
        <w:t xml:space="preserve"> vispārējai izglītībai finansējums tiek nodrošināts:</w:t>
      </w:r>
    </w:p>
    <w:p w:rsidR="00DE6A7F" w:rsidRPr="006E5888" w:rsidRDefault="00DE6A7F" w:rsidP="00B756BC">
      <w:pPr>
        <w:pStyle w:val="ListParagraph"/>
        <w:numPr>
          <w:ilvl w:val="0"/>
          <w:numId w:val="23"/>
        </w:numPr>
        <w:jc w:val="both"/>
      </w:pPr>
      <w:r w:rsidRPr="006E5888">
        <w:t>sociālās korekcijas izglītības iestādes “Naukšēni” uzturēšanai, pedagogu darba samaksai un valsts sociālās apdrošināšanas obligātajām iemaksām;</w:t>
      </w:r>
    </w:p>
    <w:p w:rsidR="00DE6A7F" w:rsidRPr="006E5888" w:rsidRDefault="00DE6A7F" w:rsidP="00B756BC">
      <w:pPr>
        <w:pStyle w:val="ListParagraph"/>
        <w:numPr>
          <w:ilvl w:val="0"/>
          <w:numId w:val="23"/>
        </w:numPr>
        <w:jc w:val="both"/>
      </w:pPr>
      <w:r w:rsidRPr="006E5888">
        <w:t>dotācijai privātajām mācību iestādēm pedagogu darba samaksai un valsts sociālās apdrošināšanas obligātajām iemaksām;</w:t>
      </w:r>
    </w:p>
    <w:p w:rsidR="00DE6A7F" w:rsidRPr="006E5888" w:rsidRDefault="00DE6A7F" w:rsidP="00B756BC">
      <w:pPr>
        <w:pStyle w:val="ListParagraph"/>
        <w:numPr>
          <w:ilvl w:val="0"/>
          <w:numId w:val="23"/>
        </w:numPr>
        <w:jc w:val="both"/>
      </w:pPr>
      <w:r w:rsidRPr="006E5888">
        <w:t>brīvpusdienu nodrošināšanai 1.,2.,3. un 4. klases izglītojamiem;</w:t>
      </w:r>
    </w:p>
    <w:p w:rsidR="00DE6A7F" w:rsidRPr="006E5888" w:rsidRDefault="00DE6A7F" w:rsidP="00B756BC">
      <w:pPr>
        <w:pStyle w:val="ListParagraph"/>
        <w:numPr>
          <w:ilvl w:val="0"/>
          <w:numId w:val="23"/>
        </w:numPr>
        <w:jc w:val="both"/>
      </w:pPr>
      <w:r w:rsidRPr="006E5888">
        <w:t>vispārējās izglītības atbalsta pasākumiem;</w:t>
      </w:r>
    </w:p>
    <w:p w:rsidR="00DE6A7F" w:rsidRPr="006E5888" w:rsidRDefault="00DE6A7F" w:rsidP="00B756BC">
      <w:pPr>
        <w:pStyle w:val="ListParagraph"/>
        <w:numPr>
          <w:ilvl w:val="0"/>
          <w:numId w:val="23"/>
        </w:numPr>
        <w:jc w:val="both"/>
      </w:pPr>
      <w:r w:rsidRPr="006E5888">
        <w:t>pedagogu profesionālās kompetences pilnveidošanai;</w:t>
      </w:r>
    </w:p>
    <w:p w:rsidR="00DE6A7F" w:rsidRPr="006E5888" w:rsidRDefault="00DE6A7F" w:rsidP="00B756BC">
      <w:pPr>
        <w:pStyle w:val="ListParagraph"/>
        <w:numPr>
          <w:ilvl w:val="0"/>
          <w:numId w:val="23"/>
        </w:numPr>
        <w:jc w:val="both"/>
      </w:pPr>
      <w:r w:rsidRPr="006E5888">
        <w:t>mācību līdzekļu iegādei.</w:t>
      </w:r>
    </w:p>
    <w:p w:rsidR="00DE6A7F" w:rsidRPr="006E5888" w:rsidRDefault="00DE6A7F" w:rsidP="00B24028">
      <w:pPr>
        <w:spacing w:before="120" w:after="120"/>
        <w:ind w:firstLine="720"/>
        <w:jc w:val="both"/>
      </w:pPr>
      <w:r w:rsidRPr="006E5888">
        <w:t>Analizējot iepriekš</w:t>
      </w:r>
      <w:r w:rsidR="00584435" w:rsidRPr="006E5888">
        <w:t xml:space="preserve"> </w:t>
      </w:r>
      <w:r w:rsidRPr="006E5888">
        <w:t>minētos izdevumus</w:t>
      </w:r>
      <w:r w:rsidR="00584435" w:rsidRPr="006E5888">
        <w:t>,</w:t>
      </w:r>
      <w:r w:rsidRPr="006E5888">
        <w:t xml:space="preserve"> tika secināts, ka sociālās korekcijas izglītības iestādes “Naukšēni” nodrošinātais finansējums laika periodā no 2013. līdz 2015.gadam veido situāciju, ka vidējie izdevumi uz 1 izglītojamo gadā sasniedz 26 346 </w:t>
      </w:r>
      <w:proofErr w:type="spellStart"/>
      <w:r w:rsidRPr="006E5888">
        <w:rPr>
          <w:i/>
        </w:rPr>
        <w:t>euro</w:t>
      </w:r>
      <w:proofErr w:type="spellEnd"/>
      <w:r w:rsidRPr="006E5888">
        <w:t>. Lai arī izglītības iestāde ir sociālās korekcijas iestāde, kurā izglītojamiem nepieciešams nodrošināt īpašus apstākļus, tomēr izmaksas uz vienu izglītojamo ir vērtējamas kā ļoti augstas, tādā veidā rosinot diskutēt, vai piešķirtie līdzekļi tiek izmantoti racionāli.</w:t>
      </w:r>
    </w:p>
    <w:p w:rsidR="00DE6A7F" w:rsidRPr="006E5888" w:rsidRDefault="00B24028" w:rsidP="00B24028">
      <w:pPr>
        <w:jc w:val="center"/>
      </w:pPr>
      <w:r w:rsidRPr="006E5888">
        <w:rPr>
          <w:noProof/>
          <w:lang w:eastAsia="lv-LV"/>
        </w:rPr>
        <w:lastRenderedPageBreak/>
        <w:drawing>
          <wp:inline distT="0" distB="0" distL="0" distR="0" wp14:anchorId="2F365814" wp14:editId="52DDC723">
            <wp:extent cx="5284521" cy="3185477"/>
            <wp:effectExtent l="19050" t="19050" r="11430" b="1524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302778" cy="3196482"/>
                    </a:xfrm>
                    <a:prstGeom prst="rect">
                      <a:avLst/>
                    </a:prstGeom>
                    <a:noFill/>
                    <a:ln>
                      <a:solidFill>
                        <a:schemeClr val="bg1">
                          <a:lumMod val="85000"/>
                        </a:schemeClr>
                      </a:solidFill>
                    </a:ln>
                  </pic:spPr>
                </pic:pic>
              </a:graphicData>
            </a:graphic>
          </wp:inline>
        </w:drawing>
      </w:r>
    </w:p>
    <w:p w:rsidR="00DE6A7F" w:rsidRPr="006E5888" w:rsidRDefault="00137C9D" w:rsidP="00EC6BFB">
      <w:pPr>
        <w:spacing w:before="120"/>
        <w:jc w:val="center"/>
        <w:rPr>
          <w:sz w:val="22"/>
        </w:rPr>
      </w:pPr>
      <w:r w:rsidRPr="006E5888">
        <w:rPr>
          <w:rFonts w:cs="Times New Roman"/>
          <w:sz w:val="22"/>
        </w:rPr>
        <w:t>4</w:t>
      </w:r>
      <w:r w:rsidR="00EC6BFB" w:rsidRPr="006E5888">
        <w:rPr>
          <w:rFonts w:cs="Times New Roman"/>
          <w:sz w:val="22"/>
        </w:rPr>
        <w:t>9</w:t>
      </w:r>
      <w:r w:rsidR="009C6382" w:rsidRPr="006E5888">
        <w:rPr>
          <w:rFonts w:cs="Times New Roman"/>
          <w:sz w:val="22"/>
        </w:rPr>
        <w:t>.</w:t>
      </w:r>
      <w:r w:rsidR="009C6382" w:rsidRPr="006E5888">
        <w:rPr>
          <w:rFonts w:cs="Times New Roman"/>
          <w:i/>
          <w:sz w:val="22"/>
        </w:rPr>
        <w:t>att</w:t>
      </w:r>
      <w:r w:rsidR="009C6382" w:rsidRPr="006E5888">
        <w:rPr>
          <w:sz w:val="22"/>
        </w:rPr>
        <w:t xml:space="preserve">. </w:t>
      </w:r>
      <w:r w:rsidR="00DE6A7F" w:rsidRPr="006E5888">
        <w:rPr>
          <w:b/>
          <w:sz w:val="22"/>
        </w:rPr>
        <w:t>Izdevumi un izglītojamo skaits sociālās korekcijas izglītības iestādes “Naukšēni”</w:t>
      </w:r>
      <w:r w:rsidR="00DE6A7F" w:rsidRPr="006E5888">
        <w:rPr>
          <w:sz w:val="22"/>
        </w:rPr>
        <w:t xml:space="preserve"> </w:t>
      </w:r>
      <w:r w:rsidR="00DE6A7F" w:rsidRPr="006E5888">
        <w:rPr>
          <w:rStyle w:val="FootnoteReference"/>
          <w:sz w:val="22"/>
        </w:rPr>
        <w:footnoteReference w:id="37"/>
      </w:r>
    </w:p>
    <w:p w:rsidR="00DE6A7F" w:rsidRPr="006E5888" w:rsidRDefault="00DE6A7F" w:rsidP="00DE6A7F">
      <w:pPr>
        <w:jc w:val="both"/>
      </w:pPr>
      <w:r w:rsidRPr="006E5888">
        <w:tab/>
      </w:r>
    </w:p>
    <w:p w:rsidR="00DE6A7F" w:rsidRPr="006E5888" w:rsidRDefault="00DE6A7F" w:rsidP="00EC6BFB">
      <w:pPr>
        <w:ind w:firstLine="720"/>
        <w:jc w:val="both"/>
      </w:pPr>
      <w:r w:rsidRPr="006E5888">
        <w:t>Savukārt attiecībā uz brīvpusdienu nodrošināšanu 1.,</w:t>
      </w:r>
      <w:r w:rsidR="00B24028" w:rsidRPr="006E5888">
        <w:t xml:space="preserve"> </w:t>
      </w:r>
      <w:r w:rsidRPr="006E5888">
        <w:t>2.,</w:t>
      </w:r>
      <w:r w:rsidR="00B24028" w:rsidRPr="006E5888">
        <w:t xml:space="preserve"> </w:t>
      </w:r>
      <w:r w:rsidR="00D37593" w:rsidRPr="006E5888">
        <w:t>3. un 4.</w:t>
      </w:r>
      <w:r w:rsidRPr="006E5888">
        <w:t>klases izglītojamiem, neskatoties uz to, ka mērķim tika piešķirts papildu finansējums jauno politikas iniciatīvu ietvaros, daļa šim mērķim paredzēto izdevumu gan 2015.gadā, gan 2016.gada tika novirzīti citiem mērķiem, tādējādi norādot, ka plānotais finansējuma apmērs ietver rezerves, ko ir ies</w:t>
      </w:r>
      <w:r w:rsidR="00EC6BFB" w:rsidRPr="006E5888">
        <w:t>pējams pārdalīt citiem mērķiem.</w:t>
      </w:r>
    </w:p>
    <w:p w:rsidR="00DE6A7F" w:rsidRPr="006E5888" w:rsidRDefault="00DE6A7F" w:rsidP="00EC6BFB">
      <w:pPr>
        <w:spacing w:before="120" w:after="120"/>
        <w:ind w:firstLine="720"/>
        <w:jc w:val="both"/>
        <w:rPr>
          <w:b/>
        </w:rPr>
      </w:pPr>
      <w:r w:rsidRPr="006E5888">
        <w:rPr>
          <w:b/>
        </w:rPr>
        <w:t>6.2.3. Valsts budžeta izdevumi profesion</w:t>
      </w:r>
      <w:r w:rsidR="00EC6BFB" w:rsidRPr="006E5888">
        <w:rPr>
          <w:b/>
        </w:rPr>
        <w:t>ālās izglītības mācību iestādēm</w:t>
      </w:r>
    </w:p>
    <w:p w:rsidR="00DE6A7F" w:rsidRPr="006E5888" w:rsidRDefault="00DE6A7F" w:rsidP="00DE6A7F">
      <w:pPr>
        <w:ind w:firstLine="720"/>
        <w:jc w:val="both"/>
      </w:pPr>
      <w:r w:rsidRPr="006E5888">
        <w:t xml:space="preserve">Profesionālās izglītības iestādes ir gan IZM pakļautībā, gan Kultūras ministrijas, gan pašvaldību pakļautībā, attiecīgi finansējums pedagogu darba samaksai tiek nodrošināts gan no IZM resora, gan no </w:t>
      </w:r>
      <w:r w:rsidR="00D37593" w:rsidRPr="006E5888">
        <w:t>KM</w:t>
      </w:r>
      <w:r w:rsidRPr="006E5888">
        <w:t xml:space="preserve">, gan no 62.resora “Mērķdotācijas pašvaldībām”. Vienlaikus izglītības iestāžu uzturēšanas izmaksas IZM pakļautībā esošajām profesionālās izglītības iestādēm tiek segtas no IZM resora līdzekļiem, savukārt </w:t>
      </w:r>
      <w:r w:rsidR="000D6301" w:rsidRPr="006E5888">
        <w:t>KM</w:t>
      </w:r>
      <w:r w:rsidRPr="006E5888">
        <w:t xml:space="preserve"> pakļautībā esošajām profesionālās izglītības iestādēm tiek segtas no </w:t>
      </w:r>
      <w:r w:rsidR="000D6301" w:rsidRPr="006E5888">
        <w:t>KM</w:t>
      </w:r>
      <w:r w:rsidRPr="006E5888">
        <w:t xml:space="preserve"> līdzekļiem un pašvaldību pakļautībā esošajām profesionālās izglītības iestādēm no pašvaldību budžeta līdzekļiem, izņemot atsevišķas profesionālās izglītības iestādes, par kurām pieņemti </w:t>
      </w:r>
      <w:r w:rsidR="000D6301" w:rsidRPr="006E5888">
        <w:t>MK</w:t>
      </w:r>
      <w:r w:rsidRPr="006E5888">
        <w:t xml:space="preserve"> lēmumi par to uzturēšanas izdevumu finansēšanu no IZM līdzekļiem līdz 2016.gada 31.augustam (šim mērķim IZM budžeta apakšprogrammā 02.01.00 “Profesionālās izglītības programmu īstenošana” ir plānots finansējums 1 255 400 </w:t>
      </w:r>
      <w:proofErr w:type="spellStart"/>
      <w:r w:rsidRPr="006E5888">
        <w:rPr>
          <w:i/>
        </w:rPr>
        <w:t>euro</w:t>
      </w:r>
      <w:proofErr w:type="spellEnd"/>
      <w:r w:rsidRPr="006E5888">
        <w:t xml:space="preserve"> apmērā 2016. un turpmākajos gados). </w:t>
      </w:r>
    </w:p>
    <w:p w:rsidR="00DE6A7F" w:rsidRPr="006E5888" w:rsidRDefault="00DE6A7F" w:rsidP="00DE6A7F">
      <w:pPr>
        <w:ind w:firstLine="720"/>
        <w:jc w:val="both"/>
      </w:pPr>
      <w:r w:rsidRPr="006E5888">
        <w:t>Saskaņā ar Izglītības attīstības pamatnostādnēm 2014.</w:t>
      </w:r>
      <w:r w:rsidR="00EC6BFB" w:rsidRPr="006E5888">
        <w:t>–</w:t>
      </w:r>
      <w:r w:rsidRPr="006E5888">
        <w:t>2020.gadam IZM ir iecerējusi meklēt kompleksus risinājumus profesionālās izglītības pievilcības sekmēšanai, palielinot audzēkņu skaitu profesionālajās vidējās izglītības programmās, kā arī mazinot to audzēkņu skaitu profesionālajās vidējās izglītības iestādēs, kuri ir atskaitīti nesekmības vai nodarbību neapmeklēšanas dēļ, tādā veidā rodot iespēju paplašināt izglītojamo spēju elastīgi reaģēt konkurences apstākļos un veicinātu dzīves līmeņa paaugstināšanos, it sevišķi specifiskām izglītojamo grupām, piemēram, priekšlaicīgi mācības pārtraukušajiem, migrantiem, personām ar invaliditāti u.c. Vienlaikus IZM vairākkārt informējusi, ka tā īsteno profesionālo izglītības iestāžu reformu, pārskatot šo izglītības iestāžu tīklu, paredzot atsevišķu izglītības iestāžu likvidāciju, tādā veidā optimizējot pieejamo līdzekļu izlietojumu.</w:t>
      </w:r>
    </w:p>
    <w:p w:rsidR="00DE6A7F" w:rsidRPr="006E5888" w:rsidRDefault="00A115F2" w:rsidP="002C269C">
      <w:pPr>
        <w:ind w:firstLine="720"/>
        <w:jc w:val="both"/>
      </w:pPr>
      <w:r w:rsidRPr="006E5888">
        <w:rPr>
          <w:b/>
          <w:noProof/>
          <w:lang w:eastAsia="lv-LV"/>
        </w:rPr>
        <w:lastRenderedPageBreak/>
        <w:drawing>
          <wp:anchor distT="0" distB="0" distL="114300" distR="114300" simplePos="0" relativeHeight="251710464" behindDoc="0" locked="0" layoutInCell="1" allowOverlap="1" wp14:anchorId="42AC7D24" wp14:editId="6E49A9A3">
            <wp:simplePos x="0" y="0"/>
            <wp:positionH relativeFrom="margin">
              <wp:align>right</wp:align>
            </wp:positionH>
            <wp:positionV relativeFrom="page">
              <wp:posOffset>1513891</wp:posOffset>
            </wp:positionV>
            <wp:extent cx="2763520" cy="2355215"/>
            <wp:effectExtent l="0" t="0" r="0" b="6985"/>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63520" cy="2355215"/>
                    </a:xfrm>
                    <a:prstGeom prst="rect">
                      <a:avLst/>
                    </a:prstGeom>
                    <a:noFill/>
                  </pic:spPr>
                </pic:pic>
              </a:graphicData>
            </a:graphic>
            <wp14:sizeRelH relativeFrom="margin">
              <wp14:pctWidth>0</wp14:pctWidth>
            </wp14:sizeRelH>
            <wp14:sizeRelV relativeFrom="margin">
              <wp14:pctHeight>0</wp14:pctHeight>
            </wp14:sizeRelV>
          </wp:anchor>
        </w:drawing>
      </w:r>
      <w:r w:rsidR="00B567D1" w:rsidRPr="006E5888">
        <w:rPr>
          <w:b/>
          <w:noProof/>
          <w:lang w:eastAsia="lv-LV"/>
        </w:rPr>
        <w:drawing>
          <wp:anchor distT="0" distB="0" distL="114300" distR="114300" simplePos="0" relativeHeight="251709440" behindDoc="0" locked="0" layoutInCell="1" allowOverlap="1" wp14:anchorId="2035F486" wp14:editId="50F26CE7">
            <wp:simplePos x="0" y="0"/>
            <wp:positionH relativeFrom="margin">
              <wp:align>left</wp:align>
            </wp:positionH>
            <wp:positionV relativeFrom="paragraph">
              <wp:posOffset>721360</wp:posOffset>
            </wp:positionV>
            <wp:extent cx="3104515" cy="2332990"/>
            <wp:effectExtent l="19050" t="19050" r="19685" b="1016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104515" cy="2332990"/>
                    </a:xfrm>
                    <a:prstGeom prst="rect">
                      <a:avLst/>
                    </a:prstGeom>
                    <a:noFill/>
                    <a:ln>
                      <a:solidFill>
                        <a:schemeClr val="bg1">
                          <a:lumMod val="85000"/>
                        </a:schemeClr>
                      </a:solidFill>
                    </a:ln>
                  </pic:spPr>
                </pic:pic>
              </a:graphicData>
            </a:graphic>
            <wp14:sizeRelV relativeFrom="margin">
              <wp14:pctHeight>0</wp14:pctHeight>
            </wp14:sizeRelV>
          </wp:anchor>
        </w:drawing>
      </w:r>
      <w:r w:rsidR="00DE6A7F" w:rsidRPr="006E5888">
        <w:t>Līdz 2014.gadam profesionālās izglītības iestādēs izglītojamo (audzēkņu) un pedagoģisko darbinieku skaits pēdējos gados ir samazinājies, tomēr izglītojamo (audzēkņu) skaits ir samazinājies straujāk, jo samazinājusies arī izglītojamo (audzēkņu) attiecība pret vienu pedagoģisko darbinieku.</w:t>
      </w:r>
    </w:p>
    <w:p w:rsidR="00DE6A7F" w:rsidRPr="006E5888" w:rsidRDefault="00DE6A7F" w:rsidP="00DE6A7F">
      <w:pPr>
        <w:jc w:val="both"/>
        <w:rPr>
          <w:b/>
        </w:rPr>
      </w:pPr>
    </w:p>
    <w:p w:rsidR="00DE6A7F" w:rsidRPr="006E5888" w:rsidRDefault="009F6012" w:rsidP="00DE6A7F">
      <w:pPr>
        <w:jc w:val="center"/>
      </w:pPr>
      <w:r w:rsidRPr="006E5888">
        <w:rPr>
          <w:rFonts w:cs="Times New Roman"/>
          <w:sz w:val="22"/>
        </w:rPr>
        <w:t>50</w:t>
      </w:r>
      <w:r w:rsidR="00F90876" w:rsidRPr="006E5888">
        <w:rPr>
          <w:rFonts w:cs="Times New Roman"/>
          <w:sz w:val="22"/>
        </w:rPr>
        <w:t>.</w:t>
      </w:r>
      <w:r w:rsidR="00F90876" w:rsidRPr="006E5888">
        <w:rPr>
          <w:rFonts w:cs="Times New Roman"/>
          <w:i/>
          <w:sz w:val="22"/>
        </w:rPr>
        <w:t>att</w:t>
      </w:r>
      <w:r w:rsidR="00F90876" w:rsidRPr="006E5888">
        <w:rPr>
          <w:sz w:val="22"/>
        </w:rPr>
        <w:t xml:space="preserve">. </w:t>
      </w:r>
      <w:r w:rsidR="00DE6A7F" w:rsidRPr="006E5888">
        <w:rPr>
          <w:b/>
          <w:sz w:val="22"/>
        </w:rPr>
        <w:t>Audzēkņu un pedagoģisko darbinieku skaits un to attiecība</w:t>
      </w:r>
      <w:r w:rsidR="00DE6A7F" w:rsidRPr="006E5888">
        <w:rPr>
          <w:rStyle w:val="FootnoteReference"/>
          <w:sz w:val="22"/>
        </w:rPr>
        <w:footnoteReference w:id="38"/>
      </w:r>
    </w:p>
    <w:p w:rsidR="002C269C" w:rsidRPr="006E5888" w:rsidRDefault="002C269C" w:rsidP="002C269C">
      <w:pPr>
        <w:jc w:val="center"/>
        <w:rPr>
          <w:sz w:val="8"/>
          <w:szCs w:val="8"/>
        </w:rPr>
      </w:pPr>
    </w:p>
    <w:p w:rsidR="00DE6A7F" w:rsidRPr="006E5888" w:rsidRDefault="00DE6A7F" w:rsidP="00695609">
      <w:pPr>
        <w:spacing w:before="120"/>
        <w:ind w:firstLine="720"/>
        <w:jc w:val="both"/>
      </w:pPr>
      <w:r w:rsidRPr="006E5888">
        <w:t>Vienlaikus IZM īstenotās reformas rezultātā arī profesionālo izglītības iestāžu skaits ir samazinājies no 66 izglītības iestādēm 2013./2014.mācību gadā uz 54 izglītības iestādēm 2015./2016. mācību gadā</w:t>
      </w:r>
      <w:r w:rsidRPr="006E5888">
        <w:rPr>
          <w:rStyle w:val="FootnoteReference"/>
        </w:rPr>
        <w:footnoteReference w:id="39"/>
      </w:r>
      <w:r w:rsidRPr="006E5888">
        <w:t>. Būtiski samazinājies tieši no IZM resora līdzekļiem finansēto izglītības iestāžu skaits, kas varētu liecināt par iespējamo līdzekļu ietaupījumu.</w:t>
      </w:r>
    </w:p>
    <w:p w:rsidR="00DE6A7F" w:rsidRPr="006E5888" w:rsidRDefault="00DE6A7F" w:rsidP="00E566B6">
      <w:pPr>
        <w:spacing w:before="120" w:after="120"/>
        <w:jc w:val="right"/>
      </w:pPr>
      <w:r w:rsidRPr="006E5888">
        <w:t>Tabula Nr.</w:t>
      </w:r>
      <w:r w:rsidR="003F7196" w:rsidRPr="006E5888">
        <w:t>18</w:t>
      </w:r>
    </w:p>
    <w:p w:rsidR="00DE6A7F" w:rsidRPr="006E5888" w:rsidRDefault="00DE6A7F" w:rsidP="00DE6A7F">
      <w:pPr>
        <w:jc w:val="center"/>
      </w:pPr>
      <w:r w:rsidRPr="006E5888">
        <w:t>Izglītības iestāžu skaits, kuras nodrošina profesionālās izglītības programmu īstenošanu no IZM resora līdzekļiem</w:t>
      </w:r>
      <w:r w:rsidRPr="006E5888">
        <w:rPr>
          <w:rStyle w:val="FootnoteReference"/>
        </w:rPr>
        <w:footnoteReference w:id="40"/>
      </w:r>
    </w:p>
    <w:tbl>
      <w:tblPr>
        <w:tblW w:w="9061" w:type="dxa"/>
        <w:jc w:val="center"/>
        <w:tblLook w:val="04A0" w:firstRow="1" w:lastRow="0" w:firstColumn="1" w:lastColumn="0" w:noHBand="0" w:noVBand="1"/>
      </w:tblPr>
      <w:tblGrid>
        <w:gridCol w:w="2846"/>
        <w:gridCol w:w="1196"/>
        <w:gridCol w:w="1201"/>
        <w:gridCol w:w="1291"/>
        <w:gridCol w:w="1281"/>
        <w:gridCol w:w="1246"/>
      </w:tblGrid>
      <w:tr w:rsidR="00DE6A7F" w:rsidRPr="006E5888" w:rsidTr="004032E9">
        <w:trPr>
          <w:trHeight w:val="20"/>
          <w:tblHeader/>
          <w:jc w:val="center"/>
        </w:trPr>
        <w:tc>
          <w:tcPr>
            <w:tcW w:w="284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DE6A7F" w:rsidRPr="006E5888" w:rsidRDefault="00DE6A7F" w:rsidP="00D81B30">
            <w:pPr>
              <w:rPr>
                <w:rFonts w:eastAsia="Times New Roman"/>
                <w:b/>
                <w:color w:val="000000"/>
                <w:szCs w:val="24"/>
                <w:lang w:eastAsia="lv-LV"/>
              </w:rPr>
            </w:pPr>
            <w:r w:rsidRPr="006E5888">
              <w:rPr>
                <w:rFonts w:eastAsia="Times New Roman"/>
                <w:b/>
                <w:color w:val="000000"/>
                <w:szCs w:val="24"/>
                <w:lang w:eastAsia="lv-LV"/>
              </w:rPr>
              <w:t> </w:t>
            </w:r>
          </w:p>
        </w:tc>
        <w:tc>
          <w:tcPr>
            <w:tcW w:w="1196" w:type="dxa"/>
            <w:tcBorders>
              <w:top w:val="single" w:sz="4" w:space="0" w:color="auto"/>
              <w:left w:val="nil"/>
              <w:bottom w:val="single" w:sz="4" w:space="0" w:color="auto"/>
              <w:right w:val="single" w:sz="4" w:space="0" w:color="auto"/>
            </w:tcBorders>
            <w:shd w:val="clear" w:color="000000" w:fill="D9D9D9"/>
            <w:noWrap/>
            <w:vAlign w:val="center"/>
            <w:hideMark/>
          </w:tcPr>
          <w:p w:rsidR="00DE6A7F" w:rsidRPr="006E5888" w:rsidRDefault="00984DC7" w:rsidP="00D81B30">
            <w:pPr>
              <w:jc w:val="center"/>
              <w:rPr>
                <w:rFonts w:eastAsia="Times New Roman"/>
                <w:b/>
                <w:color w:val="000000"/>
                <w:szCs w:val="24"/>
                <w:lang w:eastAsia="lv-LV"/>
              </w:rPr>
            </w:pPr>
            <w:r w:rsidRPr="006E5888">
              <w:rPr>
                <w:rFonts w:eastAsia="Times New Roman"/>
                <w:b/>
                <w:color w:val="000000"/>
                <w:szCs w:val="24"/>
                <w:lang w:eastAsia="lv-LV"/>
              </w:rPr>
              <w:t>2012</w:t>
            </w:r>
          </w:p>
        </w:tc>
        <w:tc>
          <w:tcPr>
            <w:tcW w:w="1201" w:type="dxa"/>
            <w:tcBorders>
              <w:top w:val="single" w:sz="4" w:space="0" w:color="auto"/>
              <w:left w:val="nil"/>
              <w:bottom w:val="single" w:sz="4" w:space="0" w:color="auto"/>
              <w:right w:val="single" w:sz="4" w:space="0" w:color="auto"/>
            </w:tcBorders>
            <w:shd w:val="clear" w:color="000000" w:fill="D9D9D9"/>
            <w:noWrap/>
            <w:vAlign w:val="center"/>
            <w:hideMark/>
          </w:tcPr>
          <w:p w:rsidR="00DE6A7F" w:rsidRPr="006E5888" w:rsidRDefault="00984DC7" w:rsidP="00D81B30">
            <w:pPr>
              <w:jc w:val="center"/>
              <w:rPr>
                <w:rFonts w:eastAsia="Times New Roman"/>
                <w:b/>
                <w:color w:val="000000"/>
                <w:szCs w:val="24"/>
                <w:lang w:eastAsia="lv-LV"/>
              </w:rPr>
            </w:pPr>
            <w:r w:rsidRPr="006E5888">
              <w:rPr>
                <w:rFonts w:eastAsia="Times New Roman"/>
                <w:b/>
                <w:color w:val="000000"/>
                <w:szCs w:val="24"/>
                <w:lang w:eastAsia="lv-LV"/>
              </w:rPr>
              <w:t>2013</w:t>
            </w:r>
          </w:p>
        </w:tc>
        <w:tc>
          <w:tcPr>
            <w:tcW w:w="1291" w:type="dxa"/>
            <w:tcBorders>
              <w:top w:val="single" w:sz="4" w:space="0" w:color="auto"/>
              <w:left w:val="nil"/>
              <w:bottom w:val="single" w:sz="4" w:space="0" w:color="auto"/>
              <w:right w:val="single" w:sz="4" w:space="0" w:color="auto"/>
            </w:tcBorders>
            <w:shd w:val="clear" w:color="000000" w:fill="D9D9D9"/>
            <w:noWrap/>
            <w:vAlign w:val="center"/>
            <w:hideMark/>
          </w:tcPr>
          <w:p w:rsidR="00DE6A7F" w:rsidRPr="006E5888" w:rsidRDefault="00DE6A7F" w:rsidP="00D81B30">
            <w:pPr>
              <w:jc w:val="center"/>
              <w:rPr>
                <w:rFonts w:eastAsia="Times New Roman"/>
                <w:b/>
                <w:color w:val="000000"/>
                <w:szCs w:val="24"/>
                <w:lang w:eastAsia="lv-LV"/>
              </w:rPr>
            </w:pPr>
            <w:r w:rsidRPr="006E5888">
              <w:rPr>
                <w:rFonts w:eastAsia="Times New Roman"/>
                <w:b/>
                <w:color w:val="000000"/>
                <w:szCs w:val="24"/>
                <w:lang w:eastAsia="lv-LV"/>
              </w:rPr>
              <w:t>2014</w:t>
            </w:r>
          </w:p>
        </w:tc>
        <w:tc>
          <w:tcPr>
            <w:tcW w:w="1281" w:type="dxa"/>
            <w:tcBorders>
              <w:top w:val="single" w:sz="4" w:space="0" w:color="auto"/>
              <w:left w:val="nil"/>
              <w:bottom w:val="single" w:sz="4" w:space="0" w:color="auto"/>
              <w:right w:val="single" w:sz="4" w:space="0" w:color="auto"/>
            </w:tcBorders>
            <w:shd w:val="clear" w:color="000000" w:fill="D9D9D9"/>
            <w:noWrap/>
            <w:vAlign w:val="center"/>
            <w:hideMark/>
          </w:tcPr>
          <w:p w:rsidR="00DE6A7F" w:rsidRPr="006E5888" w:rsidRDefault="00DE6A7F" w:rsidP="00D81B30">
            <w:pPr>
              <w:jc w:val="center"/>
              <w:rPr>
                <w:rFonts w:eastAsia="Times New Roman"/>
                <w:b/>
                <w:color w:val="000000"/>
                <w:szCs w:val="24"/>
                <w:lang w:eastAsia="lv-LV"/>
              </w:rPr>
            </w:pPr>
            <w:r w:rsidRPr="006E5888">
              <w:rPr>
                <w:rFonts w:eastAsia="Times New Roman"/>
                <w:b/>
                <w:color w:val="000000"/>
                <w:szCs w:val="24"/>
                <w:lang w:eastAsia="lv-LV"/>
              </w:rPr>
              <w:t>2015</w:t>
            </w:r>
          </w:p>
        </w:tc>
        <w:tc>
          <w:tcPr>
            <w:tcW w:w="1246" w:type="dxa"/>
            <w:tcBorders>
              <w:top w:val="single" w:sz="4" w:space="0" w:color="auto"/>
              <w:left w:val="nil"/>
              <w:bottom w:val="single" w:sz="4" w:space="0" w:color="auto"/>
              <w:right w:val="single" w:sz="4" w:space="0" w:color="auto"/>
            </w:tcBorders>
            <w:shd w:val="clear" w:color="000000" w:fill="D9D9D9"/>
            <w:noWrap/>
            <w:vAlign w:val="center"/>
            <w:hideMark/>
          </w:tcPr>
          <w:p w:rsidR="00DE6A7F" w:rsidRPr="006E5888" w:rsidRDefault="00DE6A7F" w:rsidP="00D81B30">
            <w:pPr>
              <w:jc w:val="center"/>
              <w:rPr>
                <w:rFonts w:eastAsia="Times New Roman"/>
                <w:b/>
                <w:color w:val="000000"/>
                <w:szCs w:val="24"/>
                <w:lang w:eastAsia="lv-LV"/>
              </w:rPr>
            </w:pPr>
            <w:r w:rsidRPr="006E5888">
              <w:rPr>
                <w:rFonts w:eastAsia="Times New Roman"/>
                <w:b/>
                <w:color w:val="000000"/>
                <w:szCs w:val="24"/>
                <w:lang w:eastAsia="lv-LV"/>
              </w:rPr>
              <w:t>2016</w:t>
            </w:r>
          </w:p>
        </w:tc>
      </w:tr>
      <w:tr w:rsidR="00DE6A7F" w:rsidRPr="006E5888" w:rsidTr="004032E9">
        <w:trPr>
          <w:trHeight w:val="20"/>
          <w:jc w:val="center"/>
        </w:trPr>
        <w:tc>
          <w:tcPr>
            <w:tcW w:w="2846" w:type="dxa"/>
            <w:tcBorders>
              <w:top w:val="nil"/>
              <w:left w:val="single" w:sz="4" w:space="0" w:color="auto"/>
              <w:bottom w:val="single" w:sz="4" w:space="0" w:color="auto"/>
              <w:right w:val="single" w:sz="4" w:space="0" w:color="auto"/>
            </w:tcBorders>
            <w:shd w:val="clear" w:color="auto" w:fill="auto"/>
            <w:vAlign w:val="center"/>
            <w:hideMark/>
          </w:tcPr>
          <w:p w:rsidR="00DE6A7F" w:rsidRPr="006E5888" w:rsidRDefault="00DE6A7F" w:rsidP="00D81B30">
            <w:pPr>
              <w:jc w:val="both"/>
              <w:rPr>
                <w:rFonts w:eastAsia="Times New Roman"/>
                <w:color w:val="000000"/>
                <w:szCs w:val="24"/>
                <w:lang w:eastAsia="lv-LV"/>
              </w:rPr>
            </w:pPr>
            <w:r w:rsidRPr="006E5888">
              <w:rPr>
                <w:rFonts w:eastAsia="Times New Roman"/>
                <w:color w:val="000000"/>
                <w:szCs w:val="24"/>
                <w:lang w:eastAsia="lv-LV"/>
              </w:rPr>
              <w:t>IZM profesionālās izglītības mācību iestādes</w:t>
            </w:r>
          </w:p>
        </w:tc>
        <w:tc>
          <w:tcPr>
            <w:tcW w:w="1196"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36</w:t>
            </w:r>
          </w:p>
        </w:tc>
        <w:tc>
          <w:tcPr>
            <w:tcW w:w="1201"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36</w:t>
            </w:r>
          </w:p>
        </w:tc>
        <w:tc>
          <w:tcPr>
            <w:tcW w:w="1291"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32</w:t>
            </w:r>
          </w:p>
        </w:tc>
        <w:tc>
          <w:tcPr>
            <w:tcW w:w="1281"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30</w:t>
            </w:r>
          </w:p>
        </w:tc>
        <w:tc>
          <w:tcPr>
            <w:tcW w:w="1246"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21</w:t>
            </w:r>
          </w:p>
        </w:tc>
      </w:tr>
      <w:tr w:rsidR="00DE6A7F" w:rsidRPr="006E5888" w:rsidTr="004032E9">
        <w:trPr>
          <w:trHeight w:val="20"/>
          <w:jc w:val="center"/>
        </w:trPr>
        <w:tc>
          <w:tcPr>
            <w:tcW w:w="2846" w:type="dxa"/>
            <w:tcBorders>
              <w:top w:val="nil"/>
              <w:left w:val="single" w:sz="4" w:space="0" w:color="auto"/>
              <w:bottom w:val="single" w:sz="4" w:space="0" w:color="auto"/>
              <w:right w:val="single" w:sz="4" w:space="0" w:color="auto"/>
            </w:tcBorders>
            <w:shd w:val="clear" w:color="auto" w:fill="auto"/>
            <w:noWrap/>
            <w:vAlign w:val="center"/>
            <w:hideMark/>
          </w:tcPr>
          <w:p w:rsidR="00DE6A7F" w:rsidRPr="006E5888" w:rsidRDefault="00DE6A7F" w:rsidP="00D81B30">
            <w:pPr>
              <w:jc w:val="both"/>
              <w:rPr>
                <w:rFonts w:eastAsia="Times New Roman"/>
                <w:color w:val="000000"/>
                <w:szCs w:val="24"/>
                <w:lang w:eastAsia="lv-LV"/>
              </w:rPr>
            </w:pPr>
            <w:r w:rsidRPr="006E5888">
              <w:rPr>
                <w:rFonts w:eastAsia="Times New Roman"/>
                <w:color w:val="000000"/>
                <w:szCs w:val="24"/>
                <w:lang w:eastAsia="lv-LV"/>
              </w:rPr>
              <w:t>Koledžas</w:t>
            </w:r>
          </w:p>
        </w:tc>
        <w:tc>
          <w:tcPr>
            <w:tcW w:w="1196"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9</w:t>
            </w:r>
          </w:p>
        </w:tc>
        <w:tc>
          <w:tcPr>
            <w:tcW w:w="1201"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9</w:t>
            </w:r>
          </w:p>
        </w:tc>
        <w:tc>
          <w:tcPr>
            <w:tcW w:w="1291"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9</w:t>
            </w:r>
          </w:p>
        </w:tc>
        <w:tc>
          <w:tcPr>
            <w:tcW w:w="1281"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8</w:t>
            </w:r>
          </w:p>
        </w:tc>
        <w:tc>
          <w:tcPr>
            <w:tcW w:w="1246"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8</w:t>
            </w:r>
          </w:p>
        </w:tc>
      </w:tr>
      <w:tr w:rsidR="00DE6A7F" w:rsidRPr="006E5888" w:rsidTr="004032E9">
        <w:trPr>
          <w:trHeight w:val="20"/>
          <w:jc w:val="center"/>
        </w:trPr>
        <w:tc>
          <w:tcPr>
            <w:tcW w:w="2846" w:type="dxa"/>
            <w:tcBorders>
              <w:top w:val="nil"/>
              <w:left w:val="single" w:sz="4" w:space="0" w:color="auto"/>
              <w:bottom w:val="single" w:sz="4" w:space="0" w:color="auto"/>
              <w:right w:val="single" w:sz="4" w:space="0" w:color="auto"/>
            </w:tcBorders>
            <w:shd w:val="clear" w:color="auto" w:fill="auto"/>
            <w:noWrap/>
            <w:vAlign w:val="center"/>
            <w:hideMark/>
          </w:tcPr>
          <w:p w:rsidR="00DE6A7F" w:rsidRPr="006E5888" w:rsidRDefault="00DE6A7F" w:rsidP="00D81B30">
            <w:pPr>
              <w:jc w:val="both"/>
              <w:rPr>
                <w:rFonts w:eastAsia="Times New Roman"/>
                <w:color w:val="000000"/>
                <w:szCs w:val="24"/>
                <w:lang w:eastAsia="lv-LV"/>
              </w:rPr>
            </w:pPr>
            <w:r w:rsidRPr="006E5888">
              <w:rPr>
                <w:rFonts w:eastAsia="Times New Roman"/>
                <w:color w:val="000000"/>
                <w:szCs w:val="24"/>
                <w:lang w:eastAsia="lv-LV"/>
              </w:rPr>
              <w:t>Augstskolas</w:t>
            </w:r>
          </w:p>
        </w:tc>
        <w:tc>
          <w:tcPr>
            <w:tcW w:w="1196"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1</w:t>
            </w:r>
          </w:p>
        </w:tc>
        <w:tc>
          <w:tcPr>
            <w:tcW w:w="1201"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1</w:t>
            </w:r>
          </w:p>
        </w:tc>
        <w:tc>
          <w:tcPr>
            <w:tcW w:w="1291"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1</w:t>
            </w:r>
          </w:p>
        </w:tc>
        <w:tc>
          <w:tcPr>
            <w:tcW w:w="1281"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2</w:t>
            </w:r>
          </w:p>
        </w:tc>
        <w:tc>
          <w:tcPr>
            <w:tcW w:w="1246"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2</w:t>
            </w:r>
          </w:p>
        </w:tc>
      </w:tr>
      <w:tr w:rsidR="00DE6A7F" w:rsidRPr="006E5888" w:rsidTr="004032E9">
        <w:trPr>
          <w:trHeight w:val="20"/>
          <w:jc w:val="center"/>
        </w:trPr>
        <w:tc>
          <w:tcPr>
            <w:tcW w:w="2846" w:type="dxa"/>
            <w:tcBorders>
              <w:top w:val="nil"/>
              <w:left w:val="single" w:sz="4" w:space="0" w:color="auto"/>
              <w:bottom w:val="single" w:sz="4" w:space="0" w:color="auto"/>
              <w:right w:val="single" w:sz="4" w:space="0" w:color="auto"/>
            </w:tcBorders>
            <w:shd w:val="clear" w:color="auto" w:fill="auto"/>
            <w:vAlign w:val="center"/>
            <w:hideMark/>
          </w:tcPr>
          <w:p w:rsidR="00DE6A7F" w:rsidRPr="006E5888" w:rsidRDefault="00DE6A7F" w:rsidP="00D81B30">
            <w:pPr>
              <w:jc w:val="both"/>
              <w:rPr>
                <w:rFonts w:eastAsia="Times New Roman"/>
                <w:color w:val="000000"/>
                <w:szCs w:val="24"/>
                <w:lang w:eastAsia="lv-LV"/>
              </w:rPr>
            </w:pPr>
            <w:r w:rsidRPr="006E5888">
              <w:rPr>
                <w:rFonts w:eastAsia="Times New Roman"/>
                <w:color w:val="000000"/>
                <w:szCs w:val="24"/>
                <w:lang w:eastAsia="lv-LV"/>
              </w:rPr>
              <w:t>Valsts kapitālsabiedrības</w:t>
            </w:r>
          </w:p>
        </w:tc>
        <w:tc>
          <w:tcPr>
            <w:tcW w:w="1196"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2</w:t>
            </w:r>
          </w:p>
        </w:tc>
        <w:tc>
          <w:tcPr>
            <w:tcW w:w="1201"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2</w:t>
            </w:r>
          </w:p>
        </w:tc>
        <w:tc>
          <w:tcPr>
            <w:tcW w:w="1291"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2</w:t>
            </w:r>
          </w:p>
        </w:tc>
        <w:tc>
          <w:tcPr>
            <w:tcW w:w="1281"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2</w:t>
            </w:r>
          </w:p>
        </w:tc>
        <w:tc>
          <w:tcPr>
            <w:tcW w:w="1246"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2</w:t>
            </w:r>
          </w:p>
        </w:tc>
      </w:tr>
      <w:tr w:rsidR="00DE6A7F" w:rsidRPr="006E5888" w:rsidTr="004032E9">
        <w:trPr>
          <w:trHeight w:val="20"/>
          <w:jc w:val="center"/>
        </w:trPr>
        <w:tc>
          <w:tcPr>
            <w:tcW w:w="2846" w:type="dxa"/>
            <w:tcBorders>
              <w:top w:val="nil"/>
              <w:left w:val="single" w:sz="4" w:space="0" w:color="auto"/>
              <w:bottom w:val="single" w:sz="4" w:space="0" w:color="auto"/>
              <w:right w:val="single" w:sz="4" w:space="0" w:color="auto"/>
            </w:tcBorders>
            <w:shd w:val="clear" w:color="auto" w:fill="auto"/>
            <w:vAlign w:val="center"/>
          </w:tcPr>
          <w:p w:rsidR="00DE6A7F" w:rsidRPr="006E5888" w:rsidRDefault="00DE6A7F" w:rsidP="00D81B30">
            <w:pPr>
              <w:jc w:val="right"/>
              <w:rPr>
                <w:rFonts w:eastAsia="Times New Roman"/>
                <w:b/>
                <w:color w:val="000000"/>
                <w:szCs w:val="24"/>
                <w:lang w:eastAsia="lv-LV"/>
              </w:rPr>
            </w:pPr>
            <w:r w:rsidRPr="006E5888">
              <w:rPr>
                <w:rFonts w:eastAsia="Times New Roman"/>
                <w:b/>
                <w:color w:val="000000"/>
                <w:szCs w:val="24"/>
                <w:lang w:eastAsia="lv-LV"/>
              </w:rPr>
              <w:t>KOPĀ</w:t>
            </w:r>
          </w:p>
        </w:tc>
        <w:tc>
          <w:tcPr>
            <w:tcW w:w="1196" w:type="dxa"/>
            <w:tcBorders>
              <w:top w:val="nil"/>
              <w:left w:val="nil"/>
              <w:bottom w:val="single" w:sz="4" w:space="0" w:color="auto"/>
              <w:right w:val="single" w:sz="4" w:space="0" w:color="auto"/>
            </w:tcBorders>
            <w:shd w:val="clear" w:color="auto" w:fill="auto"/>
            <w:noWrap/>
          </w:tcPr>
          <w:p w:rsidR="00DE6A7F" w:rsidRPr="006E5888" w:rsidRDefault="00DE6A7F" w:rsidP="00D81B30">
            <w:pPr>
              <w:jc w:val="right"/>
              <w:rPr>
                <w:b/>
                <w:szCs w:val="24"/>
              </w:rPr>
            </w:pPr>
            <w:r w:rsidRPr="006E5888">
              <w:rPr>
                <w:b/>
                <w:szCs w:val="24"/>
              </w:rPr>
              <w:t>48</w:t>
            </w:r>
          </w:p>
        </w:tc>
        <w:tc>
          <w:tcPr>
            <w:tcW w:w="1201" w:type="dxa"/>
            <w:tcBorders>
              <w:top w:val="nil"/>
              <w:left w:val="nil"/>
              <w:bottom w:val="single" w:sz="4" w:space="0" w:color="auto"/>
              <w:right w:val="single" w:sz="4" w:space="0" w:color="auto"/>
            </w:tcBorders>
            <w:shd w:val="clear" w:color="auto" w:fill="auto"/>
            <w:noWrap/>
          </w:tcPr>
          <w:p w:rsidR="00DE6A7F" w:rsidRPr="006E5888" w:rsidRDefault="00DE6A7F" w:rsidP="00D81B30">
            <w:pPr>
              <w:jc w:val="right"/>
              <w:rPr>
                <w:b/>
                <w:szCs w:val="24"/>
              </w:rPr>
            </w:pPr>
            <w:r w:rsidRPr="006E5888">
              <w:rPr>
                <w:b/>
                <w:szCs w:val="24"/>
              </w:rPr>
              <w:t>48</w:t>
            </w:r>
          </w:p>
        </w:tc>
        <w:tc>
          <w:tcPr>
            <w:tcW w:w="1291" w:type="dxa"/>
            <w:tcBorders>
              <w:top w:val="nil"/>
              <w:left w:val="nil"/>
              <w:bottom w:val="single" w:sz="4" w:space="0" w:color="auto"/>
              <w:right w:val="single" w:sz="4" w:space="0" w:color="auto"/>
            </w:tcBorders>
            <w:shd w:val="clear" w:color="auto" w:fill="auto"/>
            <w:noWrap/>
          </w:tcPr>
          <w:p w:rsidR="00DE6A7F" w:rsidRPr="006E5888" w:rsidRDefault="00DE6A7F" w:rsidP="00D81B30">
            <w:pPr>
              <w:jc w:val="right"/>
              <w:rPr>
                <w:b/>
                <w:szCs w:val="24"/>
              </w:rPr>
            </w:pPr>
            <w:r w:rsidRPr="006E5888">
              <w:rPr>
                <w:b/>
                <w:szCs w:val="24"/>
              </w:rPr>
              <w:t>44</w:t>
            </w:r>
          </w:p>
        </w:tc>
        <w:tc>
          <w:tcPr>
            <w:tcW w:w="1281" w:type="dxa"/>
            <w:tcBorders>
              <w:top w:val="nil"/>
              <w:left w:val="nil"/>
              <w:bottom w:val="single" w:sz="4" w:space="0" w:color="auto"/>
              <w:right w:val="single" w:sz="4" w:space="0" w:color="auto"/>
            </w:tcBorders>
            <w:shd w:val="clear" w:color="auto" w:fill="auto"/>
            <w:noWrap/>
          </w:tcPr>
          <w:p w:rsidR="00DE6A7F" w:rsidRPr="006E5888" w:rsidRDefault="00DE6A7F" w:rsidP="00D81B30">
            <w:pPr>
              <w:jc w:val="right"/>
              <w:rPr>
                <w:b/>
                <w:szCs w:val="24"/>
              </w:rPr>
            </w:pPr>
            <w:r w:rsidRPr="006E5888">
              <w:rPr>
                <w:b/>
                <w:szCs w:val="24"/>
              </w:rPr>
              <w:t>42</w:t>
            </w:r>
          </w:p>
        </w:tc>
        <w:tc>
          <w:tcPr>
            <w:tcW w:w="1246" w:type="dxa"/>
            <w:tcBorders>
              <w:top w:val="nil"/>
              <w:left w:val="nil"/>
              <w:bottom w:val="single" w:sz="4" w:space="0" w:color="auto"/>
              <w:right w:val="single" w:sz="4" w:space="0" w:color="auto"/>
            </w:tcBorders>
            <w:shd w:val="clear" w:color="auto" w:fill="auto"/>
            <w:noWrap/>
          </w:tcPr>
          <w:p w:rsidR="00DE6A7F" w:rsidRPr="006E5888" w:rsidRDefault="00DE6A7F" w:rsidP="00D81B30">
            <w:pPr>
              <w:jc w:val="right"/>
              <w:rPr>
                <w:b/>
                <w:szCs w:val="24"/>
              </w:rPr>
            </w:pPr>
            <w:r w:rsidRPr="006E5888">
              <w:rPr>
                <w:b/>
                <w:szCs w:val="24"/>
              </w:rPr>
              <w:t>33</w:t>
            </w:r>
          </w:p>
        </w:tc>
      </w:tr>
      <w:tr w:rsidR="00DE6A7F" w:rsidRPr="006E5888" w:rsidTr="004032E9">
        <w:trPr>
          <w:trHeight w:val="20"/>
          <w:jc w:val="center"/>
        </w:trPr>
        <w:tc>
          <w:tcPr>
            <w:tcW w:w="2846" w:type="dxa"/>
            <w:tcBorders>
              <w:top w:val="nil"/>
              <w:left w:val="single" w:sz="4" w:space="0" w:color="auto"/>
              <w:bottom w:val="single" w:sz="4" w:space="0" w:color="auto"/>
              <w:right w:val="single" w:sz="4" w:space="0" w:color="auto"/>
            </w:tcBorders>
            <w:shd w:val="clear" w:color="auto" w:fill="auto"/>
            <w:vAlign w:val="center"/>
            <w:hideMark/>
          </w:tcPr>
          <w:p w:rsidR="00DE6A7F" w:rsidRPr="006E5888" w:rsidRDefault="00DE6A7F" w:rsidP="00D81B30">
            <w:pPr>
              <w:jc w:val="both"/>
              <w:rPr>
                <w:rFonts w:eastAsia="Times New Roman"/>
                <w:color w:val="000000"/>
                <w:szCs w:val="24"/>
                <w:lang w:eastAsia="lv-LV"/>
              </w:rPr>
            </w:pPr>
            <w:r w:rsidRPr="006E5888">
              <w:rPr>
                <w:rFonts w:eastAsia="Times New Roman"/>
                <w:color w:val="000000"/>
                <w:szCs w:val="24"/>
                <w:lang w:eastAsia="lv-LV"/>
              </w:rPr>
              <w:t>Papildus – pašvaldību izglītības iestādes</w:t>
            </w:r>
            <w:r w:rsidRPr="006E5888">
              <w:rPr>
                <w:rStyle w:val="FootnoteReference"/>
                <w:rFonts w:eastAsia="Times New Roman"/>
                <w:color w:val="000000"/>
                <w:szCs w:val="24"/>
                <w:lang w:eastAsia="lv-LV"/>
              </w:rPr>
              <w:footnoteReference w:id="41"/>
            </w:r>
          </w:p>
        </w:tc>
        <w:tc>
          <w:tcPr>
            <w:tcW w:w="1196"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1</w:t>
            </w:r>
          </w:p>
        </w:tc>
        <w:tc>
          <w:tcPr>
            <w:tcW w:w="1201"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1</w:t>
            </w:r>
          </w:p>
        </w:tc>
        <w:tc>
          <w:tcPr>
            <w:tcW w:w="1291"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5</w:t>
            </w:r>
          </w:p>
        </w:tc>
        <w:tc>
          <w:tcPr>
            <w:tcW w:w="1281"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5</w:t>
            </w:r>
          </w:p>
        </w:tc>
        <w:tc>
          <w:tcPr>
            <w:tcW w:w="1246" w:type="dxa"/>
            <w:tcBorders>
              <w:top w:val="nil"/>
              <w:left w:val="nil"/>
              <w:bottom w:val="single" w:sz="4" w:space="0" w:color="auto"/>
              <w:right w:val="single" w:sz="4" w:space="0" w:color="auto"/>
            </w:tcBorders>
            <w:shd w:val="clear" w:color="auto" w:fill="auto"/>
            <w:noWrap/>
            <w:vAlign w:val="center"/>
            <w:hideMark/>
          </w:tcPr>
          <w:p w:rsidR="00DE6A7F" w:rsidRPr="006E5888" w:rsidRDefault="00DE6A7F" w:rsidP="00D81B30">
            <w:pPr>
              <w:jc w:val="right"/>
              <w:rPr>
                <w:rFonts w:eastAsia="Times New Roman"/>
                <w:color w:val="000000"/>
                <w:szCs w:val="24"/>
                <w:lang w:eastAsia="lv-LV"/>
              </w:rPr>
            </w:pPr>
            <w:r w:rsidRPr="006E5888">
              <w:rPr>
                <w:rFonts w:eastAsia="Times New Roman"/>
                <w:color w:val="000000"/>
                <w:szCs w:val="24"/>
                <w:lang w:eastAsia="lv-LV"/>
              </w:rPr>
              <w:t>5</w:t>
            </w:r>
          </w:p>
        </w:tc>
      </w:tr>
    </w:tbl>
    <w:p w:rsidR="00DE6A7F" w:rsidRPr="006E5888" w:rsidRDefault="00DE6A7F" w:rsidP="00DE6A7F">
      <w:pPr>
        <w:jc w:val="both"/>
        <w:rPr>
          <w:sz w:val="22"/>
          <w:lang w:eastAsia="lv-LV"/>
        </w:rPr>
      </w:pPr>
    </w:p>
    <w:p w:rsidR="00DE6A7F" w:rsidRPr="006E5888" w:rsidRDefault="00DE6A7F" w:rsidP="00DE6A7F">
      <w:pPr>
        <w:ind w:firstLine="720"/>
        <w:jc w:val="both"/>
      </w:pPr>
      <w:r w:rsidRPr="006E5888">
        <w:t>Tomēr</w:t>
      </w:r>
      <w:r w:rsidR="00137C9D" w:rsidRPr="006E5888">
        <w:t>,</w:t>
      </w:r>
      <w:r w:rsidRPr="006E5888">
        <w:t xml:space="preserve"> analizējot informāciju par budžeta izdevumiem IZM apakšprogrammā 02.01.00 “Profesionālās izglītības programmu īstenošana”, to apmērs pakāpeniski ir palielinājies, neatkarīgi no izglītojamo skaita un izglītības iestāžu skaita samazinājuma, kā arī uzņemto izglītojamo skaita un absolventu skaita samazinājuma.</w:t>
      </w:r>
    </w:p>
    <w:p w:rsidR="00DE6A7F" w:rsidRPr="006E5888" w:rsidRDefault="00E566B6" w:rsidP="00E566B6">
      <w:pPr>
        <w:jc w:val="center"/>
      </w:pPr>
      <w:r w:rsidRPr="006E5888">
        <w:rPr>
          <w:b/>
          <w:noProof/>
          <w:sz w:val="22"/>
          <w:lang w:eastAsia="lv-LV"/>
        </w:rPr>
        <w:lastRenderedPageBreak/>
        <w:drawing>
          <wp:anchor distT="0" distB="0" distL="114300" distR="114300" simplePos="0" relativeHeight="251711488" behindDoc="0" locked="0" layoutInCell="1" allowOverlap="1" wp14:anchorId="587F9C71" wp14:editId="32A18F57">
            <wp:simplePos x="0" y="0"/>
            <wp:positionH relativeFrom="margin">
              <wp:align>center</wp:align>
            </wp:positionH>
            <wp:positionV relativeFrom="margin">
              <wp:align>top</wp:align>
            </wp:positionV>
            <wp:extent cx="5179060" cy="3119755"/>
            <wp:effectExtent l="19050" t="19050" r="21590" b="23495"/>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179060" cy="3119755"/>
                    </a:xfrm>
                    <a:prstGeom prst="rect">
                      <a:avLst/>
                    </a:prstGeom>
                    <a:noFill/>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00D81B30" w:rsidRPr="006E5888">
        <w:rPr>
          <w:rFonts w:cs="Times New Roman"/>
          <w:sz w:val="22"/>
        </w:rPr>
        <w:t>51</w:t>
      </w:r>
      <w:r w:rsidRPr="006E5888">
        <w:rPr>
          <w:rFonts w:cs="Times New Roman"/>
          <w:sz w:val="22"/>
        </w:rPr>
        <w:t>.</w:t>
      </w:r>
      <w:r w:rsidRPr="006E5888">
        <w:rPr>
          <w:rFonts w:cs="Times New Roman"/>
          <w:i/>
          <w:sz w:val="22"/>
        </w:rPr>
        <w:t>att</w:t>
      </w:r>
      <w:r w:rsidRPr="006E5888">
        <w:rPr>
          <w:sz w:val="22"/>
        </w:rPr>
        <w:t xml:space="preserve">. </w:t>
      </w:r>
      <w:r w:rsidR="00DE6A7F" w:rsidRPr="006E5888">
        <w:rPr>
          <w:b/>
          <w:sz w:val="22"/>
        </w:rPr>
        <w:t>Audzēkņu un pedagoģisko darbinieku skaits un to attiecība</w:t>
      </w:r>
      <w:r w:rsidR="00DE6A7F" w:rsidRPr="006E5888">
        <w:rPr>
          <w:rStyle w:val="FootnoteReference"/>
          <w:sz w:val="22"/>
        </w:rPr>
        <w:footnoteReference w:id="42"/>
      </w:r>
    </w:p>
    <w:p w:rsidR="00DE6A7F" w:rsidRPr="006E5888" w:rsidRDefault="00DE6A7F" w:rsidP="00DE6A7F">
      <w:pPr>
        <w:jc w:val="both"/>
        <w:rPr>
          <w:sz w:val="8"/>
          <w:szCs w:val="8"/>
        </w:rPr>
      </w:pPr>
    </w:p>
    <w:p w:rsidR="00DE6A7F" w:rsidRPr="006E5888" w:rsidRDefault="00DE6A7F" w:rsidP="002C269C">
      <w:pPr>
        <w:spacing w:before="120" w:after="120"/>
        <w:ind w:firstLine="720"/>
        <w:jc w:val="both"/>
        <w:rPr>
          <w:b/>
        </w:rPr>
      </w:pPr>
      <w:r w:rsidRPr="006E5888">
        <w:rPr>
          <w:b/>
        </w:rPr>
        <w:t>6.2.4. Valsts budžeta izdevu</w:t>
      </w:r>
      <w:r w:rsidR="002C269C" w:rsidRPr="006E5888">
        <w:rPr>
          <w:b/>
        </w:rPr>
        <w:t xml:space="preserve">mi augstākai izglītībai </w:t>
      </w:r>
    </w:p>
    <w:p w:rsidR="00E566B6" w:rsidRPr="006E5888" w:rsidRDefault="00DE6A7F" w:rsidP="002C269C">
      <w:pPr>
        <w:spacing w:after="120"/>
        <w:ind w:firstLine="720"/>
        <w:jc w:val="both"/>
      </w:pPr>
      <w:r w:rsidRPr="006E5888">
        <w:t>Arī augstākajā izglītībā studentu skaits pēdējos gados ir pakāpeniski samazinājies, savukārt akadēmiskā personāla skaits kopš 2010.gada ir mēreni palielinājies, attiecīgi studentu un akadēmiskā personāla attiecība ir samazinājusies. Vienlaikus Latvijā augstākajā izglītībā akadēmiskā personāla attiecībā pret administra</w:t>
      </w:r>
      <w:r w:rsidR="005438E7" w:rsidRPr="006E5888">
        <w:t>tīvo personāla ir ļoti zema (0,8</w:t>
      </w:r>
      <w:r w:rsidRPr="006E5888">
        <w:t xml:space="preserve">:1), kas nozīmē, ka viens administratīvais darbinieks apkalpo nepilnu akadēmisko darbinieku. Saskaņā ar Latvijas Bankas sniegto informāciju </w:t>
      </w:r>
      <w:r w:rsidR="005438E7" w:rsidRPr="006E5888">
        <w:t>(“</w:t>
      </w:r>
      <w:proofErr w:type="spellStart"/>
      <w:r w:rsidR="005438E7" w:rsidRPr="006E5888">
        <w:t>Measuring</w:t>
      </w:r>
      <w:proofErr w:type="spellEnd"/>
      <w:r w:rsidR="005438E7" w:rsidRPr="006E5888">
        <w:t xml:space="preserve"> </w:t>
      </w:r>
      <w:proofErr w:type="spellStart"/>
      <w:r w:rsidR="005438E7" w:rsidRPr="006E5888">
        <w:t>Baumol</w:t>
      </w:r>
      <w:proofErr w:type="spellEnd"/>
      <w:r w:rsidR="005438E7" w:rsidRPr="006E5888">
        <w:t xml:space="preserve"> </w:t>
      </w:r>
      <w:proofErr w:type="spellStart"/>
      <w:r w:rsidR="005438E7" w:rsidRPr="006E5888">
        <w:t>and</w:t>
      </w:r>
      <w:proofErr w:type="spellEnd"/>
      <w:r w:rsidR="005438E7" w:rsidRPr="006E5888">
        <w:t xml:space="preserve"> </w:t>
      </w:r>
      <w:proofErr w:type="spellStart"/>
      <w:r w:rsidR="005438E7" w:rsidRPr="006E5888">
        <w:t>Bowen</w:t>
      </w:r>
      <w:proofErr w:type="spellEnd"/>
      <w:r w:rsidR="005438E7" w:rsidRPr="006E5888">
        <w:t xml:space="preserve"> </w:t>
      </w:r>
      <w:proofErr w:type="spellStart"/>
      <w:r w:rsidR="005438E7" w:rsidRPr="006E5888">
        <w:t>Effects</w:t>
      </w:r>
      <w:proofErr w:type="spellEnd"/>
      <w:r w:rsidR="005438E7" w:rsidRPr="006E5888">
        <w:t xml:space="preserve"> </w:t>
      </w:r>
      <w:proofErr w:type="spellStart"/>
      <w:r w:rsidR="005438E7" w:rsidRPr="006E5888">
        <w:t>in</w:t>
      </w:r>
      <w:proofErr w:type="spellEnd"/>
      <w:r w:rsidR="005438E7" w:rsidRPr="006E5888">
        <w:t xml:space="preserve"> </w:t>
      </w:r>
      <w:proofErr w:type="spellStart"/>
      <w:r w:rsidR="005438E7" w:rsidRPr="006E5888">
        <w:t>Public</w:t>
      </w:r>
      <w:proofErr w:type="spellEnd"/>
      <w:r w:rsidR="005438E7" w:rsidRPr="006E5888">
        <w:t xml:space="preserve"> </w:t>
      </w:r>
      <w:proofErr w:type="spellStart"/>
      <w:r w:rsidR="005438E7" w:rsidRPr="006E5888">
        <w:t>Research</w:t>
      </w:r>
      <w:proofErr w:type="spellEnd"/>
      <w:r w:rsidR="005438E7" w:rsidRPr="006E5888">
        <w:t xml:space="preserve"> </w:t>
      </w:r>
      <w:proofErr w:type="spellStart"/>
      <w:r w:rsidR="005438E7" w:rsidRPr="006E5888">
        <w:t>Universities</w:t>
      </w:r>
      <w:proofErr w:type="spellEnd"/>
      <w:r w:rsidR="005438E7" w:rsidRPr="006E5888">
        <w:t xml:space="preserve">”) </w:t>
      </w:r>
      <w:r w:rsidRPr="006E5888">
        <w:t>optimālā situācijā vienam administratīvam darbiniekam būtu jāapkalpo 3 akadēmiskie darbinieki. Ņemot vērā minēto, IZM būtu jāvērtē iespējas pārskatīt personāla komplektācijas politiku augstākajā iz</w:t>
      </w:r>
      <w:r w:rsidR="00E566B6" w:rsidRPr="006E5888">
        <w:t>glītībā.</w:t>
      </w:r>
    </w:p>
    <w:p w:rsidR="00E566B6" w:rsidRPr="006E5888" w:rsidRDefault="00863D3A" w:rsidP="00E566B6">
      <w:r w:rsidRPr="006E5888">
        <w:rPr>
          <w:noProof/>
          <w:lang w:eastAsia="lv-LV"/>
        </w:rPr>
        <w:drawing>
          <wp:anchor distT="0" distB="0" distL="114300" distR="114300" simplePos="0" relativeHeight="251712512" behindDoc="0" locked="0" layoutInCell="1" allowOverlap="1" wp14:anchorId="51AD02A2" wp14:editId="754AE8ED">
            <wp:simplePos x="0" y="0"/>
            <wp:positionH relativeFrom="margin">
              <wp:align>right</wp:align>
            </wp:positionH>
            <wp:positionV relativeFrom="page">
              <wp:posOffset>6173470</wp:posOffset>
            </wp:positionV>
            <wp:extent cx="2807970" cy="2610485"/>
            <wp:effectExtent l="0" t="0" r="0" b="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7970" cy="2610485"/>
                    </a:xfrm>
                    <a:prstGeom prst="rect">
                      <a:avLst/>
                    </a:prstGeom>
                    <a:noFill/>
                  </pic:spPr>
                </pic:pic>
              </a:graphicData>
            </a:graphic>
            <wp14:sizeRelH relativeFrom="margin">
              <wp14:pctWidth>0</wp14:pctWidth>
            </wp14:sizeRelH>
            <wp14:sizeRelV relativeFrom="margin">
              <wp14:pctHeight>0</wp14:pctHeight>
            </wp14:sizeRelV>
          </wp:anchor>
        </w:drawing>
      </w:r>
      <w:r w:rsidR="00DE6A7F" w:rsidRPr="006E5888">
        <w:rPr>
          <w:noProof/>
          <w:lang w:eastAsia="lv-LV"/>
        </w:rPr>
        <w:drawing>
          <wp:inline distT="0" distB="0" distL="0" distR="0" wp14:anchorId="0ACD3BC9" wp14:editId="7E7B31D6">
            <wp:extent cx="2974582" cy="2581783"/>
            <wp:effectExtent l="19050" t="19050" r="16510" b="285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044137" cy="2642153"/>
                    </a:xfrm>
                    <a:prstGeom prst="rect">
                      <a:avLst/>
                    </a:prstGeom>
                    <a:noFill/>
                    <a:ln>
                      <a:solidFill>
                        <a:schemeClr val="bg1">
                          <a:lumMod val="85000"/>
                        </a:schemeClr>
                      </a:solidFill>
                    </a:ln>
                  </pic:spPr>
                </pic:pic>
              </a:graphicData>
            </a:graphic>
          </wp:inline>
        </w:drawing>
      </w:r>
      <w:r w:rsidR="00E566B6" w:rsidRPr="006E5888">
        <w:rPr>
          <w:noProof/>
          <w:lang w:eastAsia="lv-LV"/>
        </w:rPr>
        <w:t xml:space="preserve"> </w:t>
      </w:r>
    </w:p>
    <w:p w:rsidR="00CC0B20" w:rsidRPr="006E5888" w:rsidRDefault="00521F0A" w:rsidP="00863D3A">
      <w:pPr>
        <w:spacing w:after="120"/>
        <w:jc w:val="center"/>
        <w:rPr>
          <w:sz w:val="22"/>
        </w:rPr>
      </w:pPr>
      <w:r w:rsidRPr="006E5888">
        <w:rPr>
          <w:rFonts w:cs="Times New Roman"/>
          <w:sz w:val="22"/>
        </w:rPr>
        <w:t>5</w:t>
      </w:r>
      <w:r w:rsidR="00D81B30" w:rsidRPr="006E5888">
        <w:rPr>
          <w:rFonts w:cs="Times New Roman"/>
          <w:sz w:val="22"/>
        </w:rPr>
        <w:t>2</w:t>
      </w:r>
      <w:r w:rsidR="00983DF2" w:rsidRPr="006E5888">
        <w:rPr>
          <w:rFonts w:cs="Times New Roman"/>
          <w:sz w:val="22"/>
        </w:rPr>
        <w:t>.</w:t>
      </w:r>
      <w:r w:rsidR="00983DF2" w:rsidRPr="006E5888">
        <w:rPr>
          <w:rFonts w:cs="Times New Roman"/>
          <w:i/>
          <w:sz w:val="22"/>
        </w:rPr>
        <w:t>att</w:t>
      </w:r>
      <w:r w:rsidR="00983DF2" w:rsidRPr="006E5888">
        <w:rPr>
          <w:sz w:val="22"/>
        </w:rPr>
        <w:t xml:space="preserve">. </w:t>
      </w:r>
      <w:r w:rsidR="00DE6A7F" w:rsidRPr="006E5888">
        <w:rPr>
          <w:b/>
          <w:sz w:val="22"/>
        </w:rPr>
        <w:t>Studentu un akadēmiskā personāla skaits un to attiecība</w:t>
      </w:r>
      <w:r w:rsidR="00DE6A7F" w:rsidRPr="006E5888">
        <w:rPr>
          <w:rStyle w:val="FootnoteReference"/>
          <w:sz w:val="22"/>
        </w:rPr>
        <w:footnoteReference w:id="43"/>
      </w:r>
    </w:p>
    <w:p w:rsidR="00DE6A7F" w:rsidRPr="006E5888" w:rsidRDefault="00DE6A7F" w:rsidP="002C269C">
      <w:pPr>
        <w:ind w:firstLine="709"/>
        <w:jc w:val="both"/>
        <w:rPr>
          <w:sz w:val="22"/>
        </w:rPr>
      </w:pPr>
      <w:r w:rsidRPr="006E5888">
        <w:t xml:space="preserve">Lai arī studentu skaits pēdējos gados samazinās, tomēr no valsts un pašvaldību budžeta līdzekļiem finansējamo studentu skaits nedaudz palielinās, attiecīgi palielinās no publiskā </w:t>
      </w:r>
      <w:r w:rsidRPr="006E5888">
        <w:lastRenderedPageBreak/>
        <w:t>finansējuma finansēto vietu īpatsvars. Lai arī augstskolās un koledžās ir nepieciešamas no valsts budžeta finansētās vietas, tomēr potenciāli IZM nepieciešams izvērtēt, vai to apmērs nav nosakāms proporcionāli kopējam izglītojamo skaitam, nevis turpinot piešķirt nemainīgu finansējuma apmēru, nevērtējot izglītojamo skaita vispārējās tendences.</w:t>
      </w:r>
    </w:p>
    <w:p w:rsidR="00DE6A7F" w:rsidRPr="006E5888" w:rsidRDefault="00DE6A7F" w:rsidP="00CC0B20">
      <w:pPr>
        <w:jc w:val="center"/>
      </w:pPr>
      <w:r w:rsidRPr="006E5888">
        <w:rPr>
          <w:noProof/>
          <w:lang w:eastAsia="lv-LV"/>
        </w:rPr>
        <w:drawing>
          <wp:inline distT="0" distB="0" distL="0" distR="0" wp14:anchorId="5733C8D5" wp14:editId="78AC65DF">
            <wp:extent cx="4959706" cy="2987903"/>
            <wp:effectExtent l="19050" t="19050" r="12700" b="222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989502" cy="3005853"/>
                    </a:xfrm>
                    <a:prstGeom prst="rect">
                      <a:avLst/>
                    </a:prstGeom>
                    <a:noFill/>
                    <a:ln>
                      <a:solidFill>
                        <a:schemeClr val="bg1">
                          <a:lumMod val="85000"/>
                        </a:schemeClr>
                      </a:solidFill>
                    </a:ln>
                  </pic:spPr>
                </pic:pic>
              </a:graphicData>
            </a:graphic>
          </wp:inline>
        </w:drawing>
      </w:r>
    </w:p>
    <w:p w:rsidR="00DE6A7F" w:rsidRPr="006E5888" w:rsidRDefault="00521F0A" w:rsidP="00B9393A">
      <w:pPr>
        <w:spacing w:before="120" w:after="120"/>
        <w:jc w:val="center"/>
        <w:rPr>
          <w:sz w:val="22"/>
        </w:rPr>
      </w:pPr>
      <w:r w:rsidRPr="006E5888">
        <w:rPr>
          <w:rFonts w:cs="Times New Roman"/>
          <w:sz w:val="22"/>
        </w:rPr>
        <w:t>5</w:t>
      </w:r>
      <w:r w:rsidR="00D81B30" w:rsidRPr="006E5888">
        <w:rPr>
          <w:rFonts w:cs="Times New Roman"/>
          <w:sz w:val="22"/>
        </w:rPr>
        <w:t>3</w:t>
      </w:r>
      <w:r w:rsidR="00CC0B20" w:rsidRPr="006E5888">
        <w:rPr>
          <w:rFonts w:cs="Times New Roman"/>
          <w:sz w:val="22"/>
        </w:rPr>
        <w:t>.</w:t>
      </w:r>
      <w:r w:rsidR="00CC0B20" w:rsidRPr="006E5888">
        <w:rPr>
          <w:rFonts w:cs="Times New Roman"/>
          <w:i/>
          <w:sz w:val="22"/>
        </w:rPr>
        <w:t>att</w:t>
      </w:r>
      <w:r w:rsidR="00CC0B20" w:rsidRPr="006E5888">
        <w:rPr>
          <w:sz w:val="22"/>
        </w:rPr>
        <w:t xml:space="preserve">. </w:t>
      </w:r>
      <w:r w:rsidR="00DE6A7F" w:rsidRPr="006E5888">
        <w:t xml:space="preserve"> </w:t>
      </w:r>
      <w:r w:rsidR="00DE6A7F" w:rsidRPr="006E5888">
        <w:rPr>
          <w:b/>
          <w:sz w:val="22"/>
        </w:rPr>
        <w:t>Studentu skaits augstskolās un koledžās sadalījumā pa mācību maksas finansējuma veidiem</w:t>
      </w:r>
      <w:r w:rsidR="00DE6A7F" w:rsidRPr="006E5888">
        <w:rPr>
          <w:rStyle w:val="FootnoteReference"/>
          <w:sz w:val="22"/>
        </w:rPr>
        <w:footnoteReference w:id="44"/>
      </w:r>
    </w:p>
    <w:p w:rsidR="00CC0B20" w:rsidRPr="006E5888" w:rsidRDefault="00DE6A7F" w:rsidP="00C24E4B">
      <w:pPr>
        <w:jc w:val="both"/>
        <w:rPr>
          <w:noProof/>
          <w:lang w:eastAsia="lv-LV"/>
        </w:rPr>
      </w:pPr>
      <w:r w:rsidRPr="006E5888">
        <w:rPr>
          <w:noProof/>
          <w:lang w:eastAsia="lv-LV"/>
        </w:rPr>
        <w:tab/>
        <w:t>Kā problēmātiska situācija ir vērtējama studiju programmu dublēšanās valsts dibinātajās augstskolās. Atsevišķu studiju programmu pārklāšanās starp augstskolām nodrošina veselīgu konkurenci, tomēr IZM nepieciešams izvērtēt un uzsākt diskusiju par atsevišķu studiju programmu pārklāšanos vairākkārtīgi, piemēram, vai tiešām veselības aprūpes un sociālās labklājības studiju programmu ir jāpasniedz piecās lielākajās augstskolās, ņemot vērā, ka Rīgas Stradiņa universitāte ir speciālizējusies šīs studiju programmas nodrošināšanā. Vienlaikus IZM nepieciešams pārskatīt studiju programmas licensēšanas kritērijus, ietverot tajos ne tikai augstāku nepieciešamo studentu skaitu, bet studiju programmas lietderības novērtējumu konkrētaj</w:t>
      </w:r>
      <w:r w:rsidR="00C24E4B" w:rsidRPr="006E5888">
        <w:rPr>
          <w:noProof/>
          <w:lang w:eastAsia="lv-LV"/>
        </w:rPr>
        <w:t>ā valsts dibinātajā augstskolā.</w:t>
      </w:r>
    </w:p>
    <w:p w:rsidR="00B73C2F" w:rsidRPr="006E5888" w:rsidRDefault="00DE6A7F" w:rsidP="00B73C2F">
      <w:pPr>
        <w:spacing w:before="120" w:after="120"/>
        <w:jc w:val="right"/>
      </w:pPr>
      <w:r w:rsidRPr="006E5888">
        <w:t>Tabula Nr.</w:t>
      </w:r>
      <w:r w:rsidR="003F7196" w:rsidRPr="006E5888">
        <w:t>19</w:t>
      </w:r>
    </w:p>
    <w:p w:rsidR="00DE6A7F" w:rsidRPr="006E5888" w:rsidRDefault="00DE6A7F" w:rsidP="00DE6A7F">
      <w:pPr>
        <w:jc w:val="center"/>
      </w:pPr>
      <w:r w:rsidRPr="006E5888">
        <w:t>Studentu skaits (kopā/t.sk. par valsts budžeta līdzekļiem) valsts dibinātajās augstskolās (lielākajās pēc studentu skaita) 2015./2016.mācību gadā</w:t>
      </w:r>
      <w:r w:rsidRPr="006E5888">
        <w:rPr>
          <w:rStyle w:val="FootnoteReference"/>
        </w:rPr>
        <w:footnoteReference w:id="45"/>
      </w:r>
    </w:p>
    <w:tbl>
      <w:tblPr>
        <w:tblStyle w:val="TableGrid"/>
        <w:tblW w:w="9381" w:type="dxa"/>
        <w:tblLayout w:type="fixed"/>
        <w:tblLook w:val="04A0" w:firstRow="1" w:lastRow="0" w:firstColumn="1" w:lastColumn="0" w:noHBand="0" w:noVBand="1"/>
      </w:tblPr>
      <w:tblGrid>
        <w:gridCol w:w="846"/>
        <w:gridCol w:w="991"/>
        <w:gridCol w:w="993"/>
        <w:gridCol w:w="1134"/>
        <w:gridCol w:w="1134"/>
        <w:gridCol w:w="1134"/>
        <w:gridCol w:w="993"/>
        <w:gridCol w:w="992"/>
        <w:gridCol w:w="1128"/>
        <w:gridCol w:w="36"/>
      </w:tblGrid>
      <w:tr w:rsidR="00DE6A7F" w:rsidRPr="006E5888" w:rsidTr="002C269C">
        <w:trPr>
          <w:gridAfter w:val="1"/>
          <w:wAfter w:w="36" w:type="dxa"/>
          <w:trHeight w:val="20"/>
          <w:tblHeader/>
        </w:trPr>
        <w:tc>
          <w:tcPr>
            <w:tcW w:w="846" w:type="dxa"/>
            <w:shd w:val="clear" w:color="auto" w:fill="D9D9D9" w:themeFill="background1" w:themeFillShade="D9"/>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p>
        </w:tc>
        <w:tc>
          <w:tcPr>
            <w:tcW w:w="991" w:type="dxa"/>
            <w:shd w:val="clear" w:color="auto" w:fill="D9D9D9" w:themeFill="background1" w:themeFillShade="D9"/>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dark1"/>
                <w:kern w:val="24"/>
                <w:sz w:val="20"/>
                <w:szCs w:val="20"/>
              </w:rPr>
              <w:t>Izglītība</w:t>
            </w:r>
          </w:p>
        </w:tc>
        <w:tc>
          <w:tcPr>
            <w:tcW w:w="993" w:type="dxa"/>
            <w:shd w:val="clear" w:color="auto" w:fill="D9D9D9" w:themeFill="background1" w:themeFillShade="D9"/>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proofErr w:type="spellStart"/>
            <w:r w:rsidRPr="006E5888">
              <w:rPr>
                <w:color w:val="000000" w:themeColor="dark1"/>
                <w:kern w:val="24"/>
                <w:sz w:val="20"/>
                <w:szCs w:val="20"/>
              </w:rPr>
              <w:t>Humani-tārās</w:t>
            </w:r>
            <w:proofErr w:type="spellEnd"/>
            <w:r w:rsidRPr="006E5888">
              <w:rPr>
                <w:color w:val="000000" w:themeColor="dark1"/>
                <w:kern w:val="24"/>
                <w:sz w:val="20"/>
                <w:szCs w:val="20"/>
              </w:rPr>
              <w:t xml:space="preserve"> zinātnes un māksla</w:t>
            </w:r>
          </w:p>
        </w:tc>
        <w:tc>
          <w:tcPr>
            <w:tcW w:w="1134" w:type="dxa"/>
            <w:shd w:val="clear" w:color="auto" w:fill="D9D9D9" w:themeFill="background1" w:themeFillShade="D9"/>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dark1"/>
                <w:kern w:val="24"/>
                <w:sz w:val="20"/>
                <w:szCs w:val="20"/>
              </w:rPr>
              <w:t xml:space="preserve">Sociālās zinātnes, </w:t>
            </w:r>
            <w:proofErr w:type="spellStart"/>
            <w:r w:rsidRPr="006E5888">
              <w:rPr>
                <w:color w:val="000000" w:themeColor="dark1"/>
                <w:kern w:val="24"/>
                <w:sz w:val="20"/>
                <w:szCs w:val="20"/>
              </w:rPr>
              <w:t>komerc</w:t>
            </w:r>
            <w:proofErr w:type="spellEnd"/>
            <w:r w:rsidRPr="006E5888">
              <w:rPr>
                <w:color w:val="000000" w:themeColor="dark1"/>
                <w:kern w:val="24"/>
                <w:sz w:val="20"/>
                <w:szCs w:val="20"/>
              </w:rPr>
              <w:t>-zinības un tiesības</w:t>
            </w:r>
          </w:p>
        </w:tc>
        <w:tc>
          <w:tcPr>
            <w:tcW w:w="1134" w:type="dxa"/>
            <w:shd w:val="clear" w:color="auto" w:fill="D9D9D9" w:themeFill="background1" w:themeFillShade="D9"/>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dark1"/>
                <w:kern w:val="24"/>
                <w:sz w:val="20"/>
                <w:szCs w:val="20"/>
              </w:rPr>
              <w:t xml:space="preserve">Dabas zinātnes, matemātika un </w:t>
            </w:r>
            <w:proofErr w:type="spellStart"/>
            <w:r w:rsidRPr="006E5888">
              <w:rPr>
                <w:color w:val="000000" w:themeColor="dark1"/>
                <w:kern w:val="24"/>
                <w:sz w:val="20"/>
                <w:szCs w:val="20"/>
              </w:rPr>
              <w:t>informā-cijas</w:t>
            </w:r>
            <w:proofErr w:type="spellEnd"/>
            <w:r w:rsidRPr="006E5888">
              <w:rPr>
                <w:color w:val="000000" w:themeColor="dark1"/>
                <w:kern w:val="24"/>
                <w:sz w:val="20"/>
                <w:szCs w:val="20"/>
              </w:rPr>
              <w:t xml:space="preserve"> </w:t>
            </w:r>
            <w:proofErr w:type="spellStart"/>
            <w:r w:rsidRPr="006E5888">
              <w:rPr>
                <w:color w:val="000000" w:themeColor="dark1"/>
                <w:kern w:val="24"/>
                <w:sz w:val="20"/>
                <w:szCs w:val="20"/>
              </w:rPr>
              <w:t>tehno-loģijas</w:t>
            </w:r>
            <w:proofErr w:type="spellEnd"/>
          </w:p>
        </w:tc>
        <w:tc>
          <w:tcPr>
            <w:tcW w:w="1134" w:type="dxa"/>
            <w:shd w:val="clear" w:color="auto" w:fill="D9D9D9" w:themeFill="background1" w:themeFillShade="D9"/>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proofErr w:type="spellStart"/>
            <w:r w:rsidRPr="006E5888">
              <w:rPr>
                <w:color w:val="000000" w:themeColor="dark1"/>
                <w:kern w:val="24"/>
                <w:sz w:val="20"/>
                <w:szCs w:val="20"/>
              </w:rPr>
              <w:t>Inženier</w:t>
            </w:r>
            <w:proofErr w:type="spellEnd"/>
            <w:r w:rsidRPr="006E5888">
              <w:rPr>
                <w:color w:val="000000" w:themeColor="dark1"/>
                <w:kern w:val="24"/>
                <w:sz w:val="20"/>
                <w:szCs w:val="20"/>
              </w:rPr>
              <w:t>-zinātnes, ražošana un būvniecība</w:t>
            </w:r>
          </w:p>
        </w:tc>
        <w:tc>
          <w:tcPr>
            <w:tcW w:w="993" w:type="dxa"/>
            <w:shd w:val="clear" w:color="auto" w:fill="D9D9D9" w:themeFill="background1" w:themeFillShade="D9"/>
            <w:tcMar>
              <w:left w:w="28" w:type="dxa"/>
              <w:right w:w="28" w:type="dxa"/>
            </w:tcMar>
            <w:vAlign w:val="center"/>
          </w:tcPr>
          <w:p w:rsidR="00DE6A7F" w:rsidRPr="006E5888" w:rsidRDefault="002C269C" w:rsidP="002C269C">
            <w:pPr>
              <w:pStyle w:val="NormalWeb"/>
              <w:spacing w:before="0" w:beforeAutospacing="0" w:after="0" w:afterAutospacing="0"/>
              <w:jc w:val="center"/>
              <w:textAlignment w:val="bottom"/>
              <w:rPr>
                <w:rFonts w:ascii="Arial" w:hAnsi="Arial" w:cs="Arial"/>
                <w:sz w:val="20"/>
                <w:szCs w:val="20"/>
              </w:rPr>
            </w:pPr>
            <w:proofErr w:type="spellStart"/>
            <w:r w:rsidRPr="006E5888">
              <w:rPr>
                <w:color w:val="000000" w:themeColor="dark1"/>
                <w:kern w:val="24"/>
                <w:sz w:val="20"/>
                <w:szCs w:val="20"/>
              </w:rPr>
              <w:t>Lauk</w:t>
            </w:r>
            <w:r w:rsidR="00DE6A7F" w:rsidRPr="006E5888">
              <w:rPr>
                <w:color w:val="000000" w:themeColor="dark1"/>
                <w:kern w:val="24"/>
                <w:sz w:val="20"/>
                <w:szCs w:val="20"/>
              </w:rPr>
              <w:t>saim</w:t>
            </w:r>
            <w:proofErr w:type="spellEnd"/>
            <w:r w:rsidR="00DE6A7F" w:rsidRPr="006E5888">
              <w:rPr>
                <w:color w:val="000000" w:themeColor="dark1"/>
                <w:kern w:val="24"/>
                <w:sz w:val="20"/>
                <w:szCs w:val="20"/>
              </w:rPr>
              <w:t>-niecība</w:t>
            </w:r>
          </w:p>
        </w:tc>
        <w:tc>
          <w:tcPr>
            <w:tcW w:w="992" w:type="dxa"/>
            <w:shd w:val="clear" w:color="auto" w:fill="D9D9D9" w:themeFill="background1" w:themeFillShade="D9"/>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dark1"/>
                <w:kern w:val="24"/>
                <w:sz w:val="20"/>
                <w:szCs w:val="20"/>
              </w:rPr>
              <w:t>Veselības aprūpe un sociālā labklājība</w:t>
            </w:r>
          </w:p>
        </w:tc>
        <w:tc>
          <w:tcPr>
            <w:tcW w:w="1128" w:type="dxa"/>
            <w:shd w:val="clear" w:color="auto" w:fill="D9D9D9" w:themeFill="background1" w:themeFillShade="D9"/>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dark1"/>
                <w:kern w:val="24"/>
                <w:sz w:val="20"/>
                <w:szCs w:val="20"/>
              </w:rPr>
              <w:t>Pakalpojumi (piem. tūrisms, ēdināšana, darba aizsardzība, u.c.)</w:t>
            </w:r>
          </w:p>
        </w:tc>
      </w:tr>
      <w:tr w:rsidR="00DE6A7F" w:rsidRPr="006E5888" w:rsidTr="002C269C">
        <w:trPr>
          <w:gridAfter w:val="1"/>
          <w:wAfter w:w="36" w:type="dxa"/>
          <w:trHeight w:val="20"/>
        </w:trPr>
        <w:tc>
          <w:tcPr>
            <w:tcW w:w="846" w:type="dxa"/>
            <w:shd w:val="clear" w:color="auto" w:fill="D5DCE4" w:themeFill="text2" w:themeFillTint="33"/>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LU</w:t>
            </w:r>
          </w:p>
        </w:tc>
        <w:tc>
          <w:tcPr>
            <w:tcW w:w="991" w:type="dxa"/>
            <w:tcMar>
              <w:left w:w="28" w:type="dxa"/>
              <w:right w:w="28" w:type="dxa"/>
            </w:tcMar>
            <w:vAlign w:val="center"/>
          </w:tcPr>
          <w:p w:rsidR="00DE6A7F" w:rsidRPr="006E5888" w:rsidRDefault="00DE6A7F" w:rsidP="002C269C">
            <w:pPr>
              <w:pStyle w:val="NormalWeb"/>
              <w:spacing w:before="0" w:beforeAutospacing="0" w:after="0" w:afterAutospacing="0"/>
              <w:textAlignment w:val="bottom"/>
              <w:rPr>
                <w:rFonts w:ascii="Arial" w:hAnsi="Arial" w:cs="Arial"/>
                <w:sz w:val="20"/>
                <w:szCs w:val="20"/>
              </w:rPr>
            </w:pPr>
            <w:r w:rsidRPr="006E5888">
              <w:rPr>
                <w:color w:val="000000" w:themeColor="text1"/>
                <w:kern w:val="24"/>
                <w:sz w:val="20"/>
                <w:szCs w:val="20"/>
              </w:rPr>
              <w:t>1259</w:t>
            </w:r>
            <w:r w:rsidRPr="006E5888">
              <w:rPr>
                <w:b/>
                <w:bCs/>
                <w:color w:val="000000" w:themeColor="text1"/>
                <w:kern w:val="24"/>
                <w:sz w:val="20"/>
                <w:szCs w:val="20"/>
              </w:rPr>
              <w:t xml:space="preserve">/499 </w:t>
            </w:r>
            <w:r w:rsidRPr="006E5888">
              <w:rPr>
                <w:b/>
                <w:bCs/>
                <w:color w:val="FF0000"/>
                <w:kern w:val="24"/>
                <w:sz w:val="20"/>
                <w:szCs w:val="20"/>
              </w:rPr>
              <w:t>(39,6%)</w:t>
            </w:r>
          </w:p>
        </w:tc>
        <w:tc>
          <w:tcPr>
            <w:tcW w:w="993"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text1"/>
                <w:kern w:val="24"/>
                <w:sz w:val="20"/>
                <w:szCs w:val="20"/>
              </w:rPr>
              <w:t>2361</w:t>
            </w:r>
            <w:r w:rsidRPr="006E5888">
              <w:rPr>
                <w:b/>
                <w:bCs/>
                <w:color w:val="000000" w:themeColor="text1"/>
                <w:kern w:val="24"/>
                <w:sz w:val="20"/>
                <w:szCs w:val="20"/>
              </w:rPr>
              <w:t xml:space="preserve">/1463 </w:t>
            </w:r>
            <w:r w:rsidRPr="006E5888">
              <w:rPr>
                <w:b/>
                <w:bCs/>
                <w:color w:val="FF0000"/>
                <w:kern w:val="24"/>
                <w:sz w:val="20"/>
                <w:szCs w:val="20"/>
              </w:rPr>
              <w:t>(62%)</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text1"/>
                <w:kern w:val="24"/>
                <w:sz w:val="20"/>
                <w:szCs w:val="20"/>
              </w:rPr>
              <w:t>5629</w:t>
            </w:r>
            <w:r w:rsidRPr="006E5888">
              <w:rPr>
                <w:b/>
                <w:bCs/>
                <w:color w:val="000000" w:themeColor="text1"/>
                <w:kern w:val="24"/>
                <w:sz w:val="20"/>
                <w:szCs w:val="20"/>
              </w:rPr>
              <w:t xml:space="preserve">/1667 </w:t>
            </w:r>
            <w:r w:rsidRPr="006E5888">
              <w:rPr>
                <w:b/>
                <w:bCs/>
                <w:color w:val="FF0000"/>
                <w:kern w:val="24"/>
                <w:sz w:val="20"/>
                <w:szCs w:val="20"/>
              </w:rPr>
              <w:t>(29,6%)</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text1"/>
                <w:kern w:val="24"/>
                <w:sz w:val="20"/>
                <w:szCs w:val="20"/>
              </w:rPr>
              <w:t>2339</w:t>
            </w:r>
            <w:r w:rsidRPr="006E5888">
              <w:rPr>
                <w:b/>
                <w:bCs/>
                <w:color w:val="000000" w:themeColor="text1"/>
                <w:kern w:val="24"/>
                <w:sz w:val="20"/>
                <w:szCs w:val="20"/>
              </w:rPr>
              <w:t xml:space="preserve">/2114 </w:t>
            </w:r>
            <w:r w:rsidRPr="006E5888">
              <w:rPr>
                <w:b/>
                <w:bCs/>
                <w:color w:val="FF0000"/>
                <w:kern w:val="24"/>
                <w:sz w:val="20"/>
                <w:szCs w:val="20"/>
              </w:rPr>
              <w:t>(90,4%)</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top"/>
              <w:rPr>
                <w:rFonts w:ascii="Arial" w:hAnsi="Arial" w:cs="Arial"/>
                <w:sz w:val="20"/>
                <w:szCs w:val="20"/>
              </w:rPr>
            </w:pPr>
            <w:r w:rsidRPr="006E5888">
              <w:rPr>
                <w:color w:val="000000" w:themeColor="text1"/>
                <w:kern w:val="24"/>
                <w:sz w:val="20"/>
                <w:szCs w:val="20"/>
              </w:rPr>
              <w:t>28</w:t>
            </w:r>
            <w:r w:rsidRPr="006E5888">
              <w:rPr>
                <w:b/>
                <w:bCs/>
                <w:color w:val="000000" w:themeColor="text1"/>
                <w:kern w:val="24"/>
                <w:sz w:val="20"/>
                <w:szCs w:val="20"/>
              </w:rPr>
              <w:t xml:space="preserve">/22  </w:t>
            </w:r>
            <w:r w:rsidRPr="006E5888">
              <w:rPr>
                <w:b/>
                <w:bCs/>
                <w:color w:val="FF0000"/>
                <w:kern w:val="24"/>
                <w:sz w:val="20"/>
                <w:szCs w:val="20"/>
              </w:rPr>
              <w:t xml:space="preserve">             (78,6%)</w:t>
            </w:r>
          </w:p>
        </w:tc>
        <w:tc>
          <w:tcPr>
            <w:tcW w:w="993"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992"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text1"/>
                <w:kern w:val="24"/>
                <w:sz w:val="20"/>
                <w:szCs w:val="20"/>
              </w:rPr>
              <w:t>1714</w:t>
            </w:r>
            <w:r w:rsidRPr="006E5888">
              <w:rPr>
                <w:b/>
                <w:bCs/>
                <w:color w:val="000000" w:themeColor="text1"/>
                <w:kern w:val="24"/>
                <w:sz w:val="20"/>
                <w:szCs w:val="20"/>
              </w:rPr>
              <w:t xml:space="preserve">/792 </w:t>
            </w:r>
            <w:r w:rsidRPr="006E5888">
              <w:rPr>
                <w:b/>
                <w:bCs/>
                <w:color w:val="FF0000"/>
                <w:kern w:val="24"/>
                <w:sz w:val="20"/>
                <w:szCs w:val="20"/>
              </w:rPr>
              <w:t>(46,2%)</w:t>
            </w:r>
          </w:p>
        </w:tc>
        <w:tc>
          <w:tcPr>
            <w:tcW w:w="1128"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top"/>
              <w:rPr>
                <w:rFonts w:ascii="Arial" w:hAnsi="Arial" w:cs="Arial"/>
                <w:sz w:val="20"/>
                <w:szCs w:val="20"/>
              </w:rPr>
            </w:pPr>
            <w:r w:rsidRPr="006E5888">
              <w:rPr>
                <w:color w:val="000000" w:themeColor="text1"/>
                <w:kern w:val="24"/>
                <w:sz w:val="20"/>
                <w:szCs w:val="20"/>
              </w:rPr>
              <w:t>270</w:t>
            </w:r>
            <w:r w:rsidRPr="006E5888">
              <w:rPr>
                <w:b/>
                <w:bCs/>
                <w:color w:val="000000" w:themeColor="text1"/>
                <w:kern w:val="24"/>
                <w:sz w:val="20"/>
                <w:szCs w:val="20"/>
              </w:rPr>
              <w:t xml:space="preserve">/227       </w:t>
            </w:r>
            <w:r w:rsidRPr="006E5888">
              <w:rPr>
                <w:b/>
                <w:bCs/>
                <w:color w:val="FF0000"/>
                <w:kern w:val="24"/>
                <w:sz w:val="20"/>
                <w:szCs w:val="20"/>
              </w:rPr>
              <w:t xml:space="preserve">           (84%)</w:t>
            </w:r>
          </w:p>
        </w:tc>
      </w:tr>
      <w:tr w:rsidR="00DE6A7F" w:rsidRPr="006E5888" w:rsidTr="002C269C">
        <w:trPr>
          <w:gridAfter w:val="1"/>
          <w:wAfter w:w="36" w:type="dxa"/>
          <w:trHeight w:val="20"/>
        </w:trPr>
        <w:tc>
          <w:tcPr>
            <w:tcW w:w="846" w:type="dxa"/>
            <w:shd w:val="clear" w:color="auto" w:fill="D5DCE4" w:themeFill="text2" w:themeFillTint="33"/>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RTU</w:t>
            </w:r>
          </w:p>
        </w:tc>
        <w:tc>
          <w:tcPr>
            <w:tcW w:w="991"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b/>
                <w:bCs/>
                <w:color w:val="000000"/>
                <w:kern w:val="24"/>
                <w:sz w:val="20"/>
                <w:szCs w:val="20"/>
              </w:rPr>
              <w:t> </w:t>
            </w:r>
          </w:p>
        </w:tc>
        <w:tc>
          <w:tcPr>
            <w:tcW w:w="993"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top"/>
              <w:rPr>
                <w:b/>
                <w:bCs/>
                <w:color w:val="000000" w:themeColor="text1"/>
                <w:kern w:val="24"/>
                <w:sz w:val="20"/>
                <w:szCs w:val="20"/>
              </w:rPr>
            </w:pPr>
            <w:r w:rsidRPr="006E5888">
              <w:rPr>
                <w:color w:val="000000" w:themeColor="text1"/>
                <w:kern w:val="24"/>
                <w:sz w:val="20"/>
                <w:szCs w:val="20"/>
              </w:rPr>
              <w:t>133</w:t>
            </w:r>
            <w:r w:rsidRPr="006E5888">
              <w:rPr>
                <w:b/>
                <w:bCs/>
                <w:color w:val="000000" w:themeColor="text1"/>
                <w:kern w:val="24"/>
                <w:sz w:val="20"/>
                <w:szCs w:val="20"/>
              </w:rPr>
              <w:t>/-</w:t>
            </w:r>
          </w:p>
          <w:p w:rsidR="00DE6A7F" w:rsidRPr="006E5888" w:rsidRDefault="00DE6A7F" w:rsidP="002C269C">
            <w:pPr>
              <w:pStyle w:val="NormalWeb"/>
              <w:spacing w:before="0" w:beforeAutospacing="0" w:after="0" w:afterAutospacing="0"/>
              <w:jc w:val="center"/>
              <w:textAlignment w:val="top"/>
              <w:rPr>
                <w:rFonts w:ascii="Arial" w:hAnsi="Arial" w:cs="Arial"/>
                <w:sz w:val="20"/>
                <w:szCs w:val="20"/>
              </w:rPr>
            </w:pPr>
            <w:r w:rsidRPr="006E5888">
              <w:rPr>
                <w:b/>
                <w:bCs/>
                <w:color w:val="FF0000"/>
                <w:kern w:val="24"/>
                <w:sz w:val="20"/>
                <w:szCs w:val="20"/>
              </w:rPr>
              <w:t>(0,0%)</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text1"/>
                <w:kern w:val="24"/>
                <w:sz w:val="20"/>
                <w:szCs w:val="20"/>
              </w:rPr>
              <w:t>3211</w:t>
            </w:r>
            <w:r w:rsidRPr="006E5888">
              <w:rPr>
                <w:b/>
                <w:bCs/>
                <w:color w:val="000000" w:themeColor="text1"/>
                <w:kern w:val="24"/>
                <w:sz w:val="20"/>
                <w:szCs w:val="20"/>
              </w:rPr>
              <w:t xml:space="preserve">/813 </w:t>
            </w:r>
            <w:r w:rsidRPr="006E5888">
              <w:rPr>
                <w:b/>
                <w:bCs/>
                <w:color w:val="FF0000"/>
                <w:kern w:val="24"/>
                <w:sz w:val="20"/>
                <w:szCs w:val="20"/>
              </w:rPr>
              <w:t xml:space="preserve">   (25,3%)</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text1"/>
                <w:kern w:val="24"/>
                <w:sz w:val="20"/>
                <w:szCs w:val="20"/>
              </w:rPr>
              <w:t>1804</w:t>
            </w:r>
            <w:r w:rsidRPr="006E5888">
              <w:rPr>
                <w:b/>
                <w:bCs/>
                <w:color w:val="000000" w:themeColor="text1"/>
                <w:kern w:val="24"/>
                <w:sz w:val="20"/>
                <w:szCs w:val="20"/>
              </w:rPr>
              <w:t xml:space="preserve">/1544 </w:t>
            </w:r>
            <w:r w:rsidRPr="006E5888">
              <w:rPr>
                <w:b/>
                <w:bCs/>
                <w:color w:val="FF0000"/>
                <w:kern w:val="24"/>
                <w:sz w:val="20"/>
                <w:szCs w:val="20"/>
              </w:rPr>
              <w:t>(85,6%)</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text1"/>
                <w:kern w:val="24"/>
                <w:sz w:val="20"/>
                <w:szCs w:val="20"/>
              </w:rPr>
              <w:t>8418</w:t>
            </w:r>
            <w:r w:rsidRPr="006E5888">
              <w:rPr>
                <w:b/>
                <w:bCs/>
                <w:color w:val="000000" w:themeColor="text1"/>
                <w:kern w:val="24"/>
                <w:sz w:val="20"/>
                <w:szCs w:val="20"/>
              </w:rPr>
              <w:t xml:space="preserve">/6176 </w:t>
            </w:r>
            <w:r w:rsidRPr="006E5888">
              <w:rPr>
                <w:b/>
                <w:bCs/>
                <w:color w:val="FF0000"/>
                <w:kern w:val="24"/>
                <w:sz w:val="20"/>
                <w:szCs w:val="20"/>
              </w:rPr>
              <w:t xml:space="preserve">     (73,4%)</w:t>
            </w:r>
          </w:p>
        </w:tc>
        <w:tc>
          <w:tcPr>
            <w:tcW w:w="993"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992"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b/>
                <w:bCs/>
                <w:color w:val="000000"/>
                <w:kern w:val="24"/>
                <w:sz w:val="20"/>
                <w:szCs w:val="20"/>
              </w:rPr>
              <w:t> </w:t>
            </w:r>
          </w:p>
        </w:tc>
        <w:tc>
          <w:tcPr>
            <w:tcW w:w="1128"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top"/>
              <w:rPr>
                <w:rFonts w:ascii="Arial" w:hAnsi="Arial" w:cs="Arial"/>
                <w:sz w:val="20"/>
                <w:szCs w:val="20"/>
              </w:rPr>
            </w:pPr>
            <w:r w:rsidRPr="006E5888">
              <w:rPr>
                <w:color w:val="000000" w:themeColor="text1"/>
                <w:kern w:val="24"/>
                <w:sz w:val="20"/>
                <w:szCs w:val="20"/>
              </w:rPr>
              <w:t>1231</w:t>
            </w:r>
            <w:r w:rsidRPr="006E5888">
              <w:rPr>
                <w:b/>
                <w:bCs/>
                <w:color w:val="000000" w:themeColor="text1"/>
                <w:kern w:val="24"/>
                <w:sz w:val="20"/>
                <w:szCs w:val="20"/>
              </w:rPr>
              <w:t xml:space="preserve">/463 </w:t>
            </w:r>
            <w:r w:rsidRPr="006E5888">
              <w:rPr>
                <w:b/>
                <w:bCs/>
                <w:color w:val="FF0000"/>
                <w:kern w:val="24"/>
                <w:sz w:val="20"/>
                <w:szCs w:val="20"/>
              </w:rPr>
              <w:t xml:space="preserve">         (37,6%)</w:t>
            </w:r>
          </w:p>
        </w:tc>
      </w:tr>
      <w:tr w:rsidR="00DE6A7F" w:rsidRPr="006E5888" w:rsidTr="002C269C">
        <w:trPr>
          <w:gridAfter w:val="1"/>
          <w:wAfter w:w="36" w:type="dxa"/>
          <w:trHeight w:val="20"/>
        </w:trPr>
        <w:tc>
          <w:tcPr>
            <w:tcW w:w="846" w:type="dxa"/>
            <w:shd w:val="clear" w:color="auto" w:fill="D5DCE4" w:themeFill="text2" w:themeFillTint="33"/>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LLU</w:t>
            </w:r>
          </w:p>
        </w:tc>
        <w:tc>
          <w:tcPr>
            <w:tcW w:w="991"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text1"/>
                <w:kern w:val="24"/>
                <w:sz w:val="20"/>
                <w:szCs w:val="20"/>
              </w:rPr>
              <w:t>144</w:t>
            </w:r>
            <w:r w:rsidRPr="006E5888">
              <w:rPr>
                <w:b/>
                <w:bCs/>
                <w:color w:val="000000" w:themeColor="text1"/>
                <w:kern w:val="24"/>
                <w:sz w:val="20"/>
                <w:szCs w:val="20"/>
              </w:rPr>
              <w:t xml:space="preserve">/67 </w:t>
            </w:r>
            <w:r w:rsidRPr="006E5888">
              <w:rPr>
                <w:b/>
                <w:bCs/>
                <w:color w:val="FF0000"/>
                <w:kern w:val="24"/>
                <w:sz w:val="20"/>
                <w:szCs w:val="20"/>
              </w:rPr>
              <w:t>(46,5%)</w:t>
            </w:r>
          </w:p>
        </w:tc>
        <w:tc>
          <w:tcPr>
            <w:tcW w:w="993"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top"/>
              <w:rPr>
                <w:b/>
                <w:bCs/>
                <w:color w:val="000000" w:themeColor="text1"/>
                <w:kern w:val="24"/>
                <w:sz w:val="20"/>
                <w:szCs w:val="20"/>
              </w:rPr>
            </w:pPr>
            <w:r w:rsidRPr="006E5888">
              <w:rPr>
                <w:color w:val="000000" w:themeColor="text1"/>
                <w:kern w:val="24"/>
                <w:sz w:val="20"/>
                <w:szCs w:val="20"/>
              </w:rPr>
              <w:t>350</w:t>
            </w:r>
            <w:r w:rsidRPr="006E5888">
              <w:rPr>
                <w:b/>
                <w:bCs/>
                <w:color w:val="000000" w:themeColor="text1"/>
                <w:kern w:val="24"/>
                <w:sz w:val="20"/>
                <w:szCs w:val="20"/>
              </w:rPr>
              <w:t>/-</w:t>
            </w:r>
          </w:p>
          <w:p w:rsidR="00DE6A7F" w:rsidRPr="006E5888" w:rsidRDefault="00DE6A7F" w:rsidP="002C269C">
            <w:pPr>
              <w:pStyle w:val="NormalWeb"/>
              <w:spacing w:before="0" w:beforeAutospacing="0" w:after="0" w:afterAutospacing="0"/>
              <w:jc w:val="center"/>
              <w:textAlignment w:val="top"/>
              <w:rPr>
                <w:rFonts w:ascii="Arial" w:hAnsi="Arial" w:cs="Arial"/>
                <w:sz w:val="20"/>
                <w:szCs w:val="20"/>
              </w:rPr>
            </w:pPr>
            <w:r w:rsidRPr="006E5888">
              <w:rPr>
                <w:b/>
                <w:bCs/>
                <w:color w:val="FF0000"/>
                <w:kern w:val="24"/>
                <w:sz w:val="20"/>
                <w:szCs w:val="20"/>
              </w:rPr>
              <w:t>(0,0%)</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top"/>
              <w:rPr>
                <w:rFonts w:ascii="Arial" w:hAnsi="Arial" w:cs="Arial"/>
                <w:sz w:val="20"/>
                <w:szCs w:val="20"/>
              </w:rPr>
            </w:pPr>
            <w:r w:rsidRPr="006E5888">
              <w:rPr>
                <w:color w:val="000000"/>
                <w:kern w:val="24"/>
                <w:sz w:val="20"/>
                <w:szCs w:val="20"/>
              </w:rPr>
              <w:t xml:space="preserve">   </w:t>
            </w:r>
            <w:r w:rsidRPr="006E5888">
              <w:rPr>
                <w:color w:val="000000" w:themeColor="text1"/>
                <w:kern w:val="24"/>
                <w:sz w:val="20"/>
                <w:szCs w:val="20"/>
              </w:rPr>
              <w:t>1702</w:t>
            </w:r>
            <w:r w:rsidRPr="006E5888">
              <w:rPr>
                <w:b/>
                <w:bCs/>
                <w:color w:val="000000" w:themeColor="text1"/>
                <w:kern w:val="24"/>
                <w:sz w:val="20"/>
                <w:szCs w:val="20"/>
              </w:rPr>
              <w:t xml:space="preserve">/1254 </w:t>
            </w:r>
            <w:r w:rsidRPr="006E5888">
              <w:rPr>
                <w:b/>
                <w:bCs/>
                <w:color w:val="FF0000"/>
                <w:kern w:val="24"/>
                <w:sz w:val="20"/>
                <w:szCs w:val="20"/>
              </w:rPr>
              <w:t xml:space="preserve">     (73,7%)</w:t>
            </w:r>
          </w:p>
        </w:tc>
        <w:tc>
          <w:tcPr>
            <w:tcW w:w="993"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top"/>
              <w:rPr>
                <w:rFonts w:ascii="Arial" w:hAnsi="Arial" w:cs="Arial"/>
                <w:sz w:val="20"/>
                <w:szCs w:val="20"/>
              </w:rPr>
            </w:pPr>
            <w:r w:rsidRPr="006E5888">
              <w:rPr>
                <w:color w:val="000000" w:themeColor="text1"/>
                <w:kern w:val="24"/>
                <w:sz w:val="20"/>
                <w:szCs w:val="20"/>
              </w:rPr>
              <w:t>1290</w:t>
            </w:r>
            <w:r w:rsidRPr="006E5888">
              <w:rPr>
                <w:b/>
                <w:bCs/>
                <w:color w:val="000000" w:themeColor="text1"/>
                <w:kern w:val="24"/>
                <w:sz w:val="20"/>
                <w:szCs w:val="20"/>
              </w:rPr>
              <w:t xml:space="preserve">/771 </w:t>
            </w:r>
            <w:r w:rsidRPr="006E5888">
              <w:rPr>
                <w:b/>
                <w:bCs/>
                <w:color w:val="FF0000"/>
                <w:kern w:val="24"/>
                <w:sz w:val="20"/>
                <w:szCs w:val="20"/>
              </w:rPr>
              <w:t xml:space="preserve">                  (59,8%)</w:t>
            </w:r>
          </w:p>
        </w:tc>
        <w:tc>
          <w:tcPr>
            <w:tcW w:w="992"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text1"/>
                <w:kern w:val="24"/>
                <w:sz w:val="20"/>
                <w:szCs w:val="20"/>
              </w:rPr>
              <w:t>19</w:t>
            </w:r>
            <w:r w:rsidRPr="006E5888">
              <w:rPr>
                <w:b/>
                <w:bCs/>
                <w:color w:val="000000" w:themeColor="text1"/>
                <w:kern w:val="24"/>
                <w:sz w:val="20"/>
                <w:szCs w:val="20"/>
              </w:rPr>
              <w:t xml:space="preserve">/19 </w:t>
            </w:r>
            <w:r w:rsidRPr="006E5888">
              <w:rPr>
                <w:b/>
                <w:bCs/>
                <w:color w:val="FF0000"/>
                <w:kern w:val="24"/>
                <w:sz w:val="20"/>
                <w:szCs w:val="20"/>
              </w:rPr>
              <w:t>(100%)</w:t>
            </w:r>
          </w:p>
        </w:tc>
        <w:tc>
          <w:tcPr>
            <w:tcW w:w="1128"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top"/>
              <w:rPr>
                <w:rFonts w:ascii="Arial" w:hAnsi="Arial" w:cs="Arial"/>
                <w:sz w:val="20"/>
                <w:szCs w:val="20"/>
              </w:rPr>
            </w:pPr>
            <w:r w:rsidRPr="006E5888">
              <w:rPr>
                <w:color w:val="000000" w:themeColor="text1"/>
                <w:kern w:val="24"/>
                <w:sz w:val="20"/>
                <w:szCs w:val="20"/>
              </w:rPr>
              <w:t>299</w:t>
            </w:r>
            <w:r w:rsidRPr="006E5888">
              <w:rPr>
                <w:b/>
                <w:bCs/>
                <w:color w:val="000000" w:themeColor="text1"/>
                <w:kern w:val="24"/>
                <w:sz w:val="20"/>
                <w:szCs w:val="20"/>
              </w:rPr>
              <w:t xml:space="preserve">/173     </w:t>
            </w:r>
            <w:r w:rsidRPr="006E5888">
              <w:rPr>
                <w:b/>
                <w:bCs/>
                <w:color w:val="FF0000"/>
                <w:kern w:val="24"/>
                <w:sz w:val="20"/>
                <w:szCs w:val="20"/>
              </w:rPr>
              <w:t xml:space="preserve">            (57,9%)</w:t>
            </w:r>
          </w:p>
        </w:tc>
      </w:tr>
      <w:tr w:rsidR="00DE6A7F" w:rsidRPr="006E5888" w:rsidTr="002C269C">
        <w:trPr>
          <w:gridAfter w:val="1"/>
          <w:wAfter w:w="36" w:type="dxa"/>
          <w:trHeight w:val="20"/>
        </w:trPr>
        <w:tc>
          <w:tcPr>
            <w:tcW w:w="846" w:type="dxa"/>
            <w:shd w:val="clear" w:color="auto" w:fill="D5DCE4" w:themeFill="text2" w:themeFillTint="33"/>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DU</w:t>
            </w:r>
          </w:p>
        </w:tc>
        <w:tc>
          <w:tcPr>
            <w:tcW w:w="991"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text1"/>
                <w:kern w:val="24"/>
                <w:sz w:val="20"/>
                <w:szCs w:val="20"/>
              </w:rPr>
              <w:t>569</w:t>
            </w:r>
            <w:r w:rsidRPr="006E5888">
              <w:rPr>
                <w:b/>
                <w:bCs/>
                <w:color w:val="000000" w:themeColor="text1"/>
                <w:kern w:val="24"/>
                <w:sz w:val="20"/>
                <w:szCs w:val="20"/>
              </w:rPr>
              <w:t>/403</w:t>
            </w:r>
            <w:r w:rsidRPr="006E5888">
              <w:rPr>
                <w:b/>
                <w:bCs/>
                <w:color w:val="FF0000"/>
                <w:kern w:val="24"/>
                <w:sz w:val="20"/>
                <w:szCs w:val="20"/>
              </w:rPr>
              <w:t xml:space="preserve"> (70,8%)</w:t>
            </w:r>
          </w:p>
        </w:tc>
        <w:tc>
          <w:tcPr>
            <w:tcW w:w="993"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text1"/>
                <w:kern w:val="24"/>
                <w:sz w:val="20"/>
                <w:szCs w:val="20"/>
              </w:rPr>
              <w:t>644</w:t>
            </w:r>
            <w:r w:rsidRPr="006E5888">
              <w:rPr>
                <w:b/>
                <w:bCs/>
                <w:color w:val="000000" w:themeColor="text1"/>
                <w:kern w:val="24"/>
                <w:sz w:val="20"/>
                <w:szCs w:val="20"/>
              </w:rPr>
              <w:t xml:space="preserve">/622 </w:t>
            </w:r>
            <w:r w:rsidRPr="006E5888">
              <w:rPr>
                <w:b/>
                <w:bCs/>
                <w:color w:val="FF0000"/>
                <w:kern w:val="24"/>
                <w:sz w:val="20"/>
                <w:szCs w:val="20"/>
              </w:rPr>
              <w:t>(96,6%)</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top"/>
              <w:rPr>
                <w:rFonts w:ascii="Arial" w:hAnsi="Arial" w:cs="Arial"/>
                <w:sz w:val="20"/>
                <w:szCs w:val="20"/>
              </w:rPr>
            </w:pPr>
            <w:r w:rsidRPr="006E5888">
              <w:rPr>
                <w:color w:val="000000" w:themeColor="text1"/>
                <w:kern w:val="24"/>
                <w:sz w:val="20"/>
                <w:szCs w:val="20"/>
              </w:rPr>
              <w:t>353</w:t>
            </w:r>
            <w:r w:rsidRPr="006E5888">
              <w:rPr>
                <w:b/>
                <w:bCs/>
                <w:color w:val="000000" w:themeColor="text1"/>
                <w:kern w:val="24"/>
                <w:sz w:val="20"/>
                <w:szCs w:val="20"/>
              </w:rPr>
              <w:t xml:space="preserve">/231   </w:t>
            </w:r>
            <w:r w:rsidRPr="006E5888">
              <w:rPr>
                <w:b/>
                <w:bCs/>
                <w:color w:val="FF0000"/>
                <w:kern w:val="24"/>
                <w:sz w:val="20"/>
                <w:szCs w:val="20"/>
              </w:rPr>
              <w:t xml:space="preserve">  (65,4%)</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top"/>
              <w:rPr>
                <w:rFonts w:ascii="Arial" w:hAnsi="Arial" w:cs="Arial"/>
                <w:sz w:val="20"/>
                <w:szCs w:val="20"/>
              </w:rPr>
            </w:pPr>
            <w:r w:rsidRPr="006E5888">
              <w:rPr>
                <w:color w:val="000000" w:themeColor="text1"/>
                <w:kern w:val="24"/>
                <w:sz w:val="20"/>
                <w:szCs w:val="20"/>
              </w:rPr>
              <w:t>344</w:t>
            </w:r>
            <w:r w:rsidRPr="006E5888">
              <w:rPr>
                <w:b/>
                <w:bCs/>
                <w:color w:val="000000" w:themeColor="text1"/>
                <w:kern w:val="24"/>
                <w:sz w:val="20"/>
                <w:szCs w:val="20"/>
              </w:rPr>
              <w:t xml:space="preserve">/342 </w:t>
            </w:r>
            <w:r w:rsidRPr="006E5888">
              <w:rPr>
                <w:b/>
                <w:bCs/>
                <w:color w:val="FF0000"/>
                <w:kern w:val="24"/>
                <w:sz w:val="20"/>
                <w:szCs w:val="20"/>
              </w:rPr>
              <w:t xml:space="preserve">   (99,4%)</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993"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992"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text1"/>
                <w:kern w:val="24"/>
                <w:sz w:val="20"/>
                <w:szCs w:val="20"/>
              </w:rPr>
              <w:t>124</w:t>
            </w:r>
            <w:r w:rsidRPr="006E5888">
              <w:rPr>
                <w:b/>
                <w:bCs/>
                <w:color w:val="000000" w:themeColor="text1"/>
                <w:kern w:val="24"/>
                <w:sz w:val="20"/>
                <w:szCs w:val="20"/>
              </w:rPr>
              <w:t xml:space="preserve">/73 </w:t>
            </w:r>
            <w:r w:rsidRPr="006E5888">
              <w:rPr>
                <w:b/>
                <w:bCs/>
                <w:color w:val="FF0000"/>
                <w:kern w:val="24"/>
                <w:sz w:val="20"/>
                <w:szCs w:val="20"/>
              </w:rPr>
              <w:t>(58,9%)</w:t>
            </w:r>
          </w:p>
        </w:tc>
        <w:tc>
          <w:tcPr>
            <w:tcW w:w="1128"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top"/>
              <w:rPr>
                <w:rFonts w:ascii="Arial" w:hAnsi="Arial" w:cs="Arial"/>
                <w:sz w:val="20"/>
                <w:szCs w:val="20"/>
              </w:rPr>
            </w:pPr>
            <w:r w:rsidRPr="006E5888">
              <w:rPr>
                <w:b/>
                <w:bCs/>
                <w:color w:val="000000"/>
                <w:kern w:val="24"/>
                <w:sz w:val="20"/>
                <w:szCs w:val="20"/>
              </w:rPr>
              <w:t xml:space="preserve"> </w:t>
            </w:r>
            <w:r w:rsidRPr="006E5888">
              <w:rPr>
                <w:color w:val="000000" w:themeColor="text1"/>
                <w:kern w:val="24"/>
                <w:sz w:val="20"/>
                <w:szCs w:val="20"/>
              </w:rPr>
              <w:t>184/</w:t>
            </w:r>
            <w:r w:rsidRPr="006E5888">
              <w:rPr>
                <w:b/>
                <w:bCs/>
                <w:color w:val="000000" w:themeColor="text1"/>
                <w:kern w:val="24"/>
                <w:sz w:val="20"/>
                <w:szCs w:val="20"/>
              </w:rPr>
              <w:t xml:space="preserve">129   </w:t>
            </w:r>
            <w:r w:rsidRPr="006E5888">
              <w:rPr>
                <w:b/>
                <w:bCs/>
                <w:color w:val="FF0000"/>
                <w:kern w:val="24"/>
                <w:sz w:val="20"/>
                <w:szCs w:val="20"/>
              </w:rPr>
              <w:t xml:space="preserve">   (70,1%)</w:t>
            </w:r>
          </w:p>
        </w:tc>
      </w:tr>
      <w:tr w:rsidR="00DE6A7F" w:rsidRPr="006E5888" w:rsidTr="002C269C">
        <w:trPr>
          <w:gridAfter w:val="1"/>
          <w:wAfter w:w="36" w:type="dxa"/>
          <w:trHeight w:val="20"/>
        </w:trPr>
        <w:tc>
          <w:tcPr>
            <w:tcW w:w="846" w:type="dxa"/>
            <w:shd w:val="clear" w:color="auto" w:fill="D5DCE4" w:themeFill="text2" w:themeFillTint="33"/>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lastRenderedPageBreak/>
              <w:t>RSU</w:t>
            </w:r>
          </w:p>
        </w:tc>
        <w:tc>
          <w:tcPr>
            <w:tcW w:w="991"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top"/>
              <w:rPr>
                <w:b/>
                <w:bCs/>
                <w:color w:val="000000" w:themeColor="text1"/>
                <w:kern w:val="24"/>
                <w:sz w:val="20"/>
                <w:szCs w:val="20"/>
              </w:rPr>
            </w:pPr>
            <w:r w:rsidRPr="006E5888">
              <w:rPr>
                <w:color w:val="000000" w:themeColor="text1"/>
                <w:kern w:val="24"/>
                <w:sz w:val="20"/>
                <w:szCs w:val="20"/>
              </w:rPr>
              <w:t>11</w:t>
            </w:r>
            <w:r w:rsidRPr="006E5888">
              <w:rPr>
                <w:b/>
                <w:bCs/>
                <w:color w:val="000000" w:themeColor="text1"/>
                <w:kern w:val="24"/>
                <w:sz w:val="20"/>
                <w:szCs w:val="20"/>
              </w:rPr>
              <w:t>/-</w:t>
            </w:r>
          </w:p>
          <w:p w:rsidR="00DE6A7F" w:rsidRPr="006E5888" w:rsidRDefault="00DE6A7F" w:rsidP="002C269C">
            <w:pPr>
              <w:pStyle w:val="NormalWeb"/>
              <w:spacing w:before="0" w:beforeAutospacing="0" w:after="0" w:afterAutospacing="0"/>
              <w:jc w:val="center"/>
              <w:textAlignment w:val="top"/>
              <w:rPr>
                <w:rFonts w:ascii="Arial" w:hAnsi="Arial" w:cs="Arial"/>
                <w:sz w:val="20"/>
                <w:szCs w:val="20"/>
              </w:rPr>
            </w:pPr>
            <w:r w:rsidRPr="006E5888">
              <w:rPr>
                <w:b/>
                <w:bCs/>
                <w:color w:val="FF0000"/>
                <w:kern w:val="24"/>
                <w:sz w:val="20"/>
                <w:szCs w:val="20"/>
              </w:rPr>
              <w:t>(0,0%)</w:t>
            </w:r>
          </w:p>
        </w:tc>
        <w:tc>
          <w:tcPr>
            <w:tcW w:w="993"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center"/>
              <w:rPr>
                <w:rFonts w:ascii="Arial" w:hAnsi="Arial" w:cs="Arial"/>
                <w:sz w:val="20"/>
                <w:szCs w:val="20"/>
              </w:rPr>
            </w:pPr>
            <w:r w:rsidRPr="006E5888">
              <w:rPr>
                <w:color w:val="000000"/>
                <w:kern w:val="24"/>
                <w:sz w:val="20"/>
                <w:szCs w:val="20"/>
              </w:rPr>
              <w:t> </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top"/>
              <w:rPr>
                <w:rFonts w:ascii="Arial" w:hAnsi="Arial" w:cs="Arial"/>
                <w:sz w:val="20"/>
                <w:szCs w:val="20"/>
              </w:rPr>
            </w:pPr>
            <w:r w:rsidRPr="006E5888">
              <w:rPr>
                <w:color w:val="000000" w:themeColor="text1"/>
                <w:kern w:val="24"/>
                <w:sz w:val="20"/>
                <w:szCs w:val="20"/>
              </w:rPr>
              <w:t>2103</w:t>
            </w:r>
            <w:r w:rsidRPr="006E5888">
              <w:rPr>
                <w:b/>
                <w:bCs/>
                <w:color w:val="000000" w:themeColor="text1"/>
                <w:kern w:val="24"/>
                <w:sz w:val="20"/>
                <w:szCs w:val="20"/>
              </w:rPr>
              <w:t xml:space="preserve">/5   </w:t>
            </w:r>
            <w:r w:rsidRPr="006E5888">
              <w:rPr>
                <w:b/>
                <w:bCs/>
                <w:color w:val="FF0000"/>
                <w:kern w:val="24"/>
                <w:sz w:val="20"/>
                <w:szCs w:val="20"/>
              </w:rPr>
              <w:t xml:space="preserve">      (0,2%)</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top"/>
              <w:rPr>
                <w:rFonts w:ascii="Arial" w:hAnsi="Arial" w:cs="Arial"/>
                <w:sz w:val="20"/>
                <w:szCs w:val="20"/>
              </w:rPr>
            </w:pPr>
            <w:r w:rsidRPr="006E5888">
              <w:rPr>
                <w:color w:val="000000" w:themeColor="text1"/>
                <w:kern w:val="24"/>
                <w:sz w:val="20"/>
                <w:szCs w:val="20"/>
              </w:rPr>
              <w:t>6</w:t>
            </w:r>
            <w:r w:rsidRPr="006E5888">
              <w:rPr>
                <w:b/>
                <w:bCs/>
                <w:color w:val="000000" w:themeColor="text1"/>
                <w:kern w:val="24"/>
                <w:sz w:val="20"/>
                <w:szCs w:val="20"/>
              </w:rPr>
              <w:t xml:space="preserve">/6  </w:t>
            </w:r>
            <w:r w:rsidRPr="006E5888">
              <w:rPr>
                <w:b/>
                <w:bCs/>
                <w:color w:val="FF0000"/>
                <w:kern w:val="24"/>
                <w:sz w:val="20"/>
                <w:szCs w:val="20"/>
              </w:rPr>
              <w:t xml:space="preserve">          (100%)</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993"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992"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text1"/>
                <w:kern w:val="24"/>
                <w:sz w:val="20"/>
                <w:szCs w:val="20"/>
              </w:rPr>
              <w:t>5429</w:t>
            </w:r>
            <w:r w:rsidRPr="006E5888">
              <w:rPr>
                <w:b/>
                <w:bCs/>
                <w:color w:val="000000" w:themeColor="text1"/>
                <w:kern w:val="24"/>
                <w:sz w:val="20"/>
                <w:szCs w:val="20"/>
              </w:rPr>
              <w:t>/3152</w:t>
            </w:r>
            <w:r w:rsidRPr="006E5888">
              <w:rPr>
                <w:b/>
                <w:bCs/>
                <w:color w:val="FF0000"/>
                <w:kern w:val="24"/>
                <w:sz w:val="20"/>
                <w:szCs w:val="20"/>
              </w:rPr>
              <w:t xml:space="preserve"> (58%)</w:t>
            </w:r>
          </w:p>
        </w:tc>
        <w:tc>
          <w:tcPr>
            <w:tcW w:w="1128"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top"/>
              <w:rPr>
                <w:b/>
                <w:bCs/>
                <w:color w:val="000000" w:themeColor="text1"/>
                <w:kern w:val="24"/>
                <w:sz w:val="20"/>
                <w:szCs w:val="20"/>
              </w:rPr>
            </w:pPr>
            <w:r w:rsidRPr="006E5888">
              <w:rPr>
                <w:color w:val="000000" w:themeColor="text1"/>
                <w:kern w:val="24"/>
                <w:sz w:val="20"/>
                <w:szCs w:val="20"/>
              </w:rPr>
              <w:t>225</w:t>
            </w:r>
            <w:r w:rsidRPr="006E5888">
              <w:rPr>
                <w:b/>
                <w:bCs/>
                <w:color w:val="000000" w:themeColor="text1"/>
                <w:kern w:val="24"/>
                <w:sz w:val="20"/>
                <w:szCs w:val="20"/>
              </w:rPr>
              <w:t>/-</w:t>
            </w:r>
          </w:p>
          <w:p w:rsidR="00DE6A7F" w:rsidRPr="006E5888" w:rsidRDefault="00DE6A7F" w:rsidP="002C269C">
            <w:pPr>
              <w:pStyle w:val="NormalWeb"/>
              <w:spacing w:before="0" w:beforeAutospacing="0" w:after="0" w:afterAutospacing="0"/>
              <w:jc w:val="center"/>
              <w:textAlignment w:val="top"/>
              <w:rPr>
                <w:rFonts w:ascii="Arial" w:hAnsi="Arial" w:cs="Arial"/>
                <w:sz w:val="20"/>
                <w:szCs w:val="20"/>
              </w:rPr>
            </w:pPr>
            <w:r w:rsidRPr="006E5888">
              <w:rPr>
                <w:b/>
                <w:bCs/>
                <w:color w:val="FF0000"/>
                <w:kern w:val="24"/>
                <w:sz w:val="20"/>
                <w:szCs w:val="20"/>
              </w:rPr>
              <w:t>(0,0%)</w:t>
            </w:r>
          </w:p>
        </w:tc>
      </w:tr>
      <w:tr w:rsidR="00DE6A7F" w:rsidRPr="006E5888" w:rsidTr="002C269C">
        <w:trPr>
          <w:gridAfter w:val="1"/>
          <w:wAfter w:w="36" w:type="dxa"/>
          <w:trHeight w:val="20"/>
        </w:trPr>
        <w:tc>
          <w:tcPr>
            <w:tcW w:w="846" w:type="dxa"/>
            <w:shd w:val="clear" w:color="auto" w:fill="D5DCE4" w:themeFill="text2" w:themeFillTint="33"/>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proofErr w:type="spellStart"/>
            <w:r w:rsidRPr="006E5888">
              <w:rPr>
                <w:color w:val="000000"/>
                <w:kern w:val="24"/>
                <w:sz w:val="20"/>
                <w:szCs w:val="20"/>
              </w:rPr>
              <w:t>LiepU</w:t>
            </w:r>
            <w:proofErr w:type="spellEnd"/>
          </w:p>
        </w:tc>
        <w:tc>
          <w:tcPr>
            <w:tcW w:w="991"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text1"/>
                <w:kern w:val="24"/>
                <w:sz w:val="20"/>
                <w:szCs w:val="20"/>
              </w:rPr>
              <w:t>509</w:t>
            </w:r>
            <w:r w:rsidRPr="006E5888">
              <w:rPr>
                <w:b/>
                <w:bCs/>
                <w:color w:val="000000" w:themeColor="text1"/>
                <w:kern w:val="24"/>
                <w:sz w:val="20"/>
                <w:szCs w:val="20"/>
              </w:rPr>
              <w:t xml:space="preserve">/304 </w:t>
            </w:r>
            <w:r w:rsidRPr="006E5888">
              <w:rPr>
                <w:b/>
                <w:bCs/>
                <w:color w:val="FF0000"/>
                <w:kern w:val="24"/>
                <w:sz w:val="20"/>
                <w:szCs w:val="20"/>
              </w:rPr>
              <w:t>(59,7%)</w:t>
            </w:r>
          </w:p>
        </w:tc>
        <w:tc>
          <w:tcPr>
            <w:tcW w:w="993"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text1"/>
                <w:kern w:val="24"/>
                <w:sz w:val="20"/>
                <w:szCs w:val="20"/>
              </w:rPr>
              <w:t>271</w:t>
            </w:r>
            <w:r w:rsidRPr="006E5888">
              <w:rPr>
                <w:b/>
                <w:bCs/>
                <w:color w:val="000000" w:themeColor="text1"/>
                <w:kern w:val="24"/>
                <w:sz w:val="20"/>
                <w:szCs w:val="20"/>
              </w:rPr>
              <w:t>/219</w:t>
            </w:r>
            <w:r w:rsidRPr="006E5888">
              <w:rPr>
                <w:b/>
                <w:bCs/>
                <w:color w:val="FF0000"/>
                <w:kern w:val="24"/>
                <w:sz w:val="20"/>
                <w:szCs w:val="20"/>
              </w:rPr>
              <w:t xml:space="preserve"> (80,8%)</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top"/>
              <w:rPr>
                <w:rFonts w:ascii="Arial" w:hAnsi="Arial" w:cs="Arial"/>
                <w:sz w:val="20"/>
                <w:szCs w:val="20"/>
              </w:rPr>
            </w:pPr>
            <w:r w:rsidRPr="006E5888">
              <w:rPr>
                <w:color w:val="000000" w:themeColor="text1"/>
                <w:kern w:val="24"/>
                <w:sz w:val="20"/>
                <w:szCs w:val="20"/>
              </w:rPr>
              <w:t>252</w:t>
            </w:r>
            <w:r w:rsidRPr="006E5888">
              <w:rPr>
                <w:b/>
                <w:bCs/>
                <w:color w:val="000000" w:themeColor="text1"/>
                <w:kern w:val="24"/>
                <w:sz w:val="20"/>
                <w:szCs w:val="20"/>
              </w:rPr>
              <w:t>/91</w:t>
            </w:r>
            <w:r w:rsidRPr="006E5888">
              <w:rPr>
                <w:b/>
                <w:bCs/>
                <w:color w:val="FF0000"/>
                <w:kern w:val="24"/>
                <w:sz w:val="20"/>
                <w:szCs w:val="20"/>
              </w:rPr>
              <w:t xml:space="preserve">             (36,1%)</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top"/>
              <w:rPr>
                <w:rFonts w:ascii="Arial" w:hAnsi="Arial" w:cs="Arial"/>
                <w:sz w:val="20"/>
                <w:szCs w:val="20"/>
              </w:rPr>
            </w:pPr>
            <w:r w:rsidRPr="006E5888">
              <w:rPr>
                <w:color w:val="000000" w:themeColor="text1"/>
                <w:kern w:val="24"/>
                <w:sz w:val="20"/>
                <w:szCs w:val="20"/>
              </w:rPr>
              <w:t>144</w:t>
            </w:r>
            <w:r w:rsidRPr="006E5888">
              <w:rPr>
                <w:b/>
                <w:bCs/>
                <w:color w:val="000000" w:themeColor="text1"/>
                <w:kern w:val="24"/>
                <w:sz w:val="20"/>
                <w:szCs w:val="20"/>
              </w:rPr>
              <w:t xml:space="preserve">/135  </w:t>
            </w:r>
            <w:r w:rsidRPr="006E5888">
              <w:rPr>
                <w:b/>
                <w:bCs/>
                <w:color w:val="FF0000"/>
                <w:kern w:val="24"/>
                <w:sz w:val="20"/>
                <w:szCs w:val="20"/>
              </w:rPr>
              <w:t xml:space="preserve">             (93,4%)</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top"/>
              <w:rPr>
                <w:rFonts w:ascii="Arial" w:hAnsi="Arial" w:cs="Arial"/>
                <w:sz w:val="20"/>
                <w:szCs w:val="20"/>
              </w:rPr>
            </w:pPr>
            <w:r w:rsidRPr="006E5888">
              <w:rPr>
                <w:color w:val="000000" w:themeColor="text1"/>
                <w:kern w:val="24"/>
                <w:sz w:val="20"/>
                <w:szCs w:val="20"/>
              </w:rPr>
              <w:t>15</w:t>
            </w:r>
            <w:r w:rsidRPr="006E5888">
              <w:rPr>
                <w:b/>
                <w:bCs/>
                <w:color w:val="000000" w:themeColor="text1"/>
                <w:kern w:val="24"/>
                <w:sz w:val="20"/>
                <w:szCs w:val="20"/>
              </w:rPr>
              <w:t xml:space="preserve">/15 </w:t>
            </w:r>
            <w:r w:rsidRPr="006E5888">
              <w:rPr>
                <w:b/>
                <w:bCs/>
                <w:color w:val="FF0000"/>
                <w:kern w:val="24"/>
                <w:sz w:val="20"/>
                <w:szCs w:val="20"/>
              </w:rPr>
              <w:t xml:space="preserve">               (100%)</w:t>
            </w:r>
          </w:p>
        </w:tc>
        <w:tc>
          <w:tcPr>
            <w:tcW w:w="993"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992"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text1"/>
                <w:kern w:val="24"/>
                <w:sz w:val="20"/>
                <w:szCs w:val="20"/>
              </w:rPr>
              <w:t>141</w:t>
            </w:r>
            <w:r w:rsidRPr="006E5888">
              <w:rPr>
                <w:b/>
                <w:bCs/>
                <w:color w:val="000000" w:themeColor="text1"/>
                <w:kern w:val="24"/>
                <w:sz w:val="20"/>
                <w:szCs w:val="20"/>
              </w:rPr>
              <w:t xml:space="preserve">/64 </w:t>
            </w:r>
            <w:r w:rsidRPr="006E5888">
              <w:rPr>
                <w:b/>
                <w:bCs/>
                <w:color w:val="FF0000"/>
                <w:kern w:val="24"/>
                <w:sz w:val="20"/>
                <w:szCs w:val="20"/>
              </w:rPr>
              <w:t>(45,4%)</w:t>
            </w:r>
          </w:p>
        </w:tc>
        <w:tc>
          <w:tcPr>
            <w:tcW w:w="1128"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top"/>
              <w:rPr>
                <w:rFonts w:ascii="Arial" w:hAnsi="Arial" w:cs="Arial"/>
                <w:sz w:val="20"/>
                <w:szCs w:val="20"/>
              </w:rPr>
            </w:pPr>
            <w:r w:rsidRPr="006E5888">
              <w:rPr>
                <w:color w:val="000000" w:themeColor="text1"/>
                <w:kern w:val="24"/>
                <w:sz w:val="20"/>
                <w:szCs w:val="20"/>
              </w:rPr>
              <w:t>109</w:t>
            </w:r>
            <w:r w:rsidRPr="006E5888">
              <w:rPr>
                <w:b/>
                <w:bCs/>
                <w:color w:val="000000" w:themeColor="text1"/>
                <w:kern w:val="24"/>
                <w:sz w:val="20"/>
                <w:szCs w:val="20"/>
              </w:rPr>
              <w:t xml:space="preserve">/93  </w:t>
            </w:r>
            <w:r w:rsidRPr="006E5888">
              <w:rPr>
                <w:b/>
                <w:bCs/>
                <w:color w:val="FF0000"/>
                <w:kern w:val="24"/>
                <w:sz w:val="20"/>
                <w:szCs w:val="20"/>
              </w:rPr>
              <w:t xml:space="preserve">     (85,3%)</w:t>
            </w:r>
          </w:p>
        </w:tc>
      </w:tr>
      <w:tr w:rsidR="00DE6A7F" w:rsidRPr="006E5888" w:rsidTr="002C269C">
        <w:trPr>
          <w:gridAfter w:val="1"/>
          <w:wAfter w:w="36" w:type="dxa"/>
          <w:trHeight w:val="20"/>
        </w:trPr>
        <w:tc>
          <w:tcPr>
            <w:tcW w:w="846" w:type="dxa"/>
            <w:shd w:val="clear" w:color="auto" w:fill="D5DCE4" w:themeFill="text2" w:themeFillTint="33"/>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RPIVA</w:t>
            </w:r>
          </w:p>
        </w:tc>
        <w:tc>
          <w:tcPr>
            <w:tcW w:w="991"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text1"/>
                <w:kern w:val="24"/>
                <w:sz w:val="20"/>
                <w:szCs w:val="20"/>
              </w:rPr>
              <w:t>2608</w:t>
            </w:r>
            <w:r w:rsidRPr="006E5888">
              <w:rPr>
                <w:b/>
                <w:bCs/>
                <w:color w:val="000000" w:themeColor="text1"/>
                <w:kern w:val="24"/>
                <w:sz w:val="20"/>
                <w:szCs w:val="20"/>
              </w:rPr>
              <w:t>/522</w:t>
            </w:r>
            <w:r w:rsidRPr="006E5888">
              <w:rPr>
                <w:b/>
                <w:bCs/>
                <w:color w:val="FF0000"/>
                <w:kern w:val="24"/>
                <w:sz w:val="20"/>
                <w:szCs w:val="20"/>
              </w:rPr>
              <w:t xml:space="preserve"> (20%)</w:t>
            </w:r>
          </w:p>
        </w:tc>
        <w:tc>
          <w:tcPr>
            <w:tcW w:w="993"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top"/>
              <w:rPr>
                <w:rFonts w:ascii="Arial" w:hAnsi="Arial" w:cs="Arial"/>
                <w:sz w:val="20"/>
                <w:szCs w:val="20"/>
              </w:rPr>
            </w:pPr>
            <w:r w:rsidRPr="006E5888">
              <w:rPr>
                <w:color w:val="000000" w:themeColor="text1"/>
                <w:kern w:val="24"/>
                <w:sz w:val="20"/>
                <w:szCs w:val="20"/>
              </w:rPr>
              <w:t>538</w:t>
            </w:r>
            <w:r w:rsidRPr="006E5888">
              <w:rPr>
                <w:b/>
                <w:bCs/>
                <w:color w:val="000000" w:themeColor="text1"/>
                <w:kern w:val="24"/>
                <w:sz w:val="20"/>
                <w:szCs w:val="20"/>
              </w:rPr>
              <w:t xml:space="preserve">/67 </w:t>
            </w:r>
            <w:r w:rsidRPr="006E5888">
              <w:rPr>
                <w:b/>
                <w:bCs/>
                <w:color w:val="FF0000"/>
                <w:kern w:val="24"/>
                <w:sz w:val="20"/>
                <w:szCs w:val="20"/>
              </w:rPr>
              <w:t xml:space="preserve">      (12,5%)</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993"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992"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b/>
                <w:bCs/>
                <w:color w:val="000000"/>
                <w:kern w:val="24"/>
                <w:sz w:val="20"/>
                <w:szCs w:val="20"/>
              </w:rPr>
              <w:t> </w:t>
            </w:r>
          </w:p>
        </w:tc>
        <w:tc>
          <w:tcPr>
            <w:tcW w:w="1128"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top"/>
              <w:rPr>
                <w:b/>
                <w:bCs/>
                <w:color w:val="000000" w:themeColor="text1"/>
                <w:kern w:val="24"/>
                <w:sz w:val="20"/>
                <w:szCs w:val="20"/>
              </w:rPr>
            </w:pPr>
            <w:r w:rsidRPr="006E5888">
              <w:rPr>
                <w:color w:val="000000" w:themeColor="text1"/>
                <w:kern w:val="24"/>
                <w:sz w:val="20"/>
                <w:szCs w:val="20"/>
              </w:rPr>
              <w:t>74</w:t>
            </w:r>
            <w:r w:rsidRPr="006E5888">
              <w:rPr>
                <w:b/>
                <w:bCs/>
                <w:color w:val="000000" w:themeColor="text1"/>
                <w:kern w:val="24"/>
                <w:sz w:val="20"/>
                <w:szCs w:val="20"/>
              </w:rPr>
              <w:t>/-</w:t>
            </w:r>
          </w:p>
          <w:p w:rsidR="00DE6A7F" w:rsidRPr="006E5888" w:rsidRDefault="00DE6A7F" w:rsidP="002C269C">
            <w:pPr>
              <w:pStyle w:val="NormalWeb"/>
              <w:spacing w:before="0" w:beforeAutospacing="0" w:after="0" w:afterAutospacing="0"/>
              <w:jc w:val="center"/>
              <w:textAlignment w:val="top"/>
              <w:rPr>
                <w:rFonts w:ascii="Arial" w:hAnsi="Arial" w:cs="Arial"/>
                <w:sz w:val="20"/>
                <w:szCs w:val="20"/>
              </w:rPr>
            </w:pPr>
            <w:r w:rsidRPr="006E5888">
              <w:rPr>
                <w:b/>
                <w:bCs/>
                <w:color w:val="FF0000"/>
                <w:kern w:val="24"/>
                <w:sz w:val="20"/>
                <w:szCs w:val="20"/>
              </w:rPr>
              <w:t>(0,0%)</w:t>
            </w:r>
          </w:p>
        </w:tc>
      </w:tr>
      <w:tr w:rsidR="00DE6A7F" w:rsidRPr="006E5888" w:rsidTr="002C269C">
        <w:trPr>
          <w:gridAfter w:val="1"/>
          <w:wAfter w:w="36" w:type="dxa"/>
          <w:trHeight w:val="20"/>
        </w:trPr>
        <w:tc>
          <w:tcPr>
            <w:tcW w:w="846" w:type="dxa"/>
            <w:shd w:val="clear" w:color="auto" w:fill="D5DCE4" w:themeFill="text2" w:themeFillTint="33"/>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proofErr w:type="spellStart"/>
            <w:r w:rsidRPr="006E5888">
              <w:rPr>
                <w:color w:val="000000"/>
                <w:kern w:val="24"/>
                <w:sz w:val="20"/>
                <w:szCs w:val="20"/>
              </w:rPr>
              <w:t>J.Vītola</w:t>
            </w:r>
            <w:proofErr w:type="spellEnd"/>
            <w:r w:rsidRPr="006E5888">
              <w:rPr>
                <w:color w:val="000000"/>
                <w:kern w:val="24"/>
                <w:sz w:val="20"/>
                <w:szCs w:val="20"/>
              </w:rPr>
              <w:t xml:space="preserve"> LMA</w:t>
            </w:r>
          </w:p>
        </w:tc>
        <w:tc>
          <w:tcPr>
            <w:tcW w:w="991"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text1"/>
                <w:kern w:val="24"/>
                <w:sz w:val="20"/>
                <w:szCs w:val="20"/>
              </w:rPr>
              <w:t>86</w:t>
            </w:r>
            <w:r w:rsidRPr="006E5888">
              <w:rPr>
                <w:b/>
                <w:bCs/>
                <w:color w:val="000000" w:themeColor="text1"/>
                <w:kern w:val="24"/>
                <w:sz w:val="20"/>
                <w:szCs w:val="20"/>
              </w:rPr>
              <w:t xml:space="preserve">/70  </w:t>
            </w:r>
            <w:r w:rsidRPr="006E5888">
              <w:rPr>
                <w:b/>
                <w:bCs/>
                <w:color w:val="FF0000"/>
                <w:kern w:val="24"/>
                <w:sz w:val="20"/>
                <w:szCs w:val="20"/>
              </w:rPr>
              <w:t xml:space="preserve">  (81,4%)</w:t>
            </w:r>
          </w:p>
        </w:tc>
        <w:tc>
          <w:tcPr>
            <w:tcW w:w="993"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text1"/>
                <w:kern w:val="24"/>
                <w:sz w:val="20"/>
                <w:szCs w:val="20"/>
              </w:rPr>
              <w:t>435</w:t>
            </w:r>
            <w:r w:rsidRPr="006E5888">
              <w:rPr>
                <w:b/>
                <w:bCs/>
                <w:color w:val="000000" w:themeColor="text1"/>
                <w:kern w:val="24"/>
                <w:sz w:val="20"/>
                <w:szCs w:val="20"/>
              </w:rPr>
              <w:t xml:space="preserve">/383     </w:t>
            </w:r>
            <w:r w:rsidRPr="006E5888">
              <w:rPr>
                <w:b/>
                <w:bCs/>
                <w:color w:val="FF0000"/>
                <w:kern w:val="24"/>
                <w:sz w:val="20"/>
                <w:szCs w:val="20"/>
              </w:rPr>
              <w:t>(88%)</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993"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992"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1128"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r>
      <w:tr w:rsidR="00DE6A7F" w:rsidRPr="006E5888" w:rsidTr="002C269C">
        <w:trPr>
          <w:gridAfter w:val="1"/>
          <w:wAfter w:w="36" w:type="dxa"/>
          <w:trHeight w:val="20"/>
        </w:trPr>
        <w:tc>
          <w:tcPr>
            <w:tcW w:w="846" w:type="dxa"/>
            <w:shd w:val="clear" w:color="auto" w:fill="D5DCE4" w:themeFill="text2" w:themeFillTint="33"/>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LMA</w:t>
            </w:r>
          </w:p>
        </w:tc>
        <w:tc>
          <w:tcPr>
            <w:tcW w:w="991"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993"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text1"/>
                <w:kern w:val="24"/>
                <w:sz w:val="20"/>
                <w:szCs w:val="20"/>
              </w:rPr>
              <w:t>821</w:t>
            </w:r>
            <w:r w:rsidRPr="006E5888">
              <w:rPr>
                <w:b/>
                <w:bCs/>
                <w:color w:val="000000" w:themeColor="text1"/>
                <w:kern w:val="24"/>
                <w:sz w:val="20"/>
                <w:szCs w:val="20"/>
              </w:rPr>
              <w:t xml:space="preserve">/821  </w:t>
            </w:r>
            <w:r w:rsidRPr="006E5888">
              <w:rPr>
                <w:b/>
                <w:bCs/>
                <w:color w:val="FF0000"/>
                <w:kern w:val="24"/>
                <w:sz w:val="20"/>
                <w:szCs w:val="20"/>
              </w:rPr>
              <w:t>(100%)</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993"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992"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1128"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r>
      <w:tr w:rsidR="00DE6A7F" w:rsidRPr="006E5888" w:rsidTr="002C269C">
        <w:trPr>
          <w:gridAfter w:val="1"/>
          <w:wAfter w:w="36" w:type="dxa"/>
          <w:trHeight w:val="20"/>
        </w:trPr>
        <w:tc>
          <w:tcPr>
            <w:tcW w:w="846" w:type="dxa"/>
            <w:shd w:val="clear" w:color="auto" w:fill="D5DCE4" w:themeFill="text2" w:themeFillTint="33"/>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LKA</w:t>
            </w:r>
          </w:p>
        </w:tc>
        <w:tc>
          <w:tcPr>
            <w:tcW w:w="991"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993"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text1"/>
                <w:kern w:val="24"/>
                <w:sz w:val="20"/>
                <w:szCs w:val="20"/>
              </w:rPr>
              <w:t>598</w:t>
            </w:r>
            <w:r w:rsidRPr="006E5888">
              <w:rPr>
                <w:b/>
                <w:bCs/>
                <w:color w:val="000000" w:themeColor="text1"/>
                <w:kern w:val="24"/>
                <w:sz w:val="20"/>
                <w:szCs w:val="20"/>
              </w:rPr>
              <w:t xml:space="preserve">/353   </w:t>
            </w:r>
            <w:r w:rsidRPr="006E5888">
              <w:rPr>
                <w:b/>
                <w:bCs/>
                <w:color w:val="FF0000"/>
                <w:kern w:val="24"/>
                <w:sz w:val="20"/>
                <w:szCs w:val="20"/>
              </w:rPr>
              <w:t xml:space="preserve"> (59%)</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themeColor="text1"/>
                <w:kern w:val="24"/>
                <w:sz w:val="20"/>
                <w:szCs w:val="20"/>
              </w:rPr>
              <w:t>357</w:t>
            </w:r>
            <w:r w:rsidRPr="006E5888">
              <w:rPr>
                <w:b/>
                <w:bCs/>
                <w:color w:val="000000" w:themeColor="text1"/>
                <w:kern w:val="24"/>
                <w:sz w:val="20"/>
                <w:szCs w:val="20"/>
              </w:rPr>
              <w:t>/107</w:t>
            </w:r>
            <w:r w:rsidRPr="006E5888">
              <w:rPr>
                <w:b/>
                <w:bCs/>
                <w:color w:val="FF0000"/>
                <w:kern w:val="24"/>
                <w:sz w:val="20"/>
                <w:szCs w:val="20"/>
              </w:rPr>
              <w:t xml:space="preserve">        (30%)</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1134"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993"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992"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c>
          <w:tcPr>
            <w:tcW w:w="1128" w:type="dxa"/>
            <w:tcMar>
              <w:left w:w="28" w:type="dxa"/>
              <w:right w:w="28" w:type="dxa"/>
            </w:tcMar>
            <w:vAlign w:val="center"/>
          </w:tcPr>
          <w:p w:rsidR="00DE6A7F" w:rsidRPr="006E5888" w:rsidRDefault="00DE6A7F" w:rsidP="002C269C">
            <w:pPr>
              <w:pStyle w:val="NormalWeb"/>
              <w:spacing w:before="0" w:beforeAutospacing="0" w:after="0" w:afterAutospacing="0"/>
              <w:jc w:val="center"/>
              <w:textAlignment w:val="bottom"/>
              <w:rPr>
                <w:rFonts w:ascii="Arial" w:hAnsi="Arial" w:cs="Arial"/>
                <w:sz w:val="20"/>
                <w:szCs w:val="20"/>
              </w:rPr>
            </w:pPr>
            <w:r w:rsidRPr="006E5888">
              <w:rPr>
                <w:color w:val="000000"/>
                <w:kern w:val="24"/>
                <w:sz w:val="20"/>
                <w:szCs w:val="20"/>
              </w:rPr>
              <w:t> </w:t>
            </w:r>
          </w:p>
        </w:tc>
      </w:tr>
      <w:tr w:rsidR="00DE6A7F" w:rsidRPr="006E5888" w:rsidTr="002C269C">
        <w:trPr>
          <w:trHeight w:val="20"/>
        </w:trPr>
        <w:tc>
          <w:tcPr>
            <w:tcW w:w="9381" w:type="dxa"/>
            <w:gridSpan w:val="10"/>
            <w:shd w:val="clear" w:color="auto" w:fill="auto"/>
            <w:tcMar>
              <w:left w:w="28" w:type="dxa"/>
              <w:right w:w="28" w:type="dxa"/>
            </w:tcMar>
            <w:vAlign w:val="center"/>
          </w:tcPr>
          <w:p w:rsidR="00DE6A7F" w:rsidRPr="006E5888" w:rsidRDefault="00DE6A7F" w:rsidP="002C269C">
            <w:pPr>
              <w:pStyle w:val="NormalWeb"/>
              <w:spacing w:before="0" w:beforeAutospacing="0" w:after="0" w:afterAutospacing="0"/>
              <w:jc w:val="both"/>
              <w:textAlignment w:val="bottom"/>
              <w:rPr>
                <w:color w:val="000000"/>
                <w:kern w:val="24"/>
                <w:sz w:val="20"/>
                <w:szCs w:val="20"/>
              </w:rPr>
            </w:pPr>
            <w:r w:rsidRPr="006E5888">
              <w:rPr>
                <w:color w:val="000000"/>
                <w:kern w:val="24"/>
                <w:sz w:val="20"/>
                <w:szCs w:val="20"/>
              </w:rPr>
              <w:t xml:space="preserve">LU – Latvijas Universitāte, RTU – Rīgas Tehniskā universitāte, LLU – Latvijas Lauksaimniecības universitāte, DU – Daugavpils Universitāte, RSU – Rīgas Stradiņa universitāte, </w:t>
            </w:r>
            <w:proofErr w:type="spellStart"/>
            <w:r w:rsidRPr="006E5888">
              <w:rPr>
                <w:color w:val="000000"/>
                <w:kern w:val="24"/>
                <w:sz w:val="20"/>
                <w:szCs w:val="20"/>
              </w:rPr>
              <w:t>LiepU</w:t>
            </w:r>
            <w:proofErr w:type="spellEnd"/>
            <w:r w:rsidRPr="006E5888">
              <w:rPr>
                <w:color w:val="000000"/>
                <w:kern w:val="24"/>
                <w:sz w:val="20"/>
                <w:szCs w:val="20"/>
              </w:rPr>
              <w:t xml:space="preserve"> – Liepājas </w:t>
            </w:r>
            <w:proofErr w:type="spellStart"/>
            <w:r w:rsidRPr="006E5888">
              <w:rPr>
                <w:color w:val="000000"/>
                <w:kern w:val="24"/>
                <w:sz w:val="20"/>
                <w:szCs w:val="20"/>
              </w:rPr>
              <w:t>Unversitāte</w:t>
            </w:r>
            <w:proofErr w:type="spellEnd"/>
            <w:r w:rsidRPr="006E5888">
              <w:rPr>
                <w:color w:val="000000"/>
                <w:kern w:val="24"/>
                <w:sz w:val="20"/>
                <w:szCs w:val="20"/>
              </w:rPr>
              <w:t xml:space="preserve">, RPIVA – Rīgas Pedagoģijas un izglītības vadības akadēmija, J. Vītola LMA – </w:t>
            </w:r>
            <w:proofErr w:type="spellStart"/>
            <w:r w:rsidRPr="006E5888">
              <w:rPr>
                <w:color w:val="000000"/>
                <w:kern w:val="24"/>
                <w:sz w:val="20"/>
                <w:szCs w:val="20"/>
              </w:rPr>
              <w:t>J.Vītola</w:t>
            </w:r>
            <w:proofErr w:type="spellEnd"/>
            <w:r w:rsidRPr="006E5888">
              <w:rPr>
                <w:color w:val="000000"/>
                <w:kern w:val="24"/>
                <w:sz w:val="20"/>
                <w:szCs w:val="20"/>
              </w:rPr>
              <w:t xml:space="preserve"> Latvijas Mūzikas akadēmija, LMA – Latvijas Mākslas akadēmija, LKA – Latvijas Kultūras akadēmija.</w:t>
            </w:r>
          </w:p>
        </w:tc>
      </w:tr>
    </w:tbl>
    <w:p w:rsidR="00DE6A7F" w:rsidRPr="006E5888" w:rsidRDefault="00DE6A7F" w:rsidP="00DE6A7F">
      <w:pPr>
        <w:jc w:val="both"/>
        <w:rPr>
          <w:sz w:val="8"/>
          <w:szCs w:val="8"/>
        </w:rPr>
      </w:pPr>
    </w:p>
    <w:p w:rsidR="00DE6A7F" w:rsidRPr="006E5888" w:rsidRDefault="00DE6A7F" w:rsidP="00DE6A7F">
      <w:pPr>
        <w:ind w:firstLine="720"/>
        <w:jc w:val="both"/>
        <w:rPr>
          <w:noProof/>
          <w:lang w:eastAsia="lv-LV"/>
        </w:rPr>
      </w:pPr>
      <w:r w:rsidRPr="006E5888">
        <w:rPr>
          <w:noProof/>
          <w:lang w:eastAsia="lv-LV"/>
        </w:rPr>
        <w:t>Savukārt attiecībā uz studentu skaitu, kas tiek finansēts no valsts budžeta līdzekļiem, ir novērojams, ka tas ne vienmēr ir augstākais tajās programmās, kurās konkrētā augstskola speciālizējas, attiecīgi IZM nepieciešams izvērtēt ne tikai valsts budžeta finansēto vietu skaitu, bet arī tā sadalījumu pa studiju programmām.</w:t>
      </w:r>
    </w:p>
    <w:p w:rsidR="00DE6A7F" w:rsidRPr="006E5888" w:rsidRDefault="00DE6A7F" w:rsidP="00DE6A7F">
      <w:pPr>
        <w:ind w:firstLine="720"/>
        <w:jc w:val="both"/>
      </w:pPr>
      <w:r w:rsidRPr="006E5888">
        <w:t>Papildus analizējot augstskolās uzņemto un grādu vai kvalifikāciju ieguvušo studentu skaitu, secināms, ka pēdējos gados vidējais studijas nepabeigušo studentu skaits ir aptuveni 44%, kas ir salīdzinoši augsts rādītājs.</w:t>
      </w:r>
    </w:p>
    <w:p w:rsidR="00DE6A7F" w:rsidRPr="006E5888" w:rsidRDefault="00DE6A7F" w:rsidP="00DE6A7F">
      <w:pPr>
        <w:ind w:firstLine="720"/>
        <w:jc w:val="both"/>
        <w:rPr>
          <w:sz w:val="8"/>
          <w:szCs w:val="8"/>
        </w:rPr>
      </w:pPr>
    </w:p>
    <w:p w:rsidR="00DE6A7F" w:rsidRPr="006E5888" w:rsidRDefault="00DE6A7F" w:rsidP="00CC0B20">
      <w:pPr>
        <w:jc w:val="center"/>
      </w:pPr>
      <w:r w:rsidRPr="006E5888">
        <w:rPr>
          <w:noProof/>
          <w:lang w:eastAsia="lv-LV"/>
        </w:rPr>
        <w:drawing>
          <wp:inline distT="0" distB="0" distL="0" distR="0" wp14:anchorId="08CD1BB1" wp14:editId="3FAC1C8F">
            <wp:extent cx="4996281" cy="2600534"/>
            <wp:effectExtent l="19050" t="19050" r="13970" b="2857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058262" cy="2632795"/>
                    </a:xfrm>
                    <a:prstGeom prst="rect">
                      <a:avLst/>
                    </a:prstGeom>
                    <a:noFill/>
                    <a:ln>
                      <a:solidFill>
                        <a:schemeClr val="bg1">
                          <a:lumMod val="85000"/>
                        </a:schemeClr>
                      </a:solidFill>
                    </a:ln>
                  </pic:spPr>
                </pic:pic>
              </a:graphicData>
            </a:graphic>
          </wp:inline>
        </w:drawing>
      </w:r>
    </w:p>
    <w:p w:rsidR="00DE6A7F" w:rsidRPr="006E5888" w:rsidRDefault="00521F0A" w:rsidP="00695609">
      <w:pPr>
        <w:spacing w:before="120" w:after="40"/>
        <w:jc w:val="center"/>
        <w:rPr>
          <w:sz w:val="22"/>
        </w:rPr>
      </w:pPr>
      <w:r w:rsidRPr="006E5888">
        <w:rPr>
          <w:rFonts w:cs="Times New Roman"/>
          <w:sz w:val="22"/>
        </w:rPr>
        <w:t>5</w:t>
      </w:r>
      <w:r w:rsidR="00A77B70" w:rsidRPr="006E5888">
        <w:rPr>
          <w:rFonts w:cs="Times New Roman"/>
          <w:sz w:val="22"/>
        </w:rPr>
        <w:t>4</w:t>
      </w:r>
      <w:r w:rsidR="00CC0B20" w:rsidRPr="006E5888">
        <w:rPr>
          <w:rFonts w:cs="Times New Roman"/>
          <w:sz w:val="22"/>
        </w:rPr>
        <w:t>.</w:t>
      </w:r>
      <w:r w:rsidR="00CC0B20" w:rsidRPr="006E5888">
        <w:rPr>
          <w:rFonts w:cs="Times New Roman"/>
          <w:i/>
          <w:sz w:val="22"/>
        </w:rPr>
        <w:t>att</w:t>
      </w:r>
      <w:r w:rsidR="00CC0B20" w:rsidRPr="006E5888">
        <w:rPr>
          <w:sz w:val="22"/>
        </w:rPr>
        <w:t xml:space="preserve">. </w:t>
      </w:r>
      <w:r w:rsidR="00CC0B20" w:rsidRPr="006E5888">
        <w:t xml:space="preserve"> </w:t>
      </w:r>
      <w:r w:rsidR="00DE6A7F" w:rsidRPr="006E5888">
        <w:rPr>
          <w:b/>
          <w:sz w:val="22"/>
        </w:rPr>
        <w:t>Uzņemto un grādu/kvalifikāciju ieguvušo studentu skaits valsts dibinātās augstskolās un koledžās</w:t>
      </w:r>
      <w:r w:rsidR="00DE6A7F" w:rsidRPr="006E5888">
        <w:rPr>
          <w:rStyle w:val="FootnoteReference"/>
          <w:sz w:val="22"/>
        </w:rPr>
        <w:footnoteReference w:id="46"/>
      </w:r>
    </w:p>
    <w:p w:rsidR="00DE6A7F" w:rsidRPr="006E5888" w:rsidRDefault="00DE6A7F" w:rsidP="00961570">
      <w:pPr>
        <w:ind w:firstLine="720"/>
        <w:jc w:val="both"/>
      </w:pPr>
      <w:r w:rsidRPr="006E5888">
        <w:t xml:space="preserve">Vērtējot izglītības nozarē ieguldītos valsts budžeta līdzekļus, kopumā redzams, ka nav nodrošināta sasaiste ar ieguldītā finansējuma apmēru un finansējuma izlietojumu raksturojošiem rādītājiem. Publiskā finansējuma īpatsvars izglītībai ir augsts gan attiecībā pret vispārējās valdības izdevumiem, gan pret </w:t>
      </w:r>
      <w:r w:rsidR="00521F0A" w:rsidRPr="006E5888">
        <w:t>IKP</w:t>
      </w:r>
      <w:r w:rsidRPr="006E5888">
        <w:t xml:space="preserve">, tomēr nav rasts skaidrs apliecinājums, ka šis finansējums tiek efektīvi apsaimniekots. Ir skaidri saskatāms, ka izglītības nozarē nepieciešams veikt reformas, pārskatot </w:t>
      </w:r>
      <w:r w:rsidRPr="006E5888">
        <w:lastRenderedPageBreak/>
        <w:t>vispārējās izglītības skolu tīklu, optimizācijas pasākumus profesionālajā izglītībā, kā arī nodrošināt efektivitātes uzlabošanas pasākumus augstākajā izglītībā (piemēram, programmu licencēšanas kritēriju pārskatīšana, iespējamie nosacījumi administratīvā personāla skaita ierobežošanai un tml.).</w:t>
      </w:r>
    </w:p>
    <w:p w:rsidR="00DE6A7F" w:rsidRPr="006E5888" w:rsidRDefault="00DE6A7F" w:rsidP="00961570">
      <w:pPr>
        <w:spacing w:after="120"/>
        <w:ind w:firstLine="720"/>
        <w:jc w:val="both"/>
        <w:rPr>
          <w:szCs w:val="24"/>
        </w:rPr>
      </w:pPr>
      <w:r w:rsidRPr="006E5888">
        <w:rPr>
          <w:szCs w:val="24"/>
        </w:rPr>
        <w:t>Veicot IZM budžeta bāzes izdevumu izvērtēšanu ir izdarīti vairāki secinājumi turpmākai rīcībai:</w:t>
      </w:r>
    </w:p>
    <w:p w:rsidR="00DE6A7F" w:rsidRPr="006E5888" w:rsidRDefault="00DE6A7F" w:rsidP="00B756BC">
      <w:pPr>
        <w:pStyle w:val="ListParagraph"/>
        <w:numPr>
          <w:ilvl w:val="0"/>
          <w:numId w:val="24"/>
        </w:numPr>
        <w:spacing w:before="120" w:after="120"/>
        <w:jc w:val="both"/>
        <w:rPr>
          <w:szCs w:val="24"/>
        </w:rPr>
      </w:pPr>
      <w:r w:rsidRPr="006E5888">
        <w:rPr>
          <w:szCs w:val="24"/>
        </w:rPr>
        <w:t>Ņemot vērā to, ka finansējums pēdējos 3 gados ir būtiski palielinājies pretēji izglītojamo skaita samazinājumam, izstrādājot jauno pedagogu darba samaksas finansēšanas modeli, nepieciešams atkārtoti izvērtēt finansējuma un izglītojamo skaita sasaisti, lai nodrošinātu efektīvu finansējuma izlietojumu.</w:t>
      </w:r>
    </w:p>
    <w:p w:rsidR="00DE6A7F" w:rsidRPr="006E5888" w:rsidRDefault="00DE6A7F" w:rsidP="00B756BC">
      <w:pPr>
        <w:pStyle w:val="ListParagraph"/>
        <w:numPr>
          <w:ilvl w:val="0"/>
          <w:numId w:val="24"/>
        </w:numPr>
        <w:spacing w:before="120" w:after="120"/>
        <w:jc w:val="both"/>
        <w:rPr>
          <w:szCs w:val="24"/>
        </w:rPr>
      </w:pPr>
      <w:r w:rsidRPr="006E5888">
        <w:rPr>
          <w:szCs w:val="24"/>
        </w:rPr>
        <w:t>Nepieciešams pārskatīt normatīvo regulējumu pašvaldību padotībā esošo internātskolu, speciālo pirmsskolas izglītības iestāžu, speciālo internātskolu, Izglītības iestāžu reģistrā reģistrēto attīstības un rehabilitācijas centru finansēšanai no valsts budžeta (gan pedagogu darba samaksai, gan uzturēšanai).</w:t>
      </w:r>
    </w:p>
    <w:p w:rsidR="00DE6A7F" w:rsidRPr="006E5888" w:rsidRDefault="00DE6A7F" w:rsidP="00B756BC">
      <w:pPr>
        <w:pStyle w:val="ListParagraph"/>
        <w:numPr>
          <w:ilvl w:val="0"/>
          <w:numId w:val="24"/>
        </w:numPr>
        <w:spacing w:before="120" w:after="120"/>
        <w:jc w:val="both"/>
        <w:rPr>
          <w:szCs w:val="24"/>
        </w:rPr>
      </w:pPr>
      <w:r w:rsidRPr="006E5888">
        <w:rPr>
          <w:szCs w:val="24"/>
        </w:rPr>
        <w:t>Paredzēt nosacījumus (ieteicamās normas) pašvaldībām piešķirtās mērķdotācijas sadalei starp izglītības iestādēm, neierobežojot pašvaldību tiesības izglītības funkcijas nodrošināšanā.</w:t>
      </w:r>
    </w:p>
    <w:p w:rsidR="00DE6A7F" w:rsidRPr="006E5888" w:rsidRDefault="00DE6A7F" w:rsidP="00B756BC">
      <w:pPr>
        <w:pStyle w:val="ListParagraph"/>
        <w:numPr>
          <w:ilvl w:val="0"/>
          <w:numId w:val="24"/>
        </w:numPr>
        <w:spacing w:before="120" w:after="120"/>
        <w:jc w:val="both"/>
        <w:rPr>
          <w:szCs w:val="24"/>
        </w:rPr>
      </w:pPr>
      <w:r w:rsidRPr="006E5888">
        <w:rPr>
          <w:szCs w:val="24"/>
        </w:rPr>
        <w:t>Izvērtēt, kā tiek samērots studiju programmu skaits/izglītības iestāžu skaits un tām paredzētais finansējums (visām nozaru ministrijām) ar audzēkņu skaitu, ņemot vērā, ka audzēkņu skaitam augstākās un profesionālās izglītības iestādēs ir tendence samazināties, kā arī ņemot vērā profesionālo izglīt</w:t>
      </w:r>
      <w:r w:rsidR="0060556C" w:rsidRPr="006E5888">
        <w:rPr>
          <w:szCs w:val="24"/>
        </w:rPr>
        <w:t>ības iestāžu tīkla optimizāciju</w:t>
      </w:r>
      <w:r w:rsidRPr="006E5888">
        <w:rPr>
          <w:szCs w:val="24"/>
        </w:rPr>
        <w:t>.</w:t>
      </w:r>
    </w:p>
    <w:p w:rsidR="00DE6A7F" w:rsidRPr="006E5888" w:rsidRDefault="00DE6A7F" w:rsidP="00B756BC">
      <w:pPr>
        <w:pStyle w:val="ListParagraph"/>
        <w:numPr>
          <w:ilvl w:val="0"/>
          <w:numId w:val="24"/>
        </w:numPr>
        <w:spacing w:before="120" w:after="120"/>
        <w:jc w:val="both"/>
        <w:rPr>
          <w:szCs w:val="24"/>
        </w:rPr>
      </w:pPr>
      <w:r w:rsidRPr="006E5888">
        <w:rPr>
          <w:szCs w:val="24"/>
        </w:rPr>
        <w:t xml:space="preserve">Izvērtēt, kas notiks ar 5 pašvaldībām nodotām profesionālās izglītības iestādēm pēc 2016.gada 31.augusta un to uzturēšanas izdevumiem plānoto valsts budžeta dotāciju 1 255 400 </w:t>
      </w:r>
      <w:proofErr w:type="spellStart"/>
      <w:r w:rsidRPr="006E5888">
        <w:rPr>
          <w:i/>
          <w:szCs w:val="24"/>
        </w:rPr>
        <w:t>euro</w:t>
      </w:r>
      <w:proofErr w:type="spellEnd"/>
      <w:r w:rsidRPr="006E5888">
        <w:rPr>
          <w:i/>
          <w:szCs w:val="24"/>
        </w:rPr>
        <w:t xml:space="preserve"> </w:t>
      </w:r>
      <w:r w:rsidRPr="006E5888">
        <w:rPr>
          <w:szCs w:val="24"/>
        </w:rPr>
        <w:t xml:space="preserve">apmērā, kas tiek plānota apakšprogrammā 02.01.00 “Profesionālās izglītības programmu īstenošana”, jo atbilstoši </w:t>
      </w:r>
      <w:r w:rsidR="002677B0" w:rsidRPr="006E5888">
        <w:rPr>
          <w:szCs w:val="24"/>
        </w:rPr>
        <w:t>MK</w:t>
      </w:r>
      <w:r w:rsidRPr="006E5888">
        <w:rPr>
          <w:szCs w:val="24"/>
        </w:rPr>
        <w:t xml:space="preserve"> un </w:t>
      </w:r>
      <w:r w:rsidR="002677B0" w:rsidRPr="006E5888">
        <w:rPr>
          <w:szCs w:val="24"/>
        </w:rPr>
        <w:t xml:space="preserve">Latvijas </w:t>
      </w:r>
      <w:r w:rsidRPr="006E5888">
        <w:rPr>
          <w:szCs w:val="24"/>
        </w:rPr>
        <w:t xml:space="preserve">Pašvaldību savienības 2015.gada 28.septembra vienošanās un domstarpību protokolam atsevišķām pašvaldību profesionālām izglītības iestādēm akreditēto profesionālās izglītības programmu īstenošanas izmaksu segšana no valsts budžeta līdzekļiem tiek nodrošināta līdz 2015./2016.mācību gada beigām, tātad līdz 2016.gada 31.augustam. </w:t>
      </w:r>
    </w:p>
    <w:p w:rsidR="00DE6A7F" w:rsidRPr="006E5888" w:rsidRDefault="00DE6A7F" w:rsidP="00B756BC">
      <w:pPr>
        <w:pStyle w:val="ListParagraph"/>
        <w:numPr>
          <w:ilvl w:val="0"/>
          <w:numId w:val="24"/>
        </w:numPr>
        <w:spacing w:before="120" w:after="120"/>
        <w:jc w:val="both"/>
        <w:rPr>
          <w:szCs w:val="24"/>
        </w:rPr>
      </w:pPr>
      <w:r w:rsidRPr="006E5888">
        <w:rPr>
          <w:szCs w:val="24"/>
        </w:rPr>
        <w:t>Jāpārskata plānošanas process izdevumu pozīcijai “procentu iz</w:t>
      </w:r>
      <w:r w:rsidR="004D4007" w:rsidRPr="006E5888">
        <w:rPr>
          <w:szCs w:val="24"/>
        </w:rPr>
        <w:t>devumi” apakšprogrammā 03.04.00</w:t>
      </w:r>
      <w:r w:rsidRPr="006E5888">
        <w:rPr>
          <w:szCs w:val="24"/>
        </w:rPr>
        <w:t xml:space="preserve"> “Studējošo un studiju kreditēšana”, ņemot vērā sistemātiskās izveidojušās rezerves, pārdales un neizpildes minētajā apakšprogrammā. </w:t>
      </w:r>
    </w:p>
    <w:p w:rsidR="00DE6A7F" w:rsidRPr="006E5888" w:rsidRDefault="00DE6A7F" w:rsidP="00B756BC">
      <w:pPr>
        <w:pStyle w:val="ListParagraph"/>
        <w:numPr>
          <w:ilvl w:val="0"/>
          <w:numId w:val="24"/>
        </w:numPr>
        <w:spacing w:before="120" w:after="120"/>
        <w:jc w:val="both"/>
        <w:rPr>
          <w:szCs w:val="24"/>
        </w:rPr>
      </w:pPr>
      <w:r w:rsidRPr="006E5888">
        <w:rPr>
          <w:szCs w:val="24"/>
        </w:rPr>
        <w:t>Jāizvērtē, cik pamatoti ir noteikt finansējuma apmēru Augstskolu likumā (valsts finansējums studijām valsts dibinātās augstskolās sasniedz vismaz 2% no IKP) un Zinātniskās darbības likumā (valsts finansējums zinātniskajai darbībai sasniedz vismaz 1% no IKP). FM uzskata, ka minētās likuma normas ir svītrojamas, jo novirzāmais finansējums augstākai izglītībai un zinātniskajai darbībai ir jāsamēro ar valsts rīcībā esošo finanšu līdzekļu apjomu, ievērojot valsts budžeta sabalansētību, kā arī nozarei faktiski nepieciešamo finansējumu.</w:t>
      </w:r>
    </w:p>
    <w:p w:rsidR="00540830" w:rsidRPr="006E5888" w:rsidRDefault="00DE6A7F" w:rsidP="00B756BC">
      <w:pPr>
        <w:pStyle w:val="ListParagraph"/>
        <w:numPr>
          <w:ilvl w:val="0"/>
          <w:numId w:val="24"/>
        </w:numPr>
        <w:spacing w:before="120" w:after="120"/>
        <w:jc w:val="both"/>
        <w:rPr>
          <w:szCs w:val="24"/>
        </w:rPr>
      </w:pPr>
      <w:r w:rsidRPr="006E5888">
        <w:rPr>
          <w:szCs w:val="24"/>
        </w:rPr>
        <w:t>Jāizvērtē potenciālo ekonomiju/izdevīgumu uzturēšanas izdevumiem no ES struktūrfondu līdzfinansēto projektu ieviešanas, piemēram, uzlabojot izglītības iestāžu infrastruktūru, energoefektivitāti, kā arī to ietekmi uz valsts pamatfunkcijām plānoto finansējumu, radot ietaupījumu.</w:t>
      </w:r>
    </w:p>
    <w:p w:rsidR="004D4C74" w:rsidRPr="006E5888" w:rsidRDefault="00F72914" w:rsidP="002C269C">
      <w:pPr>
        <w:pStyle w:val="Heading1"/>
        <w:rPr>
          <w:rFonts w:ascii="Times New Roman" w:hAnsi="Times New Roman" w:cs="Times New Roman"/>
          <w:b/>
          <w:color w:val="auto"/>
          <w:sz w:val="24"/>
          <w:szCs w:val="24"/>
        </w:rPr>
      </w:pPr>
      <w:r w:rsidRPr="006E5888">
        <w:rPr>
          <w:rFonts w:ascii="Times New Roman" w:hAnsi="Times New Roman" w:cs="Times New Roman"/>
          <w:b/>
          <w:color w:val="auto"/>
          <w:sz w:val="24"/>
          <w:szCs w:val="24"/>
        </w:rPr>
        <w:t xml:space="preserve">7. </w:t>
      </w:r>
      <w:bookmarkStart w:id="13" w:name="_Toc451340350"/>
      <w:r w:rsidR="00CA1C2E" w:rsidRPr="006E5888">
        <w:rPr>
          <w:rFonts w:ascii="Times New Roman" w:hAnsi="Times New Roman" w:cs="Times New Roman"/>
          <w:b/>
          <w:color w:val="auto"/>
          <w:sz w:val="24"/>
          <w:szCs w:val="24"/>
        </w:rPr>
        <w:t>MINISTRIJU IZTEIKTIE EFEKTIVIZĀCIJAS PRIEKŠLIKUMI</w:t>
      </w:r>
      <w:bookmarkEnd w:id="13"/>
    </w:p>
    <w:p w:rsidR="00921FF2" w:rsidRPr="006E5888" w:rsidRDefault="004D4007" w:rsidP="004D4007">
      <w:pPr>
        <w:jc w:val="right"/>
      </w:pPr>
      <w:r w:rsidRPr="006E5888">
        <w:t>Tabula Nr.</w:t>
      </w:r>
      <w:r w:rsidR="003F7196" w:rsidRPr="006E5888">
        <w:t>20</w:t>
      </w:r>
    </w:p>
    <w:p w:rsidR="00921FF2" w:rsidRPr="006E5888" w:rsidRDefault="00436867" w:rsidP="00A865C9">
      <w:pPr>
        <w:spacing w:before="120" w:after="120"/>
        <w:jc w:val="center"/>
      </w:pPr>
      <w:r w:rsidRPr="006E5888">
        <w:t xml:space="preserve">Kopsavilkums par ministriju izteiktajiem </w:t>
      </w:r>
      <w:proofErr w:type="spellStart"/>
      <w:r w:rsidRPr="006E5888">
        <w:t>efektivizācijas</w:t>
      </w:r>
      <w:proofErr w:type="spellEnd"/>
      <w:r w:rsidRPr="006E5888">
        <w:t xml:space="preserve"> priekšlikumiem</w:t>
      </w: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820"/>
        <w:gridCol w:w="1780"/>
        <w:gridCol w:w="1481"/>
      </w:tblGrid>
      <w:tr w:rsidR="00436867" w:rsidRPr="006E5888" w:rsidTr="002C269C">
        <w:trPr>
          <w:trHeight w:val="20"/>
          <w:tblHeader/>
        </w:trPr>
        <w:tc>
          <w:tcPr>
            <w:tcW w:w="6091" w:type="dxa"/>
            <w:gridSpan w:val="2"/>
            <w:shd w:val="clear" w:color="auto" w:fill="D9D9D9" w:themeFill="background1" w:themeFillShade="D9"/>
          </w:tcPr>
          <w:p w:rsidR="00436867" w:rsidRPr="006E5888" w:rsidRDefault="00436867" w:rsidP="00436867">
            <w:pPr>
              <w:rPr>
                <w:rFonts w:eastAsia="Times New Roman" w:cs="Times New Roman"/>
                <w:b/>
                <w:bCs/>
                <w:color w:val="000000"/>
                <w:szCs w:val="24"/>
                <w:lang w:eastAsia="lv-LV"/>
              </w:rPr>
            </w:pPr>
          </w:p>
        </w:tc>
        <w:tc>
          <w:tcPr>
            <w:tcW w:w="1780" w:type="dxa"/>
            <w:shd w:val="clear" w:color="auto" w:fill="D9D9D9" w:themeFill="background1" w:themeFillShade="D9"/>
            <w:noWrap/>
            <w:vAlign w:val="bottom"/>
          </w:tcPr>
          <w:p w:rsidR="00436867" w:rsidRPr="006E5888" w:rsidRDefault="00436867" w:rsidP="00436867">
            <w:pPr>
              <w:jc w:val="center"/>
              <w:rPr>
                <w:rFonts w:eastAsia="Times New Roman" w:cs="Times New Roman"/>
                <w:b/>
                <w:bCs/>
                <w:color w:val="000000"/>
                <w:szCs w:val="24"/>
                <w:lang w:eastAsia="lv-LV"/>
              </w:rPr>
            </w:pPr>
            <w:r w:rsidRPr="006E5888">
              <w:rPr>
                <w:rFonts w:eastAsia="Times New Roman" w:cs="Times New Roman"/>
                <w:b/>
                <w:bCs/>
                <w:color w:val="000000"/>
                <w:szCs w:val="24"/>
                <w:lang w:eastAsia="lv-LV"/>
              </w:rPr>
              <w:t>2017</w:t>
            </w:r>
          </w:p>
        </w:tc>
        <w:tc>
          <w:tcPr>
            <w:tcW w:w="1481" w:type="dxa"/>
            <w:shd w:val="clear" w:color="auto" w:fill="D9D9D9" w:themeFill="background1" w:themeFillShade="D9"/>
            <w:noWrap/>
            <w:vAlign w:val="bottom"/>
          </w:tcPr>
          <w:p w:rsidR="00436867" w:rsidRPr="006E5888" w:rsidRDefault="00436867" w:rsidP="00436867">
            <w:pPr>
              <w:jc w:val="center"/>
              <w:rPr>
                <w:rFonts w:eastAsia="Times New Roman" w:cs="Times New Roman"/>
                <w:b/>
                <w:bCs/>
                <w:color w:val="000000"/>
                <w:szCs w:val="24"/>
                <w:lang w:eastAsia="lv-LV"/>
              </w:rPr>
            </w:pPr>
            <w:r w:rsidRPr="006E5888">
              <w:rPr>
                <w:rFonts w:eastAsia="Times New Roman" w:cs="Times New Roman"/>
                <w:b/>
                <w:bCs/>
                <w:color w:val="000000"/>
                <w:szCs w:val="24"/>
                <w:lang w:eastAsia="lv-LV"/>
              </w:rPr>
              <w:t>2018</w:t>
            </w:r>
          </w:p>
        </w:tc>
      </w:tr>
      <w:tr w:rsidR="00436867" w:rsidRPr="006E5888" w:rsidTr="00984DC7">
        <w:trPr>
          <w:trHeight w:val="20"/>
        </w:trPr>
        <w:tc>
          <w:tcPr>
            <w:tcW w:w="6091" w:type="dxa"/>
            <w:gridSpan w:val="2"/>
          </w:tcPr>
          <w:p w:rsidR="00436867" w:rsidRPr="006E5888" w:rsidRDefault="00436867" w:rsidP="00436867">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Politikas maiņa</w:t>
            </w:r>
          </w:p>
        </w:tc>
        <w:tc>
          <w:tcPr>
            <w:tcW w:w="1780" w:type="dxa"/>
            <w:shd w:val="clear" w:color="auto" w:fill="auto"/>
            <w:noWrap/>
            <w:vAlign w:val="center"/>
            <w:hideMark/>
          </w:tcPr>
          <w:p w:rsidR="00436867" w:rsidRPr="006E5888" w:rsidRDefault="00436867" w:rsidP="00984DC7">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4 253 473</w:t>
            </w:r>
          </w:p>
        </w:tc>
        <w:tc>
          <w:tcPr>
            <w:tcW w:w="1481" w:type="dxa"/>
            <w:shd w:val="clear" w:color="auto" w:fill="auto"/>
            <w:noWrap/>
            <w:vAlign w:val="center"/>
            <w:hideMark/>
          </w:tcPr>
          <w:p w:rsidR="00436867" w:rsidRPr="006E5888" w:rsidRDefault="00436867" w:rsidP="00984DC7">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4 248 709</w:t>
            </w:r>
          </w:p>
        </w:tc>
      </w:tr>
      <w:tr w:rsidR="00436867" w:rsidRPr="006E5888" w:rsidTr="00984DC7">
        <w:trPr>
          <w:trHeight w:val="20"/>
        </w:trPr>
        <w:tc>
          <w:tcPr>
            <w:tcW w:w="1271" w:type="dxa"/>
            <w:vMerge w:val="restart"/>
            <w:vAlign w:val="center"/>
          </w:tcPr>
          <w:p w:rsidR="00436867" w:rsidRPr="006E5888" w:rsidRDefault="00436867" w:rsidP="00984DC7">
            <w:pPr>
              <w:rPr>
                <w:rFonts w:eastAsia="Times New Roman" w:cs="Times New Roman"/>
                <w:color w:val="000000"/>
                <w:szCs w:val="24"/>
                <w:lang w:eastAsia="lv-LV"/>
              </w:rPr>
            </w:pPr>
            <w:r w:rsidRPr="006E5888">
              <w:rPr>
                <w:rFonts w:eastAsia="Times New Roman" w:cs="Times New Roman"/>
                <w:b/>
                <w:bCs/>
                <w:color w:val="000000"/>
                <w:szCs w:val="24"/>
                <w:lang w:eastAsia="lv-LV"/>
              </w:rPr>
              <w:lastRenderedPageBreak/>
              <w:t>SM</w:t>
            </w:r>
          </w:p>
        </w:tc>
        <w:tc>
          <w:tcPr>
            <w:tcW w:w="4820" w:type="dxa"/>
            <w:shd w:val="clear" w:color="auto" w:fill="auto"/>
            <w:noWrap/>
            <w:vAlign w:val="bottom"/>
            <w:hideMark/>
          </w:tcPr>
          <w:p w:rsidR="00436867" w:rsidRPr="006E5888" w:rsidRDefault="00436867" w:rsidP="00436867">
            <w:pPr>
              <w:jc w:val="both"/>
              <w:rPr>
                <w:rFonts w:eastAsia="Times New Roman" w:cs="Times New Roman"/>
                <w:color w:val="000000"/>
                <w:szCs w:val="24"/>
                <w:lang w:eastAsia="lv-LV"/>
              </w:rPr>
            </w:pPr>
            <w:r w:rsidRPr="006E5888">
              <w:rPr>
                <w:rFonts w:eastAsia="Times New Roman" w:cs="Times New Roman"/>
                <w:color w:val="000000"/>
                <w:szCs w:val="24"/>
                <w:lang w:eastAsia="lv-LV"/>
              </w:rPr>
              <w:t>02.00.00 Kompensācijas par abonētās preses piegādi un saistību izpildi</w:t>
            </w:r>
          </w:p>
        </w:tc>
        <w:tc>
          <w:tcPr>
            <w:tcW w:w="1780" w:type="dxa"/>
            <w:shd w:val="clear" w:color="auto" w:fill="auto"/>
            <w:noWrap/>
            <w:vAlign w:val="center"/>
            <w:hideMark/>
          </w:tcPr>
          <w:p w:rsidR="00436867" w:rsidRPr="006E5888" w:rsidRDefault="00436867" w:rsidP="00984DC7">
            <w:pPr>
              <w:jc w:val="right"/>
              <w:rPr>
                <w:rFonts w:eastAsia="Times New Roman" w:cs="Times New Roman"/>
                <w:color w:val="000000"/>
                <w:szCs w:val="24"/>
                <w:lang w:eastAsia="lv-LV"/>
              </w:rPr>
            </w:pPr>
            <w:r w:rsidRPr="006E5888">
              <w:rPr>
                <w:rFonts w:eastAsia="Times New Roman" w:cs="Times New Roman"/>
                <w:color w:val="000000"/>
                <w:szCs w:val="24"/>
                <w:lang w:eastAsia="lv-LV"/>
              </w:rPr>
              <w:t>2 000 000</w:t>
            </w:r>
          </w:p>
        </w:tc>
        <w:tc>
          <w:tcPr>
            <w:tcW w:w="1481" w:type="dxa"/>
            <w:shd w:val="clear" w:color="auto" w:fill="auto"/>
            <w:noWrap/>
            <w:vAlign w:val="center"/>
            <w:hideMark/>
          </w:tcPr>
          <w:p w:rsidR="00436867" w:rsidRPr="006E5888" w:rsidRDefault="00436867" w:rsidP="00984DC7">
            <w:pPr>
              <w:jc w:val="right"/>
              <w:rPr>
                <w:rFonts w:eastAsia="Times New Roman" w:cs="Times New Roman"/>
                <w:color w:val="000000"/>
                <w:szCs w:val="24"/>
                <w:lang w:eastAsia="lv-LV"/>
              </w:rPr>
            </w:pPr>
            <w:r w:rsidRPr="006E5888">
              <w:rPr>
                <w:rFonts w:eastAsia="Times New Roman" w:cs="Times New Roman"/>
                <w:color w:val="000000"/>
                <w:szCs w:val="24"/>
                <w:lang w:eastAsia="lv-LV"/>
              </w:rPr>
              <w:t>2 000 000</w:t>
            </w:r>
          </w:p>
        </w:tc>
      </w:tr>
      <w:tr w:rsidR="00436867" w:rsidRPr="006E5888" w:rsidTr="00984DC7">
        <w:trPr>
          <w:trHeight w:val="20"/>
        </w:trPr>
        <w:tc>
          <w:tcPr>
            <w:tcW w:w="1271" w:type="dxa"/>
            <w:vMerge/>
            <w:vAlign w:val="center"/>
          </w:tcPr>
          <w:p w:rsidR="00436867" w:rsidRPr="006E5888" w:rsidRDefault="00436867" w:rsidP="00984DC7">
            <w:pPr>
              <w:ind w:firstLineChars="200" w:firstLine="480"/>
              <w:rPr>
                <w:rFonts w:eastAsia="Times New Roman" w:cs="Times New Roman"/>
                <w:color w:val="000000"/>
                <w:szCs w:val="24"/>
                <w:lang w:eastAsia="lv-LV"/>
              </w:rPr>
            </w:pPr>
          </w:p>
        </w:tc>
        <w:tc>
          <w:tcPr>
            <w:tcW w:w="4820" w:type="dxa"/>
            <w:shd w:val="clear" w:color="auto" w:fill="auto"/>
            <w:noWrap/>
            <w:vAlign w:val="bottom"/>
            <w:hideMark/>
          </w:tcPr>
          <w:p w:rsidR="00436867" w:rsidRPr="006E5888" w:rsidRDefault="00436867" w:rsidP="00436867">
            <w:pPr>
              <w:jc w:val="both"/>
              <w:rPr>
                <w:rFonts w:eastAsia="Times New Roman" w:cs="Times New Roman"/>
                <w:color w:val="000000"/>
                <w:szCs w:val="24"/>
                <w:lang w:eastAsia="lv-LV"/>
              </w:rPr>
            </w:pPr>
            <w:r w:rsidRPr="006E5888">
              <w:rPr>
                <w:rFonts w:eastAsia="Times New Roman" w:cs="Times New Roman"/>
                <w:color w:val="000000"/>
                <w:szCs w:val="24"/>
                <w:lang w:eastAsia="lv-LV"/>
              </w:rPr>
              <w:t>05.00.00 Starptautiskās kravu loģistikas un ostu informācijas sistēmas uzturēšana</w:t>
            </w:r>
          </w:p>
        </w:tc>
        <w:tc>
          <w:tcPr>
            <w:tcW w:w="1780" w:type="dxa"/>
            <w:shd w:val="clear" w:color="auto" w:fill="auto"/>
            <w:noWrap/>
            <w:vAlign w:val="center"/>
            <w:hideMark/>
          </w:tcPr>
          <w:p w:rsidR="00436867" w:rsidRPr="006E5888" w:rsidRDefault="00436867" w:rsidP="00984DC7">
            <w:pPr>
              <w:jc w:val="right"/>
              <w:rPr>
                <w:rFonts w:eastAsia="Times New Roman" w:cs="Times New Roman"/>
                <w:color w:val="000000"/>
                <w:szCs w:val="24"/>
                <w:lang w:eastAsia="lv-LV"/>
              </w:rPr>
            </w:pPr>
            <w:r w:rsidRPr="006E5888">
              <w:rPr>
                <w:rFonts w:eastAsia="Times New Roman" w:cs="Times New Roman"/>
                <w:color w:val="000000"/>
                <w:szCs w:val="24"/>
                <w:lang w:eastAsia="lv-LV"/>
              </w:rPr>
              <w:t>199 819</w:t>
            </w:r>
          </w:p>
        </w:tc>
        <w:tc>
          <w:tcPr>
            <w:tcW w:w="1481" w:type="dxa"/>
            <w:shd w:val="clear" w:color="auto" w:fill="auto"/>
            <w:noWrap/>
            <w:vAlign w:val="center"/>
            <w:hideMark/>
          </w:tcPr>
          <w:p w:rsidR="00436867" w:rsidRPr="006E5888" w:rsidRDefault="00436867" w:rsidP="00984DC7">
            <w:pPr>
              <w:jc w:val="right"/>
              <w:rPr>
                <w:rFonts w:eastAsia="Times New Roman" w:cs="Times New Roman"/>
                <w:color w:val="000000"/>
                <w:szCs w:val="24"/>
                <w:lang w:eastAsia="lv-LV"/>
              </w:rPr>
            </w:pPr>
            <w:r w:rsidRPr="006E5888">
              <w:rPr>
                <w:rFonts w:eastAsia="Times New Roman" w:cs="Times New Roman"/>
                <w:color w:val="000000"/>
                <w:szCs w:val="24"/>
                <w:lang w:eastAsia="lv-LV"/>
              </w:rPr>
              <w:t>199 819</w:t>
            </w:r>
          </w:p>
        </w:tc>
      </w:tr>
      <w:tr w:rsidR="00436867" w:rsidRPr="006E5888" w:rsidTr="00984DC7">
        <w:trPr>
          <w:trHeight w:val="20"/>
        </w:trPr>
        <w:tc>
          <w:tcPr>
            <w:tcW w:w="1271" w:type="dxa"/>
            <w:vMerge w:val="restart"/>
            <w:vAlign w:val="center"/>
          </w:tcPr>
          <w:p w:rsidR="00436867" w:rsidRPr="006E5888" w:rsidRDefault="00436867" w:rsidP="00984DC7">
            <w:pPr>
              <w:rPr>
                <w:rFonts w:eastAsia="Times New Roman" w:cs="Times New Roman"/>
                <w:color w:val="000000"/>
                <w:szCs w:val="24"/>
                <w:lang w:eastAsia="lv-LV"/>
              </w:rPr>
            </w:pPr>
            <w:r w:rsidRPr="006E5888">
              <w:rPr>
                <w:rFonts w:eastAsia="Times New Roman" w:cs="Times New Roman"/>
                <w:b/>
                <w:bCs/>
                <w:color w:val="000000"/>
                <w:szCs w:val="24"/>
                <w:lang w:eastAsia="lv-LV"/>
              </w:rPr>
              <w:t>KM</w:t>
            </w:r>
          </w:p>
        </w:tc>
        <w:tc>
          <w:tcPr>
            <w:tcW w:w="4820" w:type="dxa"/>
            <w:shd w:val="clear" w:color="auto" w:fill="auto"/>
            <w:noWrap/>
            <w:vAlign w:val="bottom"/>
            <w:hideMark/>
          </w:tcPr>
          <w:p w:rsidR="00436867" w:rsidRPr="006E5888" w:rsidRDefault="00436867" w:rsidP="00436867">
            <w:pPr>
              <w:rPr>
                <w:rFonts w:eastAsia="Times New Roman" w:cs="Times New Roman"/>
                <w:color w:val="000000"/>
                <w:szCs w:val="24"/>
                <w:lang w:eastAsia="lv-LV"/>
              </w:rPr>
            </w:pPr>
            <w:r w:rsidRPr="006E5888">
              <w:rPr>
                <w:rFonts w:eastAsia="Times New Roman" w:cs="Times New Roman"/>
                <w:color w:val="000000"/>
                <w:szCs w:val="24"/>
                <w:lang w:eastAsia="lv-LV"/>
              </w:rPr>
              <w:t>KM iestādes</w:t>
            </w:r>
          </w:p>
        </w:tc>
        <w:tc>
          <w:tcPr>
            <w:tcW w:w="1780" w:type="dxa"/>
            <w:shd w:val="clear" w:color="auto" w:fill="auto"/>
            <w:noWrap/>
            <w:vAlign w:val="center"/>
            <w:hideMark/>
          </w:tcPr>
          <w:p w:rsidR="00436867" w:rsidRPr="006E5888" w:rsidRDefault="00436867" w:rsidP="00984DC7">
            <w:pPr>
              <w:jc w:val="right"/>
              <w:rPr>
                <w:rFonts w:eastAsia="Times New Roman" w:cs="Times New Roman"/>
                <w:color w:val="000000"/>
                <w:szCs w:val="24"/>
                <w:lang w:eastAsia="lv-LV"/>
              </w:rPr>
            </w:pPr>
            <w:r w:rsidRPr="006E5888">
              <w:rPr>
                <w:rFonts w:eastAsia="Times New Roman" w:cs="Times New Roman"/>
                <w:color w:val="000000"/>
                <w:szCs w:val="24"/>
                <w:lang w:eastAsia="lv-LV"/>
              </w:rPr>
              <w:t>520 000</w:t>
            </w:r>
          </w:p>
        </w:tc>
        <w:tc>
          <w:tcPr>
            <w:tcW w:w="1481" w:type="dxa"/>
            <w:shd w:val="clear" w:color="auto" w:fill="auto"/>
            <w:noWrap/>
            <w:vAlign w:val="center"/>
            <w:hideMark/>
          </w:tcPr>
          <w:p w:rsidR="00436867" w:rsidRPr="006E5888" w:rsidRDefault="00436867" w:rsidP="00984DC7">
            <w:pPr>
              <w:jc w:val="right"/>
              <w:rPr>
                <w:rFonts w:eastAsia="Times New Roman" w:cs="Times New Roman"/>
                <w:color w:val="000000"/>
                <w:szCs w:val="24"/>
                <w:lang w:eastAsia="lv-LV"/>
              </w:rPr>
            </w:pPr>
            <w:r w:rsidRPr="006E5888">
              <w:rPr>
                <w:rFonts w:eastAsia="Times New Roman" w:cs="Times New Roman"/>
                <w:color w:val="000000"/>
                <w:szCs w:val="24"/>
                <w:lang w:eastAsia="lv-LV"/>
              </w:rPr>
              <w:t>520 000</w:t>
            </w:r>
          </w:p>
        </w:tc>
      </w:tr>
      <w:tr w:rsidR="00436867" w:rsidRPr="006E5888" w:rsidTr="00984DC7">
        <w:trPr>
          <w:trHeight w:val="20"/>
        </w:trPr>
        <w:tc>
          <w:tcPr>
            <w:tcW w:w="1271" w:type="dxa"/>
            <w:vMerge/>
            <w:vAlign w:val="center"/>
          </w:tcPr>
          <w:p w:rsidR="00436867" w:rsidRPr="006E5888" w:rsidRDefault="00436867" w:rsidP="00984DC7">
            <w:pPr>
              <w:ind w:firstLineChars="200" w:firstLine="480"/>
              <w:rPr>
                <w:rFonts w:eastAsia="Times New Roman" w:cs="Times New Roman"/>
                <w:color w:val="000000"/>
                <w:szCs w:val="24"/>
                <w:lang w:eastAsia="lv-LV"/>
              </w:rPr>
            </w:pPr>
          </w:p>
        </w:tc>
        <w:tc>
          <w:tcPr>
            <w:tcW w:w="4820" w:type="dxa"/>
            <w:shd w:val="clear" w:color="auto" w:fill="auto"/>
            <w:noWrap/>
            <w:vAlign w:val="bottom"/>
            <w:hideMark/>
          </w:tcPr>
          <w:p w:rsidR="00436867" w:rsidRPr="006E5888" w:rsidRDefault="00436867" w:rsidP="00436867">
            <w:pPr>
              <w:rPr>
                <w:rFonts w:eastAsia="Times New Roman" w:cs="Times New Roman"/>
                <w:color w:val="000000"/>
                <w:szCs w:val="24"/>
                <w:lang w:eastAsia="lv-LV"/>
              </w:rPr>
            </w:pPr>
            <w:r w:rsidRPr="006E5888">
              <w:rPr>
                <w:rFonts w:eastAsia="Times New Roman" w:cs="Times New Roman"/>
                <w:color w:val="000000"/>
                <w:szCs w:val="24"/>
                <w:lang w:eastAsia="lv-LV"/>
              </w:rPr>
              <w:t>Muzeji un bibliotēkas</w:t>
            </w:r>
          </w:p>
        </w:tc>
        <w:tc>
          <w:tcPr>
            <w:tcW w:w="1780" w:type="dxa"/>
            <w:shd w:val="clear" w:color="auto" w:fill="auto"/>
            <w:noWrap/>
            <w:vAlign w:val="center"/>
            <w:hideMark/>
          </w:tcPr>
          <w:p w:rsidR="00436867" w:rsidRPr="006E5888" w:rsidRDefault="00436867" w:rsidP="00984DC7">
            <w:pPr>
              <w:jc w:val="right"/>
              <w:rPr>
                <w:rFonts w:eastAsia="Times New Roman" w:cs="Times New Roman"/>
                <w:color w:val="000000"/>
                <w:szCs w:val="24"/>
                <w:lang w:eastAsia="lv-LV"/>
              </w:rPr>
            </w:pPr>
            <w:r w:rsidRPr="006E5888">
              <w:rPr>
                <w:rFonts w:eastAsia="Times New Roman" w:cs="Times New Roman"/>
                <w:color w:val="000000"/>
                <w:szCs w:val="24"/>
                <w:lang w:eastAsia="lv-LV"/>
              </w:rPr>
              <w:t>500 000</w:t>
            </w:r>
          </w:p>
        </w:tc>
        <w:tc>
          <w:tcPr>
            <w:tcW w:w="1481" w:type="dxa"/>
            <w:shd w:val="clear" w:color="auto" w:fill="auto"/>
            <w:noWrap/>
            <w:vAlign w:val="center"/>
            <w:hideMark/>
          </w:tcPr>
          <w:p w:rsidR="00436867" w:rsidRPr="006E5888" w:rsidRDefault="00436867" w:rsidP="00984DC7">
            <w:pPr>
              <w:jc w:val="right"/>
              <w:rPr>
                <w:rFonts w:eastAsia="Times New Roman" w:cs="Times New Roman"/>
                <w:color w:val="000000"/>
                <w:szCs w:val="24"/>
                <w:lang w:eastAsia="lv-LV"/>
              </w:rPr>
            </w:pPr>
            <w:r w:rsidRPr="006E5888">
              <w:rPr>
                <w:rFonts w:eastAsia="Times New Roman" w:cs="Times New Roman"/>
                <w:color w:val="000000"/>
                <w:szCs w:val="24"/>
                <w:lang w:eastAsia="lv-LV"/>
              </w:rPr>
              <w:t>500 000</w:t>
            </w:r>
          </w:p>
        </w:tc>
      </w:tr>
      <w:tr w:rsidR="00436867" w:rsidRPr="006E5888" w:rsidTr="00984DC7">
        <w:trPr>
          <w:trHeight w:val="20"/>
        </w:trPr>
        <w:tc>
          <w:tcPr>
            <w:tcW w:w="1271" w:type="dxa"/>
            <w:vAlign w:val="center"/>
          </w:tcPr>
          <w:p w:rsidR="00436867" w:rsidRPr="006E5888" w:rsidRDefault="00436867" w:rsidP="00984DC7">
            <w:pPr>
              <w:rPr>
                <w:rFonts w:eastAsia="Times New Roman" w:cs="Times New Roman"/>
                <w:color w:val="000000"/>
                <w:szCs w:val="24"/>
                <w:lang w:eastAsia="lv-LV"/>
              </w:rPr>
            </w:pPr>
            <w:r w:rsidRPr="006E5888">
              <w:rPr>
                <w:rFonts w:eastAsia="Times New Roman" w:cs="Times New Roman"/>
                <w:b/>
                <w:bCs/>
                <w:color w:val="000000"/>
                <w:szCs w:val="24"/>
                <w:lang w:eastAsia="lv-LV"/>
              </w:rPr>
              <w:t>VARAM</w:t>
            </w:r>
          </w:p>
        </w:tc>
        <w:tc>
          <w:tcPr>
            <w:tcW w:w="4820" w:type="dxa"/>
            <w:shd w:val="clear" w:color="auto" w:fill="auto"/>
            <w:noWrap/>
            <w:vAlign w:val="bottom"/>
            <w:hideMark/>
          </w:tcPr>
          <w:p w:rsidR="00436867" w:rsidRPr="006E5888" w:rsidRDefault="00436867" w:rsidP="00436867">
            <w:pPr>
              <w:jc w:val="both"/>
              <w:rPr>
                <w:rFonts w:eastAsia="Times New Roman" w:cs="Times New Roman"/>
                <w:color w:val="000000"/>
                <w:szCs w:val="24"/>
                <w:lang w:eastAsia="lv-LV"/>
              </w:rPr>
            </w:pPr>
            <w:r w:rsidRPr="006E5888">
              <w:rPr>
                <w:rFonts w:eastAsia="Times New Roman" w:cs="Times New Roman"/>
                <w:color w:val="000000"/>
                <w:szCs w:val="24"/>
                <w:lang w:eastAsia="lv-LV"/>
              </w:rPr>
              <w:t>30.00.00 Pašvaldību attīstības nacionālie atbalsta instrumenti</w:t>
            </w:r>
          </w:p>
        </w:tc>
        <w:tc>
          <w:tcPr>
            <w:tcW w:w="1780" w:type="dxa"/>
            <w:shd w:val="clear" w:color="auto" w:fill="auto"/>
            <w:noWrap/>
            <w:vAlign w:val="center"/>
            <w:hideMark/>
          </w:tcPr>
          <w:p w:rsidR="00436867" w:rsidRPr="006E5888" w:rsidRDefault="00436867" w:rsidP="00984DC7">
            <w:pPr>
              <w:jc w:val="right"/>
              <w:rPr>
                <w:rFonts w:eastAsia="Times New Roman" w:cs="Times New Roman"/>
                <w:color w:val="000000"/>
                <w:szCs w:val="24"/>
                <w:lang w:eastAsia="lv-LV"/>
              </w:rPr>
            </w:pPr>
            <w:r w:rsidRPr="006E5888">
              <w:rPr>
                <w:rFonts w:eastAsia="Times New Roman" w:cs="Times New Roman"/>
                <w:color w:val="000000"/>
                <w:szCs w:val="24"/>
                <w:lang w:eastAsia="lv-LV"/>
              </w:rPr>
              <w:t>451 015</w:t>
            </w:r>
          </w:p>
        </w:tc>
        <w:tc>
          <w:tcPr>
            <w:tcW w:w="1481" w:type="dxa"/>
            <w:shd w:val="clear" w:color="auto" w:fill="auto"/>
            <w:noWrap/>
            <w:vAlign w:val="center"/>
            <w:hideMark/>
          </w:tcPr>
          <w:p w:rsidR="00436867" w:rsidRPr="006E5888" w:rsidRDefault="00436867" w:rsidP="00984DC7">
            <w:pPr>
              <w:jc w:val="right"/>
              <w:rPr>
                <w:rFonts w:eastAsia="Times New Roman" w:cs="Times New Roman"/>
                <w:color w:val="000000"/>
                <w:szCs w:val="24"/>
                <w:lang w:eastAsia="lv-LV"/>
              </w:rPr>
            </w:pPr>
            <w:r w:rsidRPr="006E5888">
              <w:rPr>
                <w:rFonts w:eastAsia="Times New Roman" w:cs="Times New Roman"/>
                <w:color w:val="000000"/>
                <w:szCs w:val="24"/>
                <w:lang w:eastAsia="lv-LV"/>
              </w:rPr>
              <w:t>451 015</w:t>
            </w:r>
          </w:p>
        </w:tc>
      </w:tr>
      <w:tr w:rsidR="00436867" w:rsidRPr="006E5888" w:rsidTr="00984DC7">
        <w:trPr>
          <w:trHeight w:val="20"/>
        </w:trPr>
        <w:tc>
          <w:tcPr>
            <w:tcW w:w="1271" w:type="dxa"/>
            <w:vAlign w:val="center"/>
          </w:tcPr>
          <w:p w:rsidR="00436867" w:rsidRPr="006E5888" w:rsidRDefault="00436867" w:rsidP="00984DC7">
            <w:pPr>
              <w:rPr>
                <w:rFonts w:eastAsia="Times New Roman" w:cs="Times New Roman"/>
                <w:color w:val="000000"/>
                <w:szCs w:val="24"/>
                <w:lang w:eastAsia="lv-LV"/>
              </w:rPr>
            </w:pPr>
            <w:r w:rsidRPr="006E5888">
              <w:rPr>
                <w:rFonts w:eastAsia="Times New Roman" w:cs="Times New Roman"/>
                <w:b/>
                <w:bCs/>
                <w:color w:val="000000"/>
                <w:szCs w:val="24"/>
                <w:lang w:eastAsia="lv-LV"/>
              </w:rPr>
              <w:t>ĀM</w:t>
            </w:r>
          </w:p>
        </w:tc>
        <w:tc>
          <w:tcPr>
            <w:tcW w:w="4820" w:type="dxa"/>
            <w:shd w:val="clear" w:color="auto" w:fill="auto"/>
            <w:noWrap/>
            <w:vAlign w:val="bottom"/>
            <w:hideMark/>
          </w:tcPr>
          <w:p w:rsidR="00436867" w:rsidRPr="006E5888" w:rsidRDefault="00436867" w:rsidP="00436867">
            <w:pPr>
              <w:rPr>
                <w:rFonts w:eastAsia="Times New Roman" w:cs="Times New Roman"/>
                <w:color w:val="000000"/>
                <w:szCs w:val="24"/>
                <w:lang w:eastAsia="lv-LV"/>
              </w:rPr>
            </w:pPr>
            <w:r w:rsidRPr="006E5888">
              <w:rPr>
                <w:rFonts w:eastAsia="Times New Roman" w:cs="Times New Roman"/>
                <w:color w:val="000000"/>
                <w:szCs w:val="24"/>
                <w:lang w:eastAsia="lv-LV"/>
              </w:rPr>
              <w:t>Nodokļu atmaksas</w:t>
            </w:r>
          </w:p>
        </w:tc>
        <w:tc>
          <w:tcPr>
            <w:tcW w:w="1780" w:type="dxa"/>
            <w:shd w:val="clear" w:color="auto" w:fill="auto"/>
            <w:noWrap/>
            <w:vAlign w:val="center"/>
            <w:hideMark/>
          </w:tcPr>
          <w:p w:rsidR="00436867" w:rsidRPr="006E5888" w:rsidRDefault="00436867" w:rsidP="00984DC7">
            <w:pPr>
              <w:jc w:val="right"/>
              <w:rPr>
                <w:rFonts w:eastAsia="Times New Roman" w:cs="Times New Roman"/>
                <w:color w:val="000000"/>
                <w:szCs w:val="24"/>
                <w:lang w:eastAsia="lv-LV"/>
              </w:rPr>
            </w:pPr>
            <w:r w:rsidRPr="006E5888">
              <w:rPr>
                <w:rFonts w:eastAsia="Times New Roman" w:cs="Times New Roman"/>
                <w:color w:val="000000"/>
                <w:szCs w:val="24"/>
                <w:lang w:eastAsia="lv-LV"/>
              </w:rPr>
              <w:t>250 000</w:t>
            </w:r>
          </w:p>
        </w:tc>
        <w:tc>
          <w:tcPr>
            <w:tcW w:w="1481" w:type="dxa"/>
            <w:shd w:val="clear" w:color="auto" w:fill="auto"/>
            <w:noWrap/>
            <w:vAlign w:val="center"/>
            <w:hideMark/>
          </w:tcPr>
          <w:p w:rsidR="00436867" w:rsidRPr="006E5888" w:rsidRDefault="00436867" w:rsidP="00984DC7">
            <w:pPr>
              <w:jc w:val="right"/>
              <w:rPr>
                <w:rFonts w:eastAsia="Times New Roman" w:cs="Times New Roman"/>
                <w:color w:val="000000"/>
                <w:szCs w:val="24"/>
                <w:lang w:eastAsia="lv-LV"/>
              </w:rPr>
            </w:pPr>
            <w:r w:rsidRPr="006E5888">
              <w:rPr>
                <w:rFonts w:eastAsia="Times New Roman" w:cs="Times New Roman"/>
                <w:color w:val="000000"/>
                <w:szCs w:val="24"/>
                <w:lang w:eastAsia="lv-LV"/>
              </w:rPr>
              <w:t>250 000</w:t>
            </w:r>
          </w:p>
        </w:tc>
      </w:tr>
      <w:tr w:rsidR="00436867" w:rsidRPr="006E5888" w:rsidTr="00984DC7">
        <w:trPr>
          <w:trHeight w:val="20"/>
        </w:trPr>
        <w:tc>
          <w:tcPr>
            <w:tcW w:w="1271" w:type="dxa"/>
            <w:vAlign w:val="center"/>
          </w:tcPr>
          <w:p w:rsidR="00436867" w:rsidRPr="006E5888" w:rsidRDefault="00436867" w:rsidP="00984DC7">
            <w:pPr>
              <w:rPr>
                <w:rFonts w:eastAsia="Times New Roman" w:cs="Times New Roman"/>
                <w:color w:val="000000"/>
                <w:szCs w:val="24"/>
                <w:lang w:eastAsia="lv-LV"/>
              </w:rPr>
            </w:pPr>
            <w:r w:rsidRPr="006E5888">
              <w:rPr>
                <w:rFonts w:eastAsia="Times New Roman" w:cs="Times New Roman"/>
                <w:b/>
                <w:bCs/>
                <w:color w:val="000000"/>
                <w:szCs w:val="24"/>
                <w:lang w:eastAsia="lv-LV"/>
              </w:rPr>
              <w:t>FM</w:t>
            </w:r>
          </w:p>
        </w:tc>
        <w:tc>
          <w:tcPr>
            <w:tcW w:w="4820" w:type="dxa"/>
            <w:shd w:val="clear" w:color="auto" w:fill="auto"/>
            <w:noWrap/>
            <w:vAlign w:val="bottom"/>
            <w:hideMark/>
          </w:tcPr>
          <w:p w:rsidR="00436867" w:rsidRPr="006E5888" w:rsidRDefault="00436867" w:rsidP="006E2D76">
            <w:pPr>
              <w:jc w:val="both"/>
              <w:rPr>
                <w:rFonts w:eastAsia="Times New Roman" w:cs="Times New Roman"/>
                <w:color w:val="000000"/>
                <w:szCs w:val="24"/>
                <w:lang w:eastAsia="lv-LV"/>
              </w:rPr>
            </w:pPr>
            <w:r w:rsidRPr="006E5888">
              <w:rPr>
                <w:rFonts w:eastAsia="Times New Roman" w:cs="Times New Roman"/>
                <w:color w:val="000000"/>
                <w:szCs w:val="24"/>
                <w:lang w:eastAsia="lv-LV"/>
              </w:rPr>
              <w:t>41.05.00 Kompensācijas reabilitētajiem pilsoņiem</w:t>
            </w:r>
          </w:p>
        </w:tc>
        <w:tc>
          <w:tcPr>
            <w:tcW w:w="1780" w:type="dxa"/>
            <w:shd w:val="clear" w:color="auto" w:fill="auto"/>
            <w:noWrap/>
            <w:vAlign w:val="center"/>
            <w:hideMark/>
          </w:tcPr>
          <w:p w:rsidR="00436867" w:rsidRPr="006E5888" w:rsidRDefault="00436867" w:rsidP="00984DC7">
            <w:pPr>
              <w:jc w:val="right"/>
              <w:rPr>
                <w:rFonts w:eastAsia="Times New Roman" w:cs="Times New Roman"/>
                <w:color w:val="000000"/>
                <w:szCs w:val="24"/>
                <w:lang w:eastAsia="lv-LV"/>
              </w:rPr>
            </w:pPr>
            <w:r w:rsidRPr="006E5888">
              <w:rPr>
                <w:rFonts w:eastAsia="Times New Roman" w:cs="Times New Roman"/>
                <w:color w:val="000000"/>
                <w:szCs w:val="24"/>
                <w:lang w:eastAsia="lv-LV"/>
              </w:rPr>
              <w:t>90 363</w:t>
            </w:r>
          </w:p>
        </w:tc>
        <w:tc>
          <w:tcPr>
            <w:tcW w:w="1481" w:type="dxa"/>
            <w:shd w:val="clear" w:color="auto" w:fill="auto"/>
            <w:noWrap/>
            <w:vAlign w:val="center"/>
            <w:hideMark/>
          </w:tcPr>
          <w:p w:rsidR="00436867" w:rsidRPr="006E5888" w:rsidRDefault="00436867" w:rsidP="00984DC7">
            <w:pPr>
              <w:jc w:val="right"/>
              <w:rPr>
                <w:rFonts w:eastAsia="Times New Roman" w:cs="Times New Roman"/>
                <w:color w:val="000000"/>
                <w:szCs w:val="24"/>
                <w:lang w:eastAsia="lv-LV"/>
              </w:rPr>
            </w:pPr>
            <w:r w:rsidRPr="006E5888">
              <w:rPr>
                <w:rFonts w:eastAsia="Times New Roman" w:cs="Times New Roman"/>
                <w:color w:val="000000"/>
                <w:szCs w:val="24"/>
                <w:lang w:eastAsia="lv-LV"/>
              </w:rPr>
              <w:t>90 363</w:t>
            </w:r>
          </w:p>
        </w:tc>
      </w:tr>
      <w:tr w:rsidR="00436867" w:rsidRPr="006E5888" w:rsidTr="00984DC7">
        <w:trPr>
          <w:trHeight w:val="20"/>
        </w:trPr>
        <w:tc>
          <w:tcPr>
            <w:tcW w:w="1271" w:type="dxa"/>
            <w:vAlign w:val="center"/>
          </w:tcPr>
          <w:p w:rsidR="00436867" w:rsidRPr="006E5888" w:rsidRDefault="00436867" w:rsidP="00984DC7">
            <w:pPr>
              <w:ind w:firstLineChars="200" w:firstLine="480"/>
              <w:rPr>
                <w:rFonts w:eastAsia="Times New Roman" w:cs="Times New Roman"/>
                <w:color w:val="000000"/>
                <w:szCs w:val="24"/>
                <w:lang w:eastAsia="lv-LV"/>
              </w:rPr>
            </w:pPr>
          </w:p>
        </w:tc>
        <w:tc>
          <w:tcPr>
            <w:tcW w:w="4820" w:type="dxa"/>
            <w:shd w:val="clear" w:color="auto" w:fill="auto"/>
            <w:noWrap/>
            <w:vAlign w:val="bottom"/>
            <w:hideMark/>
          </w:tcPr>
          <w:p w:rsidR="00436867" w:rsidRPr="006E5888" w:rsidRDefault="00436867" w:rsidP="00436867">
            <w:pPr>
              <w:jc w:val="both"/>
              <w:rPr>
                <w:rFonts w:eastAsia="Times New Roman" w:cs="Times New Roman"/>
                <w:color w:val="000000"/>
                <w:szCs w:val="24"/>
                <w:lang w:eastAsia="lv-LV"/>
              </w:rPr>
            </w:pPr>
            <w:r w:rsidRPr="006E5888">
              <w:rPr>
                <w:rFonts w:eastAsia="Times New Roman" w:cs="Times New Roman"/>
                <w:color w:val="000000"/>
                <w:szCs w:val="24"/>
                <w:lang w:eastAsia="lv-LV"/>
              </w:rPr>
              <w:t>41.09.00 Fiziskajām un juridiskajām personām nodarīto zaudējumu atlīdzināšana</w:t>
            </w:r>
          </w:p>
        </w:tc>
        <w:tc>
          <w:tcPr>
            <w:tcW w:w="1780" w:type="dxa"/>
            <w:shd w:val="clear" w:color="auto" w:fill="auto"/>
            <w:noWrap/>
            <w:vAlign w:val="center"/>
            <w:hideMark/>
          </w:tcPr>
          <w:p w:rsidR="00436867" w:rsidRPr="006E5888" w:rsidRDefault="00436867" w:rsidP="00984DC7">
            <w:pPr>
              <w:jc w:val="right"/>
              <w:rPr>
                <w:rFonts w:eastAsia="Times New Roman" w:cs="Times New Roman"/>
                <w:color w:val="000000"/>
                <w:szCs w:val="24"/>
                <w:lang w:eastAsia="lv-LV"/>
              </w:rPr>
            </w:pPr>
            <w:r w:rsidRPr="006E5888">
              <w:rPr>
                <w:rFonts w:eastAsia="Times New Roman" w:cs="Times New Roman"/>
                <w:color w:val="000000"/>
                <w:szCs w:val="24"/>
                <w:lang w:eastAsia="lv-LV"/>
              </w:rPr>
              <w:t>142 244</w:t>
            </w:r>
          </w:p>
        </w:tc>
        <w:tc>
          <w:tcPr>
            <w:tcW w:w="1481" w:type="dxa"/>
            <w:shd w:val="clear" w:color="auto" w:fill="auto"/>
            <w:noWrap/>
            <w:vAlign w:val="center"/>
            <w:hideMark/>
          </w:tcPr>
          <w:p w:rsidR="00436867" w:rsidRPr="006E5888" w:rsidRDefault="00436867" w:rsidP="00984DC7">
            <w:pPr>
              <w:jc w:val="right"/>
              <w:rPr>
                <w:rFonts w:eastAsia="Times New Roman" w:cs="Times New Roman"/>
                <w:color w:val="000000"/>
                <w:szCs w:val="24"/>
                <w:lang w:eastAsia="lv-LV"/>
              </w:rPr>
            </w:pPr>
            <w:r w:rsidRPr="006E5888">
              <w:rPr>
                <w:rFonts w:eastAsia="Times New Roman" w:cs="Times New Roman"/>
                <w:color w:val="000000"/>
                <w:szCs w:val="24"/>
                <w:lang w:eastAsia="lv-LV"/>
              </w:rPr>
              <w:t>142 244</w:t>
            </w:r>
          </w:p>
        </w:tc>
      </w:tr>
      <w:tr w:rsidR="00436867" w:rsidRPr="006E5888" w:rsidTr="00984DC7">
        <w:trPr>
          <w:trHeight w:val="20"/>
        </w:trPr>
        <w:tc>
          <w:tcPr>
            <w:tcW w:w="1271" w:type="dxa"/>
            <w:vAlign w:val="center"/>
          </w:tcPr>
          <w:p w:rsidR="00436867" w:rsidRPr="006E5888" w:rsidRDefault="00436867" w:rsidP="00984DC7">
            <w:pPr>
              <w:rPr>
                <w:rFonts w:eastAsia="Times New Roman" w:cs="Times New Roman"/>
                <w:color w:val="000000"/>
                <w:szCs w:val="24"/>
                <w:lang w:eastAsia="lv-LV"/>
              </w:rPr>
            </w:pPr>
            <w:r w:rsidRPr="006E5888">
              <w:rPr>
                <w:rFonts w:eastAsia="Times New Roman" w:cs="Times New Roman"/>
                <w:b/>
                <w:bCs/>
                <w:color w:val="000000"/>
                <w:szCs w:val="24"/>
                <w:lang w:eastAsia="lv-LV"/>
              </w:rPr>
              <w:t>ZM</w:t>
            </w:r>
          </w:p>
        </w:tc>
        <w:tc>
          <w:tcPr>
            <w:tcW w:w="4820" w:type="dxa"/>
            <w:shd w:val="clear" w:color="auto" w:fill="auto"/>
            <w:noWrap/>
            <w:vAlign w:val="bottom"/>
            <w:hideMark/>
          </w:tcPr>
          <w:p w:rsidR="00436867" w:rsidRPr="006E5888" w:rsidRDefault="00436867" w:rsidP="00436867">
            <w:pPr>
              <w:jc w:val="both"/>
              <w:rPr>
                <w:rFonts w:eastAsia="Times New Roman" w:cs="Times New Roman"/>
                <w:color w:val="000000"/>
                <w:szCs w:val="24"/>
                <w:lang w:eastAsia="lv-LV"/>
              </w:rPr>
            </w:pPr>
            <w:r w:rsidRPr="006E5888">
              <w:rPr>
                <w:rFonts w:eastAsia="Times New Roman" w:cs="Times New Roman"/>
                <w:color w:val="000000"/>
                <w:szCs w:val="24"/>
                <w:lang w:eastAsia="lv-LV"/>
              </w:rPr>
              <w:t xml:space="preserve">21.09.00 Kredītprocentu likmju pieauguma kompensācija akciju sabiedrībai “Attīstības finanšu institūcija </w:t>
            </w:r>
            <w:proofErr w:type="spellStart"/>
            <w:r w:rsidRPr="006E5888">
              <w:rPr>
                <w:rFonts w:eastAsia="Times New Roman" w:cs="Times New Roman"/>
                <w:color w:val="000000"/>
                <w:szCs w:val="24"/>
                <w:lang w:eastAsia="lv-LV"/>
              </w:rPr>
              <w:t>Altum</w:t>
            </w:r>
            <w:proofErr w:type="spellEnd"/>
            <w:r w:rsidRPr="006E5888">
              <w:rPr>
                <w:rFonts w:eastAsia="Times New Roman" w:cs="Times New Roman"/>
                <w:color w:val="000000"/>
                <w:szCs w:val="24"/>
                <w:lang w:eastAsia="lv-LV"/>
              </w:rPr>
              <w:t>”</w:t>
            </w:r>
          </w:p>
        </w:tc>
        <w:tc>
          <w:tcPr>
            <w:tcW w:w="1780" w:type="dxa"/>
            <w:shd w:val="clear" w:color="auto" w:fill="auto"/>
            <w:noWrap/>
            <w:vAlign w:val="center"/>
            <w:hideMark/>
          </w:tcPr>
          <w:p w:rsidR="00436867" w:rsidRPr="006E5888" w:rsidRDefault="00436867" w:rsidP="00984DC7">
            <w:pPr>
              <w:jc w:val="right"/>
              <w:rPr>
                <w:rFonts w:eastAsia="Times New Roman" w:cs="Times New Roman"/>
                <w:color w:val="000000"/>
                <w:szCs w:val="24"/>
                <w:lang w:eastAsia="lv-LV"/>
              </w:rPr>
            </w:pPr>
            <w:r w:rsidRPr="006E5888">
              <w:rPr>
                <w:rFonts w:eastAsia="Times New Roman" w:cs="Times New Roman"/>
                <w:color w:val="000000"/>
                <w:szCs w:val="24"/>
                <w:lang w:eastAsia="lv-LV"/>
              </w:rPr>
              <w:t>50 032</w:t>
            </w:r>
          </w:p>
        </w:tc>
        <w:tc>
          <w:tcPr>
            <w:tcW w:w="1481" w:type="dxa"/>
            <w:shd w:val="clear" w:color="auto" w:fill="auto"/>
            <w:noWrap/>
            <w:vAlign w:val="center"/>
            <w:hideMark/>
          </w:tcPr>
          <w:p w:rsidR="00436867" w:rsidRPr="006E5888" w:rsidRDefault="00436867" w:rsidP="00984DC7">
            <w:pPr>
              <w:jc w:val="right"/>
              <w:rPr>
                <w:rFonts w:eastAsia="Times New Roman" w:cs="Times New Roman"/>
                <w:color w:val="000000"/>
                <w:szCs w:val="24"/>
                <w:lang w:eastAsia="lv-LV"/>
              </w:rPr>
            </w:pPr>
            <w:r w:rsidRPr="006E5888">
              <w:rPr>
                <w:rFonts w:eastAsia="Times New Roman" w:cs="Times New Roman"/>
                <w:color w:val="000000"/>
                <w:szCs w:val="24"/>
                <w:lang w:eastAsia="lv-LV"/>
              </w:rPr>
              <w:t>45 268</w:t>
            </w:r>
          </w:p>
        </w:tc>
      </w:tr>
      <w:tr w:rsidR="00436867" w:rsidRPr="006E5888" w:rsidTr="00984DC7">
        <w:trPr>
          <w:trHeight w:val="20"/>
        </w:trPr>
        <w:tc>
          <w:tcPr>
            <w:tcW w:w="1271" w:type="dxa"/>
            <w:vAlign w:val="center"/>
          </w:tcPr>
          <w:p w:rsidR="00436867" w:rsidRPr="006E5888" w:rsidRDefault="00436867" w:rsidP="00984DC7">
            <w:pPr>
              <w:rPr>
                <w:rFonts w:eastAsia="Times New Roman" w:cs="Times New Roman"/>
                <w:color w:val="000000"/>
                <w:szCs w:val="24"/>
                <w:lang w:eastAsia="lv-LV"/>
              </w:rPr>
            </w:pPr>
            <w:r w:rsidRPr="006E5888">
              <w:rPr>
                <w:rFonts w:eastAsia="Times New Roman" w:cs="Times New Roman"/>
                <w:b/>
                <w:bCs/>
                <w:color w:val="000000"/>
                <w:szCs w:val="24"/>
                <w:lang w:eastAsia="lv-LV"/>
              </w:rPr>
              <w:t>TM</w:t>
            </w:r>
          </w:p>
        </w:tc>
        <w:tc>
          <w:tcPr>
            <w:tcW w:w="4820" w:type="dxa"/>
            <w:shd w:val="clear" w:color="auto" w:fill="auto"/>
            <w:noWrap/>
            <w:vAlign w:val="bottom"/>
            <w:hideMark/>
          </w:tcPr>
          <w:p w:rsidR="00436867" w:rsidRPr="006E5888" w:rsidRDefault="00451D2D" w:rsidP="006E2D76">
            <w:pPr>
              <w:jc w:val="both"/>
              <w:rPr>
                <w:rFonts w:eastAsia="Times New Roman" w:cs="Times New Roman"/>
                <w:color w:val="000000"/>
                <w:szCs w:val="24"/>
                <w:lang w:eastAsia="lv-LV"/>
              </w:rPr>
            </w:pPr>
            <w:r w:rsidRPr="006E5888">
              <w:rPr>
                <w:rFonts w:eastAsia="Times New Roman" w:cs="Times New Roman"/>
                <w:color w:val="000000"/>
                <w:szCs w:val="24"/>
                <w:lang w:eastAsia="lv-LV"/>
              </w:rPr>
              <w:t>03.02</w:t>
            </w:r>
            <w:r w:rsidR="00436867" w:rsidRPr="006E5888">
              <w:rPr>
                <w:rFonts w:eastAsia="Times New Roman" w:cs="Times New Roman"/>
                <w:color w:val="000000"/>
                <w:szCs w:val="24"/>
                <w:lang w:eastAsia="lv-LV"/>
              </w:rPr>
              <w:t>.00 Apgabaltiesas un rajonu (pilsētu) tiesas</w:t>
            </w:r>
          </w:p>
        </w:tc>
        <w:tc>
          <w:tcPr>
            <w:tcW w:w="1780" w:type="dxa"/>
            <w:shd w:val="clear" w:color="auto" w:fill="auto"/>
            <w:noWrap/>
            <w:vAlign w:val="center"/>
            <w:hideMark/>
          </w:tcPr>
          <w:p w:rsidR="00436867" w:rsidRPr="006E5888" w:rsidRDefault="00436867" w:rsidP="00984DC7">
            <w:pPr>
              <w:jc w:val="right"/>
              <w:rPr>
                <w:rFonts w:eastAsia="Times New Roman" w:cs="Times New Roman"/>
                <w:color w:val="000000"/>
                <w:szCs w:val="24"/>
                <w:lang w:eastAsia="lv-LV"/>
              </w:rPr>
            </w:pPr>
            <w:r w:rsidRPr="006E5888">
              <w:rPr>
                <w:rFonts w:eastAsia="Times New Roman" w:cs="Times New Roman"/>
                <w:color w:val="000000"/>
                <w:szCs w:val="24"/>
                <w:lang w:eastAsia="lv-LV"/>
              </w:rPr>
              <w:t>50 000</w:t>
            </w:r>
          </w:p>
        </w:tc>
        <w:tc>
          <w:tcPr>
            <w:tcW w:w="1481" w:type="dxa"/>
            <w:shd w:val="clear" w:color="auto" w:fill="auto"/>
            <w:noWrap/>
            <w:vAlign w:val="center"/>
            <w:hideMark/>
          </w:tcPr>
          <w:p w:rsidR="00436867" w:rsidRPr="006E5888" w:rsidRDefault="00436867" w:rsidP="00984DC7">
            <w:pPr>
              <w:jc w:val="right"/>
              <w:rPr>
                <w:rFonts w:eastAsia="Times New Roman" w:cs="Times New Roman"/>
                <w:color w:val="000000"/>
                <w:szCs w:val="24"/>
                <w:lang w:eastAsia="lv-LV"/>
              </w:rPr>
            </w:pPr>
            <w:r w:rsidRPr="006E5888">
              <w:rPr>
                <w:rFonts w:eastAsia="Times New Roman" w:cs="Times New Roman"/>
                <w:color w:val="000000"/>
                <w:szCs w:val="24"/>
                <w:lang w:eastAsia="lv-LV"/>
              </w:rPr>
              <w:t>50 000</w:t>
            </w:r>
          </w:p>
        </w:tc>
      </w:tr>
      <w:tr w:rsidR="00436867" w:rsidRPr="006E5888" w:rsidTr="00984DC7">
        <w:trPr>
          <w:trHeight w:val="20"/>
        </w:trPr>
        <w:tc>
          <w:tcPr>
            <w:tcW w:w="6091" w:type="dxa"/>
            <w:gridSpan w:val="2"/>
            <w:shd w:val="clear" w:color="auto" w:fill="D9D9D9" w:themeFill="background1" w:themeFillShade="D9"/>
            <w:vAlign w:val="bottom"/>
          </w:tcPr>
          <w:p w:rsidR="00436867" w:rsidRPr="006E5888" w:rsidRDefault="00436867" w:rsidP="00436867">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KOPĀ:</w:t>
            </w:r>
          </w:p>
        </w:tc>
        <w:tc>
          <w:tcPr>
            <w:tcW w:w="1780" w:type="dxa"/>
            <w:shd w:val="clear" w:color="auto" w:fill="D9D9D9" w:themeFill="background1" w:themeFillShade="D9"/>
            <w:noWrap/>
            <w:vAlign w:val="center"/>
            <w:hideMark/>
          </w:tcPr>
          <w:p w:rsidR="00436867" w:rsidRPr="006E5888" w:rsidRDefault="00436867" w:rsidP="00984DC7">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4 253 473</w:t>
            </w:r>
          </w:p>
        </w:tc>
        <w:tc>
          <w:tcPr>
            <w:tcW w:w="1481" w:type="dxa"/>
            <w:shd w:val="clear" w:color="auto" w:fill="D9D9D9" w:themeFill="background1" w:themeFillShade="D9"/>
            <w:noWrap/>
            <w:vAlign w:val="center"/>
            <w:hideMark/>
          </w:tcPr>
          <w:p w:rsidR="00436867" w:rsidRPr="006E5888" w:rsidRDefault="00436867" w:rsidP="00984DC7">
            <w:pPr>
              <w:jc w:val="right"/>
              <w:rPr>
                <w:rFonts w:eastAsia="Times New Roman" w:cs="Times New Roman"/>
                <w:b/>
                <w:bCs/>
                <w:color w:val="000000"/>
                <w:szCs w:val="24"/>
                <w:lang w:eastAsia="lv-LV"/>
              </w:rPr>
            </w:pPr>
            <w:r w:rsidRPr="006E5888">
              <w:rPr>
                <w:rFonts w:eastAsia="Times New Roman" w:cs="Times New Roman"/>
                <w:b/>
                <w:bCs/>
                <w:color w:val="000000"/>
                <w:szCs w:val="24"/>
                <w:lang w:eastAsia="lv-LV"/>
              </w:rPr>
              <w:t>4 248 709</w:t>
            </w:r>
          </w:p>
        </w:tc>
      </w:tr>
    </w:tbl>
    <w:p w:rsidR="00DE6A7F" w:rsidRPr="006E5888" w:rsidRDefault="00A865C9" w:rsidP="002C269C">
      <w:pPr>
        <w:tabs>
          <w:tab w:val="left" w:pos="1010"/>
        </w:tabs>
        <w:spacing w:before="120" w:after="120"/>
        <w:ind w:firstLine="709"/>
        <w:jc w:val="both"/>
        <w:rPr>
          <w:szCs w:val="24"/>
        </w:rPr>
      </w:pPr>
      <w:r w:rsidRPr="006E5888">
        <w:rPr>
          <w:szCs w:val="24"/>
        </w:rPr>
        <w:t xml:space="preserve">Izvērsta analīze par ministriju izteiktajiem </w:t>
      </w:r>
      <w:proofErr w:type="spellStart"/>
      <w:r w:rsidRPr="006E5888">
        <w:rPr>
          <w:szCs w:val="24"/>
        </w:rPr>
        <w:t>efektivizācijas</w:t>
      </w:r>
      <w:proofErr w:type="spellEnd"/>
      <w:r w:rsidRPr="006E5888">
        <w:rPr>
          <w:szCs w:val="24"/>
        </w:rPr>
        <w:t xml:space="preserve"> priekšlikumiem</w:t>
      </w:r>
      <w:r w:rsidR="00521F0A" w:rsidRPr="006E5888">
        <w:rPr>
          <w:szCs w:val="24"/>
        </w:rPr>
        <w:t>,</w:t>
      </w:r>
      <w:r w:rsidRPr="006E5888">
        <w:rPr>
          <w:szCs w:val="24"/>
        </w:rPr>
        <w:t xml:space="preserve"> detalizēti aplūkojot katru ministriju, tai skaitā ministrijas programmu/apakšprogrammu pieejama informatīvā ziņojuma </w:t>
      </w:r>
      <w:r w:rsidR="00DE4F07" w:rsidRPr="006E5888">
        <w:rPr>
          <w:szCs w:val="24"/>
        </w:rPr>
        <w:t>pielikumā Nr.</w:t>
      </w:r>
      <w:r w:rsidR="0080209C" w:rsidRPr="006E5888">
        <w:rPr>
          <w:szCs w:val="24"/>
        </w:rPr>
        <w:t>11</w:t>
      </w:r>
      <w:r w:rsidRPr="006E5888">
        <w:rPr>
          <w:szCs w:val="24"/>
        </w:rPr>
        <w:t xml:space="preserve">. </w:t>
      </w:r>
    </w:p>
    <w:p w:rsidR="00F768C1" w:rsidRPr="006E5888" w:rsidRDefault="00F72914" w:rsidP="00D822C3">
      <w:pPr>
        <w:pStyle w:val="Heading1"/>
        <w:spacing w:after="120"/>
        <w:rPr>
          <w:rFonts w:ascii="Times New Roman" w:hAnsi="Times New Roman" w:cs="Times New Roman"/>
          <w:b/>
          <w:color w:val="auto"/>
          <w:sz w:val="24"/>
          <w:szCs w:val="24"/>
        </w:rPr>
      </w:pPr>
      <w:r w:rsidRPr="006E5888">
        <w:rPr>
          <w:rFonts w:ascii="Times New Roman" w:hAnsi="Times New Roman" w:cs="Times New Roman"/>
          <w:b/>
          <w:color w:val="auto"/>
          <w:sz w:val="24"/>
          <w:szCs w:val="24"/>
        </w:rPr>
        <w:t xml:space="preserve">8. </w:t>
      </w:r>
      <w:bookmarkStart w:id="14" w:name="_Toc451340351"/>
      <w:r w:rsidRPr="006E5888">
        <w:rPr>
          <w:rFonts w:ascii="Times New Roman" w:hAnsi="Times New Roman" w:cs="Times New Roman"/>
          <w:b/>
          <w:color w:val="auto"/>
          <w:sz w:val="24"/>
          <w:szCs w:val="24"/>
        </w:rPr>
        <w:t>ATLĪDZĪBAS SISTĒMAS UN PERSONĀLA ANALĪZE</w:t>
      </w:r>
      <w:bookmarkEnd w:id="14"/>
    </w:p>
    <w:p w:rsidR="00921FF2" w:rsidRPr="006E5888" w:rsidRDefault="00921FF2" w:rsidP="004032E9">
      <w:pPr>
        <w:ind w:firstLine="709"/>
        <w:jc w:val="both"/>
        <w:rPr>
          <w:szCs w:val="24"/>
        </w:rPr>
      </w:pPr>
      <w:r w:rsidRPr="006E5888">
        <w:rPr>
          <w:szCs w:val="24"/>
        </w:rPr>
        <w:t>Vērtējot atlīdzības sistēmu ministriju centrālajos aparātos un padotības iestādēs</w:t>
      </w:r>
      <w:r w:rsidR="00521F0A" w:rsidRPr="006E5888">
        <w:rPr>
          <w:szCs w:val="24"/>
        </w:rPr>
        <w:t>,</w:t>
      </w:r>
      <w:r w:rsidRPr="006E5888">
        <w:rPr>
          <w:szCs w:val="24"/>
        </w:rPr>
        <w:t xml:space="preserve"> secināms, ka kopumā tiek piemēroti visi Valsts un pašvaldību institūciju amatpersonu un darbin</w:t>
      </w:r>
      <w:r w:rsidR="00F50BD9" w:rsidRPr="006E5888">
        <w:rPr>
          <w:szCs w:val="24"/>
        </w:rPr>
        <w:t>ieku atlīdzības likumā (turpmāk –</w:t>
      </w:r>
      <w:r w:rsidRPr="006E5888">
        <w:rPr>
          <w:szCs w:val="24"/>
        </w:rPr>
        <w:t xml:space="preserve"> Atlīdzības likums) minētie atlīdzības elementi. </w:t>
      </w:r>
    </w:p>
    <w:p w:rsidR="00921FF2" w:rsidRPr="006E5888" w:rsidRDefault="00921FF2" w:rsidP="00185B83">
      <w:pPr>
        <w:tabs>
          <w:tab w:val="left" w:pos="1701"/>
        </w:tabs>
        <w:spacing w:before="120" w:after="120"/>
        <w:jc w:val="center"/>
        <w:rPr>
          <w:sz w:val="22"/>
        </w:rPr>
      </w:pPr>
      <w:r w:rsidRPr="006E5888">
        <w:rPr>
          <w:noProof/>
          <w:lang w:eastAsia="lv-LV"/>
        </w:rPr>
        <w:drawing>
          <wp:inline distT="0" distB="0" distL="0" distR="0" wp14:anchorId="48D069D3" wp14:editId="7E788F40">
            <wp:extent cx="5025542" cy="3262579"/>
            <wp:effectExtent l="0" t="0" r="3810" b="1460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921FF2" w:rsidRPr="006E5888" w:rsidRDefault="00A77B70" w:rsidP="00711245">
      <w:pPr>
        <w:spacing w:before="240" w:after="120"/>
        <w:jc w:val="center"/>
        <w:rPr>
          <w:sz w:val="22"/>
        </w:rPr>
      </w:pPr>
      <w:r w:rsidRPr="006E5888">
        <w:rPr>
          <w:sz w:val="22"/>
        </w:rPr>
        <w:t>55</w:t>
      </w:r>
      <w:r w:rsidR="004032E9" w:rsidRPr="006E5888">
        <w:rPr>
          <w:sz w:val="22"/>
        </w:rPr>
        <w:t>.</w:t>
      </w:r>
      <w:r w:rsidR="004032E9" w:rsidRPr="006E5888">
        <w:rPr>
          <w:i/>
          <w:sz w:val="22"/>
        </w:rPr>
        <w:t>att.</w:t>
      </w:r>
      <w:r w:rsidR="004032E9" w:rsidRPr="006E5888">
        <w:rPr>
          <w:sz w:val="22"/>
        </w:rPr>
        <w:t xml:space="preserve"> </w:t>
      </w:r>
      <w:r w:rsidR="004032E9" w:rsidRPr="006E5888">
        <w:rPr>
          <w:b/>
          <w:sz w:val="22"/>
        </w:rPr>
        <w:t xml:space="preserve">Mēnešalgas pret skalas MAX ministriju centrālajos aparātos, Valsts kancelejā un </w:t>
      </w:r>
      <w:proofErr w:type="spellStart"/>
      <w:r w:rsidR="004032E9" w:rsidRPr="006E5888">
        <w:rPr>
          <w:b/>
          <w:sz w:val="22"/>
        </w:rPr>
        <w:t>Pārresoru</w:t>
      </w:r>
      <w:proofErr w:type="spellEnd"/>
      <w:r w:rsidR="004032E9" w:rsidRPr="006E5888">
        <w:rPr>
          <w:b/>
          <w:sz w:val="22"/>
        </w:rPr>
        <w:t xml:space="preserve"> koordinācijas centrā un piemaksu īpatsvars pret mēnešalgu 2015.gadā</w:t>
      </w:r>
      <w:r w:rsidR="004032E9" w:rsidRPr="006E5888">
        <w:rPr>
          <w:sz w:val="22"/>
        </w:rPr>
        <w:t>, %</w:t>
      </w:r>
    </w:p>
    <w:p w:rsidR="00711245" w:rsidRPr="006E5888" w:rsidRDefault="00711245" w:rsidP="00711245">
      <w:pPr>
        <w:spacing w:before="120"/>
        <w:ind w:firstLine="709"/>
        <w:jc w:val="both"/>
        <w:rPr>
          <w:szCs w:val="24"/>
        </w:rPr>
      </w:pPr>
      <w:r w:rsidRPr="006E5888">
        <w:rPr>
          <w:szCs w:val="24"/>
        </w:rPr>
        <w:lastRenderedPageBreak/>
        <w:t>Nodarbināto atlīdzību veido nemainīgā daļa – mēnešalga un main</w:t>
      </w:r>
      <w:r w:rsidR="00521F0A" w:rsidRPr="006E5888">
        <w:rPr>
          <w:szCs w:val="24"/>
        </w:rPr>
        <w:t>īgā daļa – piemaksa par papildu</w:t>
      </w:r>
      <w:r w:rsidRPr="006E5888">
        <w:rPr>
          <w:szCs w:val="24"/>
        </w:rPr>
        <w:t xml:space="preserve"> saviem tiešajiem pienākumiem citu pienākumu pildīšanu (piemēram, aizvieto prombūtnē esošo darbinieku, pilda vakanta amata pienākumus vai papildus amata aprakstā noteiktajiem pienākumiem pilda vēl citus pienākumus), piemaksa par virsstundu darbu vai darbu svētku dienās, prēmijas un naudas balvas.</w:t>
      </w:r>
    </w:p>
    <w:p w:rsidR="002C269C" w:rsidRPr="006E5888" w:rsidRDefault="002C269C" w:rsidP="002C269C">
      <w:pPr>
        <w:ind w:firstLine="709"/>
        <w:jc w:val="both"/>
        <w:rPr>
          <w:szCs w:val="24"/>
        </w:rPr>
      </w:pPr>
      <w:r w:rsidRPr="006E5888">
        <w:rPr>
          <w:szCs w:val="24"/>
        </w:rPr>
        <w:t xml:space="preserve">Ministriju centrālajos aparātos 2015.gadā mēnešalgas noteiktas vidēji 91% apmērā no algas skalu maksimālās robežas, bet piemaksu vidējais apjoms – 16% no noteiktās mēnešalgas (neskaitot piemaksas par darbu Latvijas Prezidentūras Eiropas Savienības Padomē sagatavošanā un norisē). </w:t>
      </w:r>
    </w:p>
    <w:p w:rsidR="00921FF2" w:rsidRPr="006E5888" w:rsidRDefault="00921FF2" w:rsidP="00F50BD9">
      <w:pPr>
        <w:spacing w:before="120" w:after="120"/>
        <w:jc w:val="center"/>
        <w:rPr>
          <w:color w:val="FF0000"/>
          <w:sz w:val="22"/>
        </w:rPr>
      </w:pPr>
      <w:r w:rsidRPr="006E5888">
        <w:rPr>
          <w:rFonts w:cs="Times New Roman"/>
          <w:noProof/>
          <w:lang w:eastAsia="lv-LV"/>
        </w:rPr>
        <w:drawing>
          <wp:inline distT="0" distB="0" distL="0" distR="0" wp14:anchorId="721C9504" wp14:editId="4D8DA394">
            <wp:extent cx="5471770" cy="3445459"/>
            <wp:effectExtent l="0" t="0" r="15240" b="317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921FF2" w:rsidRPr="006E5888" w:rsidRDefault="00A77B70" w:rsidP="00F50BD9">
      <w:pPr>
        <w:spacing w:before="120" w:after="120"/>
        <w:jc w:val="center"/>
        <w:rPr>
          <w:b/>
          <w:bCs/>
          <w:sz w:val="22"/>
        </w:rPr>
      </w:pPr>
      <w:r w:rsidRPr="006E5888">
        <w:rPr>
          <w:bCs/>
          <w:sz w:val="22"/>
        </w:rPr>
        <w:t>56</w:t>
      </w:r>
      <w:r w:rsidR="00F50BD9" w:rsidRPr="006E5888">
        <w:rPr>
          <w:bCs/>
          <w:sz w:val="22"/>
        </w:rPr>
        <w:t>.</w:t>
      </w:r>
      <w:r w:rsidR="00F50BD9" w:rsidRPr="006E5888">
        <w:rPr>
          <w:bCs/>
          <w:i/>
          <w:sz w:val="22"/>
        </w:rPr>
        <w:t>att.</w:t>
      </w:r>
      <w:r w:rsidR="00F50BD9" w:rsidRPr="006E5888">
        <w:rPr>
          <w:b/>
          <w:bCs/>
          <w:sz w:val="22"/>
        </w:rPr>
        <w:t xml:space="preserve"> Vadošo un pārējo darbinieku, t.sk. atbalsta personāla īpatsvars ministriju centrālajos aparātos, </w:t>
      </w:r>
      <w:r w:rsidR="00F50BD9" w:rsidRPr="006E5888">
        <w:rPr>
          <w:bCs/>
          <w:sz w:val="22"/>
        </w:rPr>
        <w:t>%</w:t>
      </w:r>
    </w:p>
    <w:p w:rsidR="00F50BD9" w:rsidRPr="006E5888" w:rsidRDefault="00F50BD9" w:rsidP="00F50BD9">
      <w:pPr>
        <w:ind w:firstLine="709"/>
        <w:jc w:val="both"/>
        <w:rPr>
          <w:szCs w:val="24"/>
        </w:rPr>
      </w:pPr>
      <w:r w:rsidRPr="006E5888">
        <w:rPr>
          <w:szCs w:val="24"/>
        </w:rPr>
        <w:t>Analizējot personālsastāvu</w:t>
      </w:r>
      <w:r w:rsidR="00521F0A" w:rsidRPr="006E5888">
        <w:rPr>
          <w:szCs w:val="24"/>
        </w:rPr>
        <w:t>,</w:t>
      </w:r>
      <w:r w:rsidRPr="006E5888">
        <w:rPr>
          <w:szCs w:val="24"/>
        </w:rPr>
        <w:t xml:space="preserve"> secināms, ka kopumā ministriju centrālajos aparātos vadības personāls laika periodā no 2014.gada janvāra līdz 2016.gada janvārim ir nemainīgs un veido vidēji 24% no kopējā personāla skaita, bet atbalsta personāls ir vidēji 28% no kopējā personāla skaita. </w:t>
      </w:r>
    </w:p>
    <w:p w:rsidR="00921FF2" w:rsidRPr="006E5888" w:rsidRDefault="00F50BD9" w:rsidP="002C269C">
      <w:pPr>
        <w:ind w:firstLine="709"/>
        <w:jc w:val="both"/>
        <w:rPr>
          <w:szCs w:val="24"/>
        </w:rPr>
      </w:pPr>
      <w:r w:rsidRPr="006E5888">
        <w:rPr>
          <w:szCs w:val="24"/>
        </w:rPr>
        <w:t>Atbalsta personāla atlase veikta saskaņā ar MK 2010.gada 14.decembra ieteikumiem Nr.2</w:t>
      </w:r>
      <w:r w:rsidRPr="006E5888">
        <w:rPr>
          <w:rStyle w:val="FootnoteReference"/>
          <w:szCs w:val="24"/>
        </w:rPr>
        <w:footnoteReference w:id="47"/>
      </w:r>
      <w:r w:rsidRPr="006E5888">
        <w:rPr>
          <w:szCs w:val="24"/>
        </w:rPr>
        <w:t xml:space="preserve">, savukārt vadības personālā ir iekļauti </w:t>
      </w:r>
      <w:r w:rsidR="002C269C" w:rsidRPr="006E5888">
        <w:rPr>
          <w:szCs w:val="24"/>
        </w:rPr>
        <w:t xml:space="preserve">visa veida un līmeņa vadītāji. </w:t>
      </w:r>
    </w:p>
    <w:p w:rsidR="00F72914" w:rsidRPr="006E5888" w:rsidRDefault="00F72914" w:rsidP="002C269C">
      <w:pPr>
        <w:pStyle w:val="Heading1"/>
        <w:spacing w:after="120"/>
        <w:rPr>
          <w:rFonts w:ascii="Times New Roman" w:hAnsi="Times New Roman" w:cs="Times New Roman"/>
          <w:b/>
          <w:color w:val="auto"/>
          <w:sz w:val="24"/>
          <w:szCs w:val="24"/>
        </w:rPr>
      </w:pPr>
      <w:bookmarkStart w:id="15" w:name="_Toc451340352"/>
      <w:r w:rsidRPr="006E5888">
        <w:rPr>
          <w:rFonts w:ascii="Times New Roman" w:hAnsi="Times New Roman" w:cs="Times New Roman"/>
          <w:b/>
          <w:color w:val="auto"/>
          <w:sz w:val="24"/>
          <w:szCs w:val="24"/>
        </w:rPr>
        <w:t>9. PRIEKŠLIKUMI IZDEVUMU PĀRSKATĪŠANAS REZULTĀTU IZMANTOŠANAI</w:t>
      </w:r>
      <w:bookmarkEnd w:id="15"/>
    </w:p>
    <w:p w:rsidR="006E2D76" w:rsidRPr="006E5888" w:rsidRDefault="006E2D76" w:rsidP="006E2D76">
      <w:pPr>
        <w:pStyle w:val="ListParagraph"/>
        <w:spacing w:before="120" w:after="120"/>
        <w:ind w:left="0"/>
        <w:jc w:val="both"/>
        <w:rPr>
          <w:b/>
          <w:u w:val="single"/>
        </w:rPr>
      </w:pPr>
      <w:r w:rsidRPr="006E5888">
        <w:rPr>
          <w:b/>
          <w:u w:val="single"/>
        </w:rPr>
        <w:t>Ministriju turpmāk veicamie pasākumi</w:t>
      </w:r>
    </w:p>
    <w:p w:rsidR="00B756BC" w:rsidRPr="006E5888" w:rsidRDefault="00B756BC" w:rsidP="006E2D76">
      <w:pPr>
        <w:pStyle w:val="ListParagraph"/>
        <w:spacing w:before="120" w:after="120"/>
        <w:ind w:left="0"/>
        <w:jc w:val="both"/>
        <w:rPr>
          <w:b/>
        </w:rPr>
      </w:pPr>
    </w:p>
    <w:p w:rsidR="00B756BC" w:rsidRPr="006E5888" w:rsidRDefault="00B756BC" w:rsidP="00B756BC">
      <w:pPr>
        <w:pStyle w:val="ListParagraph"/>
        <w:numPr>
          <w:ilvl w:val="0"/>
          <w:numId w:val="25"/>
        </w:numPr>
        <w:spacing w:before="120" w:after="120"/>
        <w:jc w:val="both"/>
      </w:pPr>
      <w:r w:rsidRPr="006E5888">
        <w:t>Aizsardzības ministrijai izvērtēt iespēju budžeta programmu 35.00.00 “Militārie un aizsardzības pārstāvji ārvalstīs” integrēt programmā 22.00.00 “Nacionālie bruņotie spēki”.</w:t>
      </w:r>
    </w:p>
    <w:p w:rsidR="00217946" w:rsidRPr="006E5888" w:rsidRDefault="00B756BC" w:rsidP="00217946">
      <w:pPr>
        <w:pStyle w:val="ListParagraph"/>
        <w:numPr>
          <w:ilvl w:val="0"/>
          <w:numId w:val="25"/>
        </w:numPr>
        <w:spacing w:before="120" w:after="120"/>
        <w:jc w:val="both"/>
      </w:pPr>
      <w:r w:rsidRPr="006E5888">
        <w:t xml:space="preserve">Aizsardzības ministrijai aktualizēt izdevumu prognozi izdienas pensijām un sociālajiem pabalstiem, t.sk. veselības aprūpei programmā 31.00.00 “Militārpersonu pensiju fonds” (vienreizējie izdevumi bojāgājušo un neatgriezeniskus veselības bojājumus guvušo pabalstiem, indikatīvi 1,8 milj. </w:t>
      </w:r>
      <w:proofErr w:type="spellStart"/>
      <w:r w:rsidRPr="006E5888">
        <w:rPr>
          <w:i/>
        </w:rPr>
        <w:t>euro</w:t>
      </w:r>
      <w:proofErr w:type="spellEnd"/>
      <w:r w:rsidRPr="006E5888">
        <w:t xml:space="preserve"> apmērā).</w:t>
      </w:r>
    </w:p>
    <w:p w:rsidR="00217946" w:rsidRPr="006E5888" w:rsidRDefault="00B756BC" w:rsidP="00217946">
      <w:pPr>
        <w:pStyle w:val="ListParagraph"/>
        <w:numPr>
          <w:ilvl w:val="0"/>
          <w:numId w:val="25"/>
        </w:numPr>
        <w:spacing w:before="120" w:after="120"/>
        <w:jc w:val="both"/>
      </w:pPr>
      <w:r w:rsidRPr="006E5888">
        <w:t xml:space="preserve">Ekonomikas ministrijai izvērtēt iespēju budžeta programmu 25.00.00 “Uzņēmējdarbības un uz zināšanām balstītas ekonomikas veicināšana” integrēt kādā citā Ekonomikas </w:t>
      </w:r>
      <w:r w:rsidRPr="006E5888">
        <w:lastRenderedPageBreak/>
        <w:t>ministrijas budžeta programmā, kuras ietvaros var turpināt nodrošināt paredzētās aktivitātes.</w:t>
      </w:r>
    </w:p>
    <w:p w:rsidR="00217946" w:rsidRPr="006E5888" w:rsidRDefault="00B756BC" w:rsidP="00217946">
      <w:pPr>
        <w:pStyle w:val="ListParagraph"/>
        <w:numPr>
          <w:ilvl w:val="0"/>
          <w:numId w:val="25"/>
        </w:numPr>
        <w:spacing w:before="120" w:after="120"/>
        <w:jc w:val="both"/>
      </w:pPr>
      <w:r w:rsidRPr="006E5888">
        <w:t>Ņemot vērā to, ka finansējums izglītības nozarei pēdējos 3 gados ir būtiski palielinājies pretēji izglītojamo skaita samazinājumam, izstrādājot jauno pedagogu darba samaksas finansēšanas modeli, Izglītības un zinātnes ministrijai atkārtoti izvērtēt finansējuma un izglītojamo skaita sasaisti, lai nodrošinātu efektīvu finansējuma izlietojumu, kā arī paredzēt nosacījumus (ieteicamās normas) pašvaldībām piešķirtās mērķdotācijas sadalei starp izglītības iestādēm, neierobežojot pašvaldību tiesības izglītības funkcijas nodrošināšanā.</w:t>
      </w:r>
    </w:p>
    <w:p w:rsidR="00217946" w:rsidRPr="006E5888" w:rsidRDefault="00B756BC" w:rsidP="00217946">
      <w:pPr>
        <w:pStyle w:val="ListParagraph"/>
        <w:numPr>
          <w:ilvl w:val="0"/>
          <w:numId w:val="25"/>
        </w:numPr>
        <w:spacing w:before="120" w:after="120"/>
        <w:jc w:val="both"/>
      </w:pPr>
      <w:r w:rsidRPr="006E5888">
        <w:t>Izglītības un zinātnes ministrijai izveidot ilgtspējīgu izglītības iestāžu tīklu, t.sk. modificēt pašvaldību savstarpējo norēķinu sistēmu par izglītības iestāžu sniegtajiem pakalpojumiem.</w:t>
      </w:r>
    </w:p>
    <w:p w:rsidR="00217946" w:rsidRPr="006E5888" w:rsidRDefault="00B756BC" w:rsidP="00217946">
      <w:pPr>
        <w:pStyle w:val="ListParagraph"/>
        <w:numPr>
          <w:ilvl w:val="0"/>
          <w:numId w:val="25"/>
        </w:numPr>
        <w:spacing w:before="120" w:after="120"/>
        <w:jc w:val="both"/>
      </w:pPr>
      <w:r w:rsidRPr="006E5888">
        <w:t>Izglītības un zinātnes ministrijai samērot studiju programmu skaitu/izglītības iestāžu skaitu un tām paredzēto finansējumu (visām nozaru ministrijām) ar audzēkņu skaitu, ņemot vērā, ka audzēkņu skaitam augstākās un profesionālās izglītības iestādēs ir tendence samazināties, kā arī ņemot vērā profesionālo izglītības iestāžu tīkla optimizācijas rezultātus (potenciālo ietaupījumu).</w:t>
      </w:r>
    </w:p>
    <w:p w:rsidR="00217946" w:rsidRPr="006E5888" w:rsidRDefault="00B756BC" w:rsidP="00217946">
      <w:pPr>
        <w:pStyle w:val="ListParagraph"/>
        <w:numPr>
          <w:ilvl w:val="0"/>
          <w:numId w:val="25"/>
        </w:numPr>
        <w:spacing w:before="120" w:after="120"/>
        <w:jc w:val="both"/>
      </w:pPr>
      <w:r w:rsidRPr="006E5888">
        <w:t xml:space="preserve">Izglītības un zinātnes ministrijai izvērtēt situāciju saistībā ar 5 pašvaldībām nodotām profesionālās izglītības iestādēm pēc 2016.gada 31.augusta un to uzturēšanas izdevumiem plānoto valsts budžeta dotāciju 1 255 400 </w:t>
      </w:r>
      <w:proofErr w:type="spellStart"/>
      <w:r w:rsidRPr="006E5888">
        <w:rPr>
          <w:i/>
        </w:rPr>
        <w:t>euro</w:t>
      </w:r>
      <w:proofErr w:type="spellEnd"/>
      <w:r w:rsidRPr="006E5888">
        <w:t xml:space="preserve"> apmērā, kas tiek plānota apakšprogrammā 02.01.00 “Profesionālās izglītības programmu īstenošana”, jo atbilstoši Ministru kabineta un Latvijas Pašvaldību savienības 2015.gada 28.septembra vienošanās un domstarpību protokolam šīm 5 pašvaldību profesionālām izglītības iestādēm akreditēto profesionālās izglītības programmu īstenošanas izmaksu segšana no valsts budžeta līdzekļiem tiek nodrošināta līdz 2015./2016.mācību gada beigām, tātad līdz 2016.gada 31.augustam. </w:t>
      </w:r>
    </w:p>
    <w:p w:rsidR="007E280C" w:rsidRPr="006E5888" w:rsidRDefault="007E280C" w:rsidP="007E280C">
      <w:pPr>
        <w:pStyle w:val="ListParagraph"/>
        <w:numPr>
          <w:ilvl w:val="0"/>
          <w:numId w:val="25"/>
        </w:numPr>
        <w:spacing w:before="120" w:after="120"/>
        <w:jc w:val="both"/>
      </w:pPr>
      <w:r w:rsidRPr="006E5888">
        <w:rPr>
          <w:szCs w:val="24"/>
        </w:rPr>
        <w:t>Izglītības un zinātnes ministrijai pārskatīt normatīvo regulējumu pašvaldību padotībā esošo internātskolu, speciālo pirmsskolas izglītības iestāžu, speciālo internātskolu, Izglītības iestāžu reģistrā reģistrēto attīstības un rehabilitācijas centru finansēšanai no valsts budžeta (gan pedagogu darba samaksai, gan uzturēšanai).</w:t>
      </w:r>
    </w:p>
    <w:p w:rsidR="00217946" w:rsidRPr="006E5888" w:rsidRDefault="00B756BC" w:rsidP="00217946">
      <w:pPr>
        <w:pStyle w:val="ListParagraph"/>
        <w:numPr>
          <w:ilvl w:val="0"/>
          <w:numId w:val="25"/>
        </w:numPr>
        <w:spacing w:before="120" w:after="120"/>
        <w:jc w:val="both"/>
      </w:pPr>
      <w:r w:rsidRPr="006E5888">
        <w:t>Izglītības un zinātnes ministrijai sadarbībā ar Latvijas Olimpisko komiteju pārskatīt noslēgtos kredīta līgumus un vieno</w:t>
      </w:r>
      <w:r w:rsidR="00F07789" w:rsidRPr="006E5888">
        <w:t>ties</w:t>
      </w:r>
      <w:r w:rsidRPr="006E5888">
        <w:t xml:space="preserve"> ar kredītiestādēm par līgumos paredzēto procentu likmju aktualizēšanu atbilstoši šā brīža ekonomiskajai situācijai.</w:t>
      </w:r>
    </w:p>
    <w:p w:rsidR="00217946" w:rsidRPr="006E5888" w:rsidRDefault="00B756BC" w:rsidP="00217946">
      <w:pPr>
        <w:pStyle w:val="ListParagraph"/>
        <w:numPr>
          <w:ilvl w:val="0"/>
          <w:numId w:val="25"/>
        </w:numPr>
        <w:spacing w:before="120" w:after="120"/>
        <w:jc w:val="both"/>
      </w:pPr>
      <w:r w:rsidRPr="006E5888">
        <w:t>Kultūras ministrijai līdz 2016.gada 1.jūlijam iesniegt Finanšu ministrijā detalizētu informāciju (izdevumu apakšpozīcijās) par Latvijas Nacionālās bibliotēkas jaunās ēkas uzturēšanas izdevumu plānu un izpildi.</w:t>
      </w:r>
    </w:p>
    <w:p w:rsidR="00217946" w:rsidRPr="006E5888" w:rsidRDefault="00B756BC" w:rsidP="00217946">
      <w:pPr>
        <w:pStyle w:val="ListParagraph"/>
        <w:numPr>
          <w:ilvl w:val="0"/>
          <w:numId w:val="25"/>
        </w:numPr>
        <w:spacing w:before="120" w:after="120"/>
        <w:jc w:val="both"/>
      </w:pPr>
      <w:r w:rsidRPr="006E5888">
        <w:t>Kultūras ministrijai izvērtēt iespējas veikt izmaiņas maksas pakalpojumu cenrāžos kultūras pakalpojumiem nozares iestādēs un līdz 2016.gada 1.septembrim iesniegt izskatīšanai priekšlikumus Ministru kabinetā par nepieciešamajiem grozījumiem normatīvajos aktos.</w:t>
      </w:r>
    </w:p>
    <w:p w:rsidR="00217946" w:rsidRPr="006E5888" w:rsidRDefault="00B756BC" w:rsidP="00217946">
      <w:pPr>
        <w:pStyle w:val="ListParagraph"/>
        <w:numPr>
          <w:ilvl w:val="0"/>
          <w:numId w:val="25"/>
        </w:numPr>
        <w:spacing w:before="120" w:after="120"/>
        <w:jc w:val="both"/>
      </w:pPr>
      <w:r w:rsidRPr="006E5888">
        <w:t>Kultūras ministrijai sagatavot un līdz 2016.gada 1.septembrim iesniegt Ministru kabinetā tiesību akta projektu ar priekšlikumiem par privātā sektora - mecenātu un sponsoru - līdzekļu piesaistes iespējām, atvieglojot normatīvo regulējumu.</w:t>
      </w:r>
    </w:p>
    <w:p w:rsidR="00217946" w:rsidRPr="006E5888" w:rsidRDefault="00B756BC" w:rsidP="00217946">
      <w:pPr>
        <w:pStyle w:val="ListParagraph"/>
        <w:numPr>
          <w:ilvl w:val="0"/>
          <w:numId w:val="25"/>
        </w:numPr>
        <w:spacing w:before="120" w:after="120"/>
        <w:jc w:val="both"/>
      </w:pPr>
      <w:r w:rsidRPr="006E5888">
        <w:t>Nepieciešams uzlabot valsts sociālās apdrošināšanas speciālā budžeta izdevumu sociālajiem pabalstiem plānošanu, lai izvairītos no neparedzētu apropriāciju palielināšanas valsts budžeta izpildes laikā.</w:t>
      </w:r>
    </w:p>
    <w:p w:rsidR="00217946" w:rsidRPr="006E5888" w:rsidRDefault="00B756BC" w:rsidP="00217946">
      <w:pPr>
        <w:pStyle w:val="ListParagraph"/>
        <w:numPr>
          <w:ilvl w:val="0"/>
          <w:numId w:val="25"/>
        </w:numPr>
        <w:spacing w:before="120" w:after="120"/>
        <w:jc w:val="both"/>
      </w:pPr>
      <w:r w:rsidRPr="006E5888">
        <w:t>Turpināt darbu pie asistenta pakalpojuma pašvaldībā pilnveidošanas, lai nodrošinātu efektīvu, valsts budžeta iespējām un personu ar invaliditāti vajadzībām atbilstošu asistenta pakalpojumu nodrošināšanu pašvaldībās.</w:t>
      </w:r>
    </w:p>
    <w:p w:rsidR="00217946" w:rsidRPr="006E5888" w:rsidRDefault="00B756BC" w:rsidP="00217946">
      <w:pPr>
        <w:pStyle w:val="ListParagraph"/>
        <w:numPr>
          <w:ilvl w:val="0"/>
          <w:numId w:val="25"/>
        </w:numPr>
        <w:spacing w:before="120" w:after="120"/>
        <w:jc w:val="both"/>
      </w:pPr>
      <w:r w:rsidRPr="006E5888">
        <w:t>Turpmāk nepalielināt amata vietu skaitu (vienlaikus saglabājot tās vakantas) un pieprasot finansējumu jaunu amata vietu izveidei. Nepieciešamības gadījumā pārdalīt jau šobrīd esošās (</w:t>
      </w:r>
      <w:r w:rsidR="00DC69E4" w:rsidRPr="006E5888">
        <w:t>vakantās) amata vietas ministriju un citu centrālo valsts iestāžu</w:t>
      </w:r>
      <w:r w:rsidRPr="006E5888">
        <w:t xml:space="preserve"> ietvaros funkciju izpildes nodrošināšanai.</w:t>
      </w:r>
    </w:p>
    <w:p w:rsidR="00217946" w:rsidRPr="006E5888" w:rsidRDefault="00B756BC" w:rsidP="00217946">
      <w:pPr>
        <w:pStyle w:val="ListParagraph"/>
        <w:numPr>
          <w:ilvl w:val="0"/>
          <w:numId w:val="25"/>
        </w:numPr>
        <w:spacing w:before="120" w:after="120"/>
        <w:jc w:val="both"/>
      </w:pPr>
      <w:r w:rsidRPr="006E5888">
        <w:lastRenderedPageBreak/>
        <w:t>Vides aizsardzības un reģionālās attīstības ministrijai izvērtēt, vai, turpinot valsts un pašvaldību vienoto klientu apkalpošanas centru tīkla izveidi, nepieciešams īstenot plānu par 54 vai 89 centru izveidi. Ja Vides aizsardzības un reģionālās attīstības ministrija pieņem lēmumu par minētā tīkla izveidi ar 54 centriem, ir ne</w:t>
      </w:r>
      <w:r w:rsidR="00217946" w:rsidRPr="006E5888">
        <w:t>pieciešams pārskatīt pasākumam “</w:t>
      </w:r>
      <w:r w:rsidRPr="006E5888">
        <w:t>Publisko pakalpojumu pieejamības nodrošināšana saskaņā ar vie</w:t>
      </w:r>
      <w:r w:rsidR="00217946" w:rsidRPr="006E5888">
        <w:t>nas pieturas aģentūras principu”</w:t>
      </w:r>
      <w:r w:rsidRPr="006E5888">
        <w:t xml:space="preserve"> piešķirtā finansējuma apmēru turpmākajiem gadiem.</w:t>
      </w:r>
    </w:p>
    <w:p w:rsidR="00217946" w:rsidRPr="006E5888" w:rsidRDefault="00B756BC" w:rsidP="00217946">
      <w:pPr>
        <w:pStyle w:val="ListParagraph"/>
        <w:numPr>
          <w:ilvl w:val="0"/>
          <w:numId w:val="25"/>
        </w:numPr>
        <w:spacing w:before="120" w:after="120"/>
        <w:jc w:val="both"/>
      </w:pPr>
      <w:r w:rsidRPr="006E5888">
        <w:t>Vides aizsardzības un reģionālās attīstības ministrijai pilnveidot normatīvo aktu prasības, lai atsevišķās jomās izstrādātu vienotas prasības komersantiem, tādejādi samazinot nepieciešamību Valsts vides dienestam katrā gadījumā izsniegt tehniskos noteikumus.</w:t>
      </w:r>
    </w:p>
    <w:p w:rsidR="00217946" w:rsidRPr="006E5888" w:rsidRDefault="00B756BC" w:rsidP="00217946">
      <w:pPr>
        <w:pStyle w:val="ListParagraph"/>
        <w:numPr>
          <w:ilvl w:val="0"/>
          <w:numId w:val="25"/>
        </w:numPr>
        <w:spacing w:before="120" w:after="120"/>
        <w:jc w:val="both"/>
      </w:pPr>
      <w:r w:rsidRPr="006E5888">
        <w:t>Vides aizsardzības un reģionālās attīstības ministrijai pārtraukt veikt funkcijas, kas nav tieši saistītas ar vides piesārņojuma risku mazināšanu, vai uzticēt pašvaldībām atsevišķu funkciju veikšanu, kā arī optimizēt starpinstitūciju sadarbību vides aizsardzības sistēmas ietvaros, piemēram, starp Valsts vides dienestu un Dabas aizsardzības pārvaldi.</w:t>
      </w:r>
    </w:p>
    <w:p w:rsidR="00217946" w:rsidRPr="006E5888" w:rsidRDefault="00B756BC" w:rsidP="00217946">
      <w:pPr>
        <w:pStyle w:val="ListParagraph"/>
        <w:numPr>
          <w:ilvl w:val="0"/>
          <w:numId w:val="25"/>
        </w:numPr>
        <w:spacing w:before="120" w:after="120"/>
        <w:jc w:val="both"/>
      </w:pPr>
      <w:r w:rsidRPr="006E5888">
        <w:t>Vides aizsardzības un reģionālās attīstības ministrijai turpināt darbu pie ierosinātajiem grozījumiem Dabas resursu nodokļa likumā, tādā veidā veicinot budžeta ieņēmumu palielināšanu vides aizsardzības sistēmas ietvaros.</w:t>
      </w:r>
    </w:p>
    <w:p w:rsidR="00217946" w:rsidRPr="006E5888" w:rsidRDefault="00B756BC" w:rsidP="00217946">
      <w:pPr>
        <w:pStyle w:val="ListParagraph"/>
        <w:numPr>
          <w:ilvl w:val="0"/>
          <w:numId w:val="25"/>
        </w:numPr>
        <w:spacing w:before="120" w:after="120"/>
        <w:jc w:val="both"/>
      </w:pPr>
      <w:r w:rsidRPr="006E5888">
        <w:t>Veselības ministrija</w:t>
      </w:r>
      <w:r w:rsidR="00713877" w:rsidRPr="006E5888">
        <w:t>i</w:t>
      </w:r>
      <w:r w:rsidRPr="006E5888">
        <w:t xml:space="preserve"> jāizstrādā un jāievieš konceptuāla veselības aprūpes finansēšanas modeļa maiņa, lai nodrošinātu finansējuma sasaisti ar sniegtajiem veselības aprūpes pakalpojumiem un to kvalitāti.</w:t>
      </w:r>
    </w:p>
    <w:p w:rsidR="00217946" w:rsidRPr="006E5888" w:rsidRDefault="00B756BC" w:rsidP="00217946">
      <w:pPr>
        <w:pStyle w:val="ListParagraph"/>
        <w:numPr>
          <w:ilvl w:val="0"/>
          <w:numId w:val="25"/>
        </w:numPr>
        <w:spacing w:before="120" w:after="120"/>
        <w:jc w:val="both"/>
      </w:pPr>
      <w:r w:rsidRPr="006E5888">
        <w:t xml:space="preserve">Zemkopības ministrijai ieviest elektronisko saziņu ar klientiem maksimāli iespējamā apmērā, kas saskaņā ar </w:t>
      </w:r>
      <w:r w:rsidR="00A05148" w:rsidRPr="006E5888">
        <w:t>Zemkopības ministrijai</w:t>
      </w:r>
      <w:r w:rsidRPr="006E5888">
        <w:t xml:space="preserve"> sniegto informāciju ikgadēji var veidot resursu ietaupījumu aptuveni 20 000 </w:t>
      </w:r>
      <w:proofErr w:type="spellStart"/>
      <w:r w:rsidRPr="006E5888">
        <w:rPr>
          <w:i/>
        </w:rPr>
        <w:t>euro</w:t>
      </w:r>
      <w:proofErr w:type="spellEnd"/>
      <w:r w:rsidRPr="006E5888">
        <w:t xml:space="preserve"> apmērā.</w:t>
      </w:r>
    </w:p>
    <w:p w:rsidR="00217946" w:rsidRPr="006E5888" w:rsidRDefault="00B756BC" w:rsidP="00217946">
      <w:pPr>
        <w:pStyle w:val="ListParagraph"/>
        <w:numPr>
          <w:ilvl w:val="0"/>
          <w:numId w:val="25"/>
        </w:numPr>
        <w:spacing w:before="120" w:after="120"/>
        <w:jc w:val="both"/>
      </w:pPr>
      <w:r w:rsidRPr="006E5888">
        <w:t xml:space="preserve">Zemkopības ministrijai nepieciešams mazināt atšķirības viena izmaksātā ES atbalsta un valsts atbalsta maksājuma </w:t>
      </w:r>
      <w:proofErr w:type="spellStart"/>
      <w:r w:rsidRPr="006E5888">
        <w:rPr>
          <w:i/>
        </w:rPr>
        <w:t>euro</w:t>
      </w:r>
      <w:proofErr w:type="spellEnd"/>
      <w:r w:rsidRPr="006E5888">
        <w:t xml:space="preserve"> administrēšanas izmaksās.</w:t>
      </w:r>
    </w:p>
    <w:p w:rsidR="00420B8D" w:rsidRPr="006E5888" w:rsidRDefault="00420B8D" w:rsidP="00420B8D">
      <w:pPr>
        <w:pStyle w:val="ListParagraph"/>
        <w:numPr>
          <w:ilvl w:val="0"/>
          <w:numId w:val="25"/>
        </w:numPr>
        <w:jc w:val="both"/>
      </w:pPr>
      <w:r w:rsidRPr="006E5888">
        <w:t xml:space="preserve">Lai nodrošinātu izdevumu efektivitātes vērtēšanas iespējas, </w:t>
      </w:r>
      <w:r w:rsidR="00A05148" w:rsidRPr="006E5888">
        <w:t>Veselības ministrijai</w:t>
      </w:r>
      <w:r w:rsidR="009B23F1" w:rsidRPr="006E5888">
        <w:t xml:space="preserve"> </w:t>
      </w:r>
      <w:r w:rsidRPr="006E5888">
        <w:t>nepieciešams veikt harmonizētu izdevumu uzskaiti, kā arī centralizētu informācijas apkopošanu un analīzi. Kvalitatīva e-veselības sistēma, kurā identificējami individuāli pacienti, tiem sniegtie veselības aprūpes pakalpojumi un to izmaksas, ir būtisks priekšnosacījums izdevumu efektivitātes un lietderīguma vērtēšanai.</w:t>
      </w:r>
    </w:p>
    <w:p w:rsidR="00420B8D" w:rsidRPr="006E5888" w:rsidRDefault="00796FC6" w:rsidP="00420B8D">
      <w:pPr>
        <w:pStyle w:val="ListParagraph"/>
        <w:numPr>
          <w:ilvl w:val="0"/>
          <w:numId w:val="25"/>
        </w:numPr>
        <w:jc w:val="both"/>
      </w:pPr>
      <w:r w:rsidRPr="006E5888">
        <w:t xml:space="preserve">Veselības ministrijai </w:t>
      </w:r>
      <w:r w:rsidR="00420B8D" w:rsidRPr="006E5888">
        <w:t>Veselības aprūpes pakalpojumu līgumu apjomu plānošanā nepieciešams ņemt vērā ārstniecības iestāžu veikto pakalpojumu apjomu nevis 9 mēnešu, bet 12 mēnešu periodu, pieļaujot aptaujas un atlases korekcijas.</w:t>
      </w:r>
    </w:p>
    <w:p w:rsidR="00420B8D" w:rsidRPr="006E5888" w:rsidRDefault="00796FC6" w:rsidP="00420B8D">
      <w:pPr>
        <w:pStyle w:val="ListParagraph"/>
        <w:numPr>
          <w:ilvl w:val="0"/>
          <w:numId w:val="25"/>
        </w:numPr>
        <w:jc w:val="both"/>
      </w:pPr>
      <w:r w:rsidRPr="006E5888">
        <w:t xml:space="preserve">Veselības ministrijai </w:t>
      </w:r>
      <w:r w:rsidR="009B23F1" w:rsidRPr="006E5888">
        <w:t>n</w:t>
      </w:r>
      <w:r w:rsidR="00420B8D" w:rsidRPr="006E5888">
        <w:t>epieciešams veikt veselības aprūpes pakalpojumu tarifu aprēķinu metodikas pārskatīšanu, paredzot vienotu iekārtu amortizācijas un attīstības izmaksu tarifa elementu, kā arī darba samaksai piesaistīto tarifa elementu aprēķinu pārskatīšanu. Veselības ministrijai sagatavot veselības aprūpes pakalpojumu tarifu pārskatīšanas kalendāro grafiku, izdalot prioritāri pārskatāmo pakalpojumu tarifus.</w:t>
      </w:r>
    </w:p>
    <w:p w:rsidR="00420B8D" w:rsidRPr="006E5888" w:rsidRDefault="00796FC6" w:rsidP="00420B8D">
      <w:pPr>
        <w:pStyle w:val="ListParagraph"/>
        <w:numPr>
          <w:ilvl w:val="0"/>
          <w:numId w:val="25"/>
        </w:numPr>
        <w:jc w:val="both"/>
      </w:pPr>
      <w:r w:rsidRPr="006E5888">
        <w:t xml:space="preserve">Veselības ministrijai </w:t>
      </w:r>
      <w:r w:rsidR="009B23F1" w:rsidRPr="006E5888">
        <w:rPr>
          <w:bCs/>
          <w:szCs w:val="24"/>
        </w:rPr>
        <w:t>n</w:t>
      </w:r>
      <w:r w:rsidR="00420B8D" w:rsidRPr="006E5888">
        <w:rPr>
          <w:bCs/>
          <w:szCs w:val="24"/>
        </w:rPr>
        <w:t>epieciešams nodrošināt, ka n</w:t>
      </w:r>
      <w:r w:rsidR="00420B8D" w:rsidRPr="006E5888">
        <w:rPr>
          <w:szCs w:val="24"/>
        </w:rPr>
        <w:t>eatliekamā palīdzība tiek apmaksāta atbilstoši faktiskajām izmaksām (t.sk. nodrošinot finansējumu diagnostiskajiem izmeklējumiem), vienlaikus nodrošinot nepieciešamā finansējuma minimumu, lai nodrošinātu reģionos neatliekamās palīdzības sniegšanas iespējas iedzīvotājiem diennakts režīmā.</w:t>
      </w:r>
    </w:p>
    <w:p w:rsidR="00420B8D" w:rsidRPr="006E5888" w:rsidRDefault="00796FC6" w:rsidP="00420B8D">
      <w:pPr>
        <w:pStyle w:val="ListParagraph"/>
        <w:numPr>
          <w:ilvl w:val="0"/>
          <w:numId w:val="25"/>
        </w:numPr>
        <w:jc w:val="both"/>
      </w:pPr>
      <w:r w:rsidRPr="006E5888">
        <w:t xml:space="preserve">Veselības ministrijai </w:t>
      </w:r>
      <w:r w:rsidR="009B23F1" w:rsidRPr="006E5888">
        <w:rPr>
          <w:szCs w:val="24"/>
        </w:rPr>
        <w:t>n</w:t>
      </w:r>
      <w:r w:rsidR="00420B8D" w:rsidRPr="006E5888">
        <w:rPr>
          <w:szCs w:val="24"/>
        </w:rPr>
        <w:t>epieciešams noteikt terciāro veselības aprūpes pakalpojumu īpašo statusu, sagatavojot grozījumus normatīvajos aktos, kas nosaka kritērijus un finansējuma sadalījuma apmēru un  piešķiršanas kārtību atbilstoši sniedzamā pakalpojuma sarežģītības pakāpei</w:t>
      </w:r>
      <w:r w:rsidR="00420B8D" w:rsidRPr="006E5888">
        <w:rPr>
          <w:color w:val="1F497D"/>
          <w:szCs w:val="24"/>
        </w:rPr>
        <w:t xml:space="preserve">, </w:t>
      </w:r>
      <w:r w:rsidR="00420B8D" w:rsidRPr="006E5888">
        <w:rPr>
          <w:szCs w:val="24"/>
        </w:rPr>
        <w:t>nodalot un precīzi definējot rezultātus.</w:t>
      </w:r>
    </w:p>
    <w:p w:rsidR="00420B8D" w:rsidRPr="006E5888" w:rsidRDefault="00796FC6" w:rsidP="00420B8D">
      <w:pPr>
        <w:pStyle w:val="ListParagraph"/>
        <w:numPr>
          <w:ilvl w:val="0"/>
          <w:numId w:val="25"/>
        </w:numPr>
        <w:jc w:val="both"/>
      </w:pPr>
      <w:r w:rsidRPr="006E5888">
        <w:t xml:space="preserve">Veselības ministrijai </w:t>
      </w:r>
      <w:r w:rsidR="009B23F1" w:rsidRPr="006E5888">
        <w:rPr>
          <w:szCs w:val="24"/>
        </w:rPr>
        <w:t>n</w:t>
      </w:r>
      <w:r w:rsidR="00420B8D" w:rsidRPr="006E5888">
        <w:rPr>
          <w:szCs w:val="24"/>
        </w:rPr>
        <w:t>epieciešams izvērtēt un sniegt priekšlikumus konkrētām ārstniecības programmām un pacientu grupām (atbilstoši pieejamam finansējuma apmēram), kurām pakalpojumi tiek apmaksātas pēc fakta (t.i. tās kurām ir kritiska ietekme uz sabiedrības veselību kopumā, piemēram citu personu apdraudējumu vai potenciālo darbspējīgo mūža ilgumu).</w:t>
      </w:r>
    </w:p>
    <w:p w:rsidR="00420B8D" w:rsidRPr="006E5888" w:rsidRDefault="00796FC6" w:rsidP="00420B8D">
      <w:pPr>
        <w:pStyle w:val="ListParagraph"/>
        <w:numPr>
          <w:ilvl w:val="0"/>
          <w:numId w:val="25"/>
        </w:numPr>
        <w:jc w:val="both"/>
      </w:pPr>
      <w:r w:rsidRPr="006E5888">
        <w:lastRenderedPageBreak/>
        <w:t xml:space="preserve">Veselības ministrijai </w:t>
      </w:r>
      <w:r w:rsidR="009B23F1" w:rsidRPr="006E5888">
        <w:rPr>
          <w:szCs w:val="24"/>
        </w:rPr>
        <w:t>n</w:t>
      </w:r>
      <w:r w:rsidR="00420B8D" w:rsidRPr="006E5888">
        <w:rPr>
          <w:szCs w:val="24"/>
        </w:rPr>
        <w:t>epieciešams pārskatīt ambulatorā pakalpojuma finansējuma nosacījumus, kas nosaka, ka konkurss par pakalpojumu sniegšanu notiek tikai tad, ja pakalpojumam ir deficīts (t.i. nav kas sniedz) konkrētajā reģionā. Būtībā ir nepieciešama jauna, visaptveroša pakalpojumu sniedzēju atlase (konkurss), kurā tiek vērtētas arī pakalpojuma izmaksas, pieejamās tehnoloģijas, kapacitāte un cilvēkresursi, saikne ar stacionāro aprūpi.</w:t>
      </w:r>
    </w:p>
    <w:p w:rsidR="00420B8D" w:rsidRPr="006E5888" w:rsidRDefault="00420B8D" w:rsidP="00420B8D">
      <w:pPr>
        <w:pStyle w:val="ListParagraph"/>
        <w:numPr>
          <w:ilvl w:val="0"/>
          <w:numId w:val="25"/>
        </w:numPr>
        <w:jc w:val="both"/>
      </w:pPr>
      <w:r w:rsidRPr="006E5888">
        <w:rPr>
          <w:rFonts w:cs="Times New Roman"/>
        </w:rPr>
        <w:t>Veselības ministrijai sadarbībā ar Labklājības ministriju izvērtēt nepieciešamību izveidot trešo, iztrūkstošo sistēmu paralēli sociālajai aprūpei un veselības aprūpei – ilgtermiņa aprūpi (hroniskie pacienti). Izmantot infrastruktūru, kura vairs nav nepieciešama  akūtās veselības aprūpes sniegšanai. Hronisko pacientu aprūpe- kopšana, aprūpe mājās, HIV/AIDS, ventilējamie, ar zondi barojamie, gulošie utt. - pacienti, kuri nav akūti, bet tajā paša laikā tie nav sociālās aprūpes pacienti, jo nepieciešama ārsta uzraudzība.</w:t>
      </w:r>
    </w:p>
    <w:p w:rsidR="00420B8D" w:rsidRPr="006E5888" w:rsidRDefault="00420B8D" w:rsidP="00420B8D">
      <w:pPr>
        <w:pStyle w:val="ListParagraph"/>
        <w:numPr>
          <w:ilvl w:val="0"/>
          <w:numId w:val="25"/>
        </w:numPr>
        <w:jc w:val="both"/>
      </w:pPr>
      <w:r w:rsidRPr="006E5888">
        <w:rPr>
          <w:rFonts w:cs="Times New Roman"/>
        </w:rPr>
        <w:t xml:space="preserve">Ņemot vērā, ka viena apmeklējuma izmaksas ģimenes ārsta praksēs 2015.gadā svārstās robežās no 6 </w:t>
      </w:r>
      <w:proofErr w:type="spellStart"/>
      <w:r w:rsidRPr="006E5888">
        <w:rPr>
          <w:rFonts w:cs="Times New Roman"/>
          <w:i/>
        </w:rPr>
        <w:t>euro</w:t>
      </w:r>
      <w:proofErr w:type="spellEnd"/>
      <w:r w:rsidRPr="006E5888">
        <w:rPr>
          <w:rFonts w:cs="Times New Roman"/>
        </w:rPr>
        <w:t xml:space="preserve"> līdz pat 43 </w:t>
      </w:r>
      <w:proofErr w:type="spellStart"/>
      <w:r w:rsidRPr="006E5888">
        <w:rPr>
          <w:rFonts w:cs="Times New Roman"/>
          <w:i/>
        </w:rPr>
        <w:t>euro</w:t>
      </w:r>
      <w:proofErr w:type="spellEnd"/>
      <w:r w:rsidRPr="006E5888">
        <w:rPr>
          <w:rFonts w:cs="Times New Roman"/>
        </w:rPr>
        <w:t xml:space="preserve">, Veselības ministrijai sadarbībā ar Nacionālo veselības dienestu nepieciešams izvērtēt ģimenes ārstu prakšu, kurās viena apmeklējuma izmaksas pārsniedz 20 </w:t>
      </w:r>
      <w:proofErr w:type="spellStart"/>
      <w:r w:rsidRPr="006E5888">
        <w:rPr>
          <w:rFonts w:cs="Times New Roman"/>
          <w:i/>
        </w:rPr>
        <w:t>euro</w:t>
      </w:r>
      <w:proofErr w:type="spellEnd"/>
      <w:r w:rsidRPr="006E5888">
        <w:rPr>
          <w:rFonts w:cs="Times New Roman"/>
        </w:rPr>
        <w:t xml:space="preserve"> apmēru, lietderību, iespējams izvēloties citu pakalpojuma nodrošināšanas formu (piemēram, ģimenes ārsta prakse ar vairākām pieņemšanas vietām) un faktisko ģimenes ārstu noslogotību. Ņemot vērā minēto, Veselības ministrijai nepieciešams izstrādāt  kritērijus un normas  ģimenes ārsta prakšu valsts finansējuma pārtraukšanai, nodefinējot minimālo un maksimālo reģistrēto pacientu skaitu.</w:t>
      </w:r>
    </w:p>
    <w:p w:rsidR="00244A32" w:rsidRPr="00A05148" w:rsidRDefault="00244A32" w:rsidP="009E348E">
      <w:pPr>
        <w:spacing w:before="120" w:after="120"/>
        <w:jc w:val="both"/>
        <w:rPr>
          <w:b/>
          <w:sz w:val="8"/>
          <w:szCs w:val="8"/>
          <w:u w:val="single"/>
        </w:rPr>
      </w:pPr>
    </w:p>
    <w:p w:rsidR="009E348E" w:rsidRDefault="009E348E" w:rsidP="009E348E">
      <w:pPr>
        <w:spacing w:before="120" w:after="120"/>
        <w:jc w:val="both"/>
        <w:rPr>
          <w:b/>
          <w:u w:val="single"/>
        </w:rPr>
      </w:pPr>
      <w:r w:rsidRPr="006E5888">
        <w:rPr>
          <w:b/>
          <w:u w:val="single"/>
        </w:rPr>
        <w:t>Uzdevumi ministrijām MK protokolā</w:t>
      </w:r>
      <w:r w:rsidRPr="009E348E">
        <w:rPr>
          <w:b/>
          <w:u w:val="single"/>
        </w:rPr>
        <w:t xml:space="preserve"> </w:t>
      </w:r>
    </w:p>
    <w:p w:rsidR="00DF1643" w:rsidRPr="00757C83" w:rsidRDefault="00DF1643" w:rsidP="00DF1643">
      <w:pPr>
        <w:tabs>
          <w:tab w:val="left" w:pos="426"/>
        </w:tabs>
        <w:jc w:val="both"/>
        <w:rPr>
          <w:rFonts w:cs="Times New Roman"/>
          <w:sz w:val="16"/>
          <w:szCs w:val="16"/>
        </w:rPr>
      </w:pPr>
    </w:p>
    <w:p w:rsidR="00767892" w:rsidRDefault="00767892" w:rsidP="00B020CC">
      <w:pPr>
        <w:numPr>
          <w:ilvl w:val="0"/>
          <w:numId w:val="30"/>
        </w:numPr>
        <w:spacing w:before="40" w:after="40"/>
        <w:ind w:left="284" w:hanging="284"/>
        <w:jc w:val="both"/>
        <w:rPr>
          <w:rFonts w:cs="Times New Roman"/>
          <w:szCs w:val="24"/>
        </w:rPr>
      </w:pPr>
      <w:r w:rsidRPr="004F29C7">
        <w:rPr>
          <w:rFonts w:cs="Times New Roman"/>
          <w:szCs w:val="24"/>
        </w:rPr>
        <w:t xml:space="preserve">Pieņemt zināšanai, ka, atbilstoši izdevumu pārskatīšanas rezultātiem, ministrijām ir pieejami iekšējie resursi izdevumu segšanai, tajā skaitā jaunām politikas iniciatīvām, 2017.gadam 23 542 131 </w:t>
      </w:r>
      <w:proofErr w:type="spellStart"/>
      <w:r w:rsidRPr="004F29C7">
        <w:rPr>
          <w:rFonts w:cs="Times New Roman"/>
          <w:i/>
          <w:szCs w:val="24"/>
        </w:rPr>
        <w:t>euro</w:t>
      </w:r>
      <w:proofErr w:type="spellEnd"/>
      <w:r w:rsidRPr="004F29C7">
        <w:rPr>
          <w:rFonts w:cs="Times New Roman"/>
          <w:szCs w:val="24"/>
        </w:rPr>
        <w:t xml:space="preserve"> apmērā un 2018.gadam 22 106 632 </w:t>
      </w:r>
      <w:proofErr w:type="spellStart"/>
      <w:r w:rsidRPr="004F29C7">
        <w:rPr>
          <w:rFonts w:cs="Times New Roman"/>
          <w:i/>
          <w:szCs w:val="24"/>
        </w:rPr>
        <w:t>euro</w:t>
      </w:r>
      <w:proofErr w:type="spellEnd"/>
      <w:r w:rsidRPr="004F29C7">
        <w:rPr>
          <w:rFonts w:cs="Times New Roman"/>
          <w:szCs w:val="24"/>
        </w:rPr>
        <w:t xml:space="preserve"> apmērā, tajā skaitā:</w:t>
      </w:r>
    </w:p>
    <w:p w:rsidR="00767892" w:rsidRDefault="00767892" w:rsidP="00B020CC">
      <w:pPr>
        <w:pStyle w:val="ListParagraph"/>
        <w:numPr>
          <w:ilvl w:val="1"/>
          <w:numId w:val="47"/>
        </w:numPr>
        <w:spacing w:before="40" w:after="40"/>
        <w:jc w:val="both"/>
        <w:rPr>
          <w:rFonts w:cs="Times New Roman"/>
          <w:szCs w:val="24"/>
        </w:rPr>
      </w:pPr>
      <w:r>
        <w:rPr>
          <w:rFonts w:cs="Times New Roman"/>
          <w:szCs w:val="24"/>
        </w:rPr>
        <w:t xml:space="preserve"> </w:t>
      </w:r>
      <w:r w:rsidRPr="00767892">
        <w:rPr>
          <w:rFonts w:cs="Times New Roman"/>
          <w:szCs w:val="24"/>
        </w:rPr>
        <w:t xml:space="preserve">Izglītības un zinātnes ministrijai 2017.gadam 10 094 430 </w:t>
      </w:r>
      <w:proofErr w:type="spellStart"/>
      <w:r w:rsidRPr="00767892">
        <w:rPr>
          <w:rFonts w:cs="Times New Roman"/>
          <w:i/>
          <w:szCs w:val="24"/>
        </w:rPr>
        <w:t>euro</w:t>
      </w:r>
      <w:proofErr w:type="spellEnd"/>
      <w:r w:rsidRPr="00767892">
        <w:rPr>
          <w:rFonts w:cs="Times New Roman"/>
          <w:szCs w:val="24"/>
        </w:rPr>
        <w:t xml:space="preserve"> un 2018.gadam 8 896 673 </w:t>
      </w:r>
      <w:proofErr w:type="spellStart"/>
      <w:r w:rsidRPr="00767892">
        <w:rPr>
          <w:rFonts w:cs="Times New Roman"/>
          <w:i/>
          <w:szCs w:val="24"/>
        </w:rPr>
        <w:t>euro</w:t>
      </w:r>
      <w:proofErr w:type="spellEnd"/>
      <w:r w:rsidRPr="00767892">
        <w:rPr>
          <w:rFonts w:cs="Times New Roman"/>
          <w:szCs w:val="24"/>
        </w:rPr>
        <w:t>;</w:t>
      </w:r>
    </w:p>
    <w:p w:rsidR="00767892" w:rsidRDefault="00767892" w:rsidP="00B020CC">
      <w:pPr>
        <w:pStyle w:val="ListParagraph"/>
        <w:numPr>
          <w:ilvl w:val="1"/>
          <w:numId w:val="47"/>
        </w:numPr>
        <w:spacing w:before="40" w:after="40"/>
        <w:jc w:val="both"/>
        <w:rPr>
          <w:rFonts w:cs="Times New Roman"/>
          <w:szCs w:val="24"/>
        </w:rPr>
      </w:pPr>
      <w:r>
        <w:rPr>
          <w:rFonts w:cs="Times New Roman"/>
          <w:szCs w:val="24"/>
        </w:rPr>
        <w:t xml:space="preserve"> </w:t>
      </w:r>
      <w:proofErr w:type="spellStart"/>
      <w:r w:rsidRPr="00767892">
        <w:rPr>
          <w:rFonts w:cs="Times New Roman"/>
          <w:szCs w:val="24"/>
        </w:rPr>
        <w:t>Iekšlietu</w:t>
      </w:r>
      <w:proofErr w:type="spellEnd"/>
      <w:r w:rsidRPr="00767892">
        <w:rPr>
          <w:rFonts w:cs="Times New Roman"/>
          <w:szCs w:val="24"/>
        </w:rPr>
        <w:t xml:space="preserve"> ministrijai 2017.gadam 2 397 956 </w:t>
      </w:r>
      <w:proofErr w:type="spellStart"/>
      <w:r w:rsidRPr="00767892">
        <w:rPr>
          <w:rFonts w:cs="Times New Roman"/>
          <w:i/>
          <w:szCs w:val="24"/>
        </w:rPr>
        <w:t>euro</w:t>
      </w:r>
      <w:proofErr w:type="spellEnd"/>
      <w:r w:rsidRPr="00767892">
        <w:rPr>
          <w:rFonts w:cs="Times New Roman"/>
          <w:szCs w:val="24"/>
        </w:rPr>
        <w:t xml:space="preserve"> un 2018.gadam 2 304 369 </w:t>
      </w:r>
      <w:proofErr w:type="spellStart"/>
      <w:r w:rsidRPr="00767892">
        <w:rPr>
          <w:rFonts w:cs="Times New Roman"/>
          <w:i/>
          <w:szCs w:val="24"/>
        </w:rPr>
        <w:t>euro</w:t>
      </w:r>
      <w:proofErr w:type="spellEnd"/>
      <w:r w:rsidRPr="00767892">
        <w:rPr>
          <w:rFonts w:cs="Times New Roman"/>
          <w:szCs w:val="24"/>
        </w:rPr>
        <w:t>;</w:t>
      </w:r>
    </w:p>
    <w:p w:rsidR="00767892" w:rsidRDefault="00767892" w:rsidP="00B020CC">
      <w:pPr>
        <w:pStyle w:val="ListParagraph"/>
        <w:numPr>
          <w:ilvl w:val="1"/>
          <w:numId w:val="47"/>
        </w:numPr>
        <w:spacing w:before="40" w:after="40"/>
        <w:jc w:val="both"/>
        <w:rPr>
          <w:rFonts w:cs="Times New Roman"/>
          <w:szCs w:val="24"/>
        </w:rPr>
      </w:pPr>
      <w:r>
        <w:rPr>
          <w:rFonts w:cs="Times New Roman"/>
          <w:szCs w:val="24"/>
        </w:rPr>
        <w:t xml:space="preserve"> </w:t>
      </w:r>
      <w:r w:rsidRPr="00767892">
        <w:rPr>
          <w:rFonts w:cs="Times New Roman"/>
          <w:szCs w:val="24"/>
        </w:rPr>
        <w:t xml:space="preserve">Satiksmes ministrijai 2017. un 2018.gadam 2 245 957 </w:t>
      </w:r>
      <w:proofErr w:type="spellStart"/>
      <w:r w:rsidRPr="00767892">
        <w:rPr>
          <w:rFonts w:cs="Times New Roman"/>
          <w:i/>
          <w:szCs w:val="24"/>
        </w:rPr>
        <w:t>euro</w:t>
      </w:r>
      <w:proofErr w:type="spellEnd"/>
      <w:r w:rsidRPr="00767892">
        <w:rPr>
          <w:rFonts w:cs="Times New Roman"/>
          <w:szCs w:val="24"/>
        </w:rPr>
        <w:t xml:space="preserve"> ik gadu;</w:t>
      </w:r>
    </w:p>
    <w:p w:rsidR="00767892" w:rsidRDefault="00767892" w:rsidP="00B020CC">
      <w:pPr>
        <w:pStyle w:val="ListParagraph"/>
        <w:numPr>
          <w:ilvl w:val="1"/>
          <w:numId w:val="47"/>
        </w:numPr>
        <w:spacing w:before="40" w:after="40"/>
        <w:jc w:val="both"/>
        <w:rPr>
          <w:rFonts w:cs="Times New Roman"/>
          <w:szCs w:val="24"/>
        </w:rPr>
      </w:pPr>
      <w:r>
        <w:rPr>
          <w:rFonts w:cs="Times New Roman"/>
          <w:szCs w:val="24"/>
        </w:rPr>
        <w:t xml:space="preserve"> </w:t>
      </w:r>
      <w:r w:rsidRPr="00767892">
        <w:rPr>
          <w:rFonts w:cs="Times New Roman"/>
          <w:szCs w:val="24"/>
        </w:rPr>
        <w:t xml:space="preserve">Aizsardzības ministrijai 2017. un 2018.gadam 1 757 830 </w:t>
      </w:r>
      <w:proofErr w:type="spellStart"/>
      <w:r w:rsidRPr="00767892">
        <w:rPr>
          <w:rFonts w:cs="Times New Roman"/>
          <w:i/>
          <w:szCs w:val="24"/>
        </w:rPr>
        <w:t>euro</w:t>
      </w:r>
      <w:proofErr w:type="spellEnd"/>
      <w:r w:rsidRPr="00767892">
        <w:rPr>
          <w:rFonts w:cs="Times New Roman"/>
          <w:szCs w:val="24"/>
        </w:rPr>
        <w:t xml:space="preserve"> ik gadu;</w:t>
      </w:r>
    </w:p>
    <w:p w:rsidR="00767892" w:rsidRDefault="00767892" w:rsidP="00B020CC">
      <w:pPr>
        <w:pStyle w:val="ListParagraph"/>
        <w:numPr>
          <w:ilvl w:val="1"/>
          <w:numId w:val="47"/>
        </w:numPr>
        <w:spacing w:before="40" w:after="40"/>
        <w:jc w:val="both"/>
        <w:rPr>
          <w:rFonts w:cs="Times New Roman"/>
          <w:szCs w:val="24"/>
        </w:rPr>
      </w:pPr>
      <w:r>
        <w:rPr>
          <w:rFonts w:cs="Times New Roman"/>
          <w:szCs w:val="24"/>
        </w:rPr>
        <w:t xml:space="preserve"> </w:t>
      </w:r>
      <w:r w:rsidRPr="00767892">
        <w:rPr>
          <w:rFonts w:cs="Times New Roman"/>
          <w:szCs w:val="24"/>
        </w:rPr>
        <w:t xml:space="preserve">Tieslietu ministrijai 2017.gadam 1 678 475 </w:t>
      </w:r>
      <w:proofErr w:type="spellStart"/>
      <w:r w:rsidRPr="00767892">
        <w:rPr>
          <w:rFonts w:cs="Times New Roman"/>
          <w:i/>
          <w:szCs w:val="24"/>
        </w:rPr>
        <w:t>euro</w:t>
      </w:r>
      <w:proofErr w:type="spellEnd"/>
      <w:r w:rsidRPr="00767892">
        <w:rPr>
          <w:rFonts w:cs="Times New Roman"/>
          <w:szCs w:val="24"/>
        </w:rPr>
        <w:t xml:space="preserve"> un 2018.gadam 1 680 296 </w:t>
      </w:r>
      <w:proofErr w:type="spellStart"/>
      <w:r w:rsidRPr="00767892">
        <w:rPr>
          <w:rFonts w:cs="Times New Roman"/>
          <w:i/>
          <w:szCs w:val="24"/>
        </w:rPr>
        <w:t>euro</w:t>
      </w:r>
      <w:proofErr w:type="spellEnd"/>
      <w:r w:rsidRPr="00767892">
        <w:rPr>
          <w:rFonts w:cs="Times New Roman"/>
          <w:szCs w:val="24"/>
        </w:rPr>
        <w:t>;</w:t>
      </w:r>
    </w:p>
    <w:p w:rsidR="00767892" w:rsidRDefault="00767892" w:rsidP="00B020CC">
      <w:pPr>
        <w:pStyle w:val="ListParagraph"/>
        <w:numPr>
          <w:ilvl w:val="1"/>
          <w:numId w:val="47"/>
        </w:numPr>
        <w:spacing w:before="40" w:after="40"/>
        <w:jc w:val="both"/>
        <w:rPr>
          <w:rFonts w:cs="Times New Roman"/>
          <w:szCs w:val="24"/>
        </w:rPr>
      </w:pPr>
      <w:r>
        <w:rPr>
          <w:rFonts w:cs="Times New Roman"/>
          <w:szCs w:val="24"/>
        </w:rPr>
        <w:t xml:space="preserve"> </w:t>
      </w:r>
      <w:r w:rsidRPr="00767892">
        <w:rPr>
          <w:rFonts w:cs="Times New Roman"/>
          <w:szCs w:val="24"/>
        </w:rPr>
        <w:t xml:space="preserve">Kultūras ministrijai 2017. un 2018.gadam 1 627 787 </w:t>
      </w:r>
      <w:proofErr w:type="spellStart"/>
      <w:r w:rsidRPr="00767892">
        <w:rPr>
          <w:rFonts w:cs="Times New Roman"/>
          <w:i/>
          <w:szCs w:val="24"/>
        </w:rPr>
        <w:t>euro</w:t>
      </w:r>
      <w:proofErr w:type="spellEnd"/>
      <w:r w:rsidRPr="00767892">
        <w:rPr>
          <w:rFonts w:cs="Times New Roman"/>
          <w:szCs w:val="24"/>
        </w:rPr>
        <w:t xml:space="preserve"> ik gadu;</w:t>
      </w:r>
    </w:p>
    <w:p w:rsidR="00767892" w:rsidRDefault="00767892" w:rsidP="00B020CC">
      <w:pPr>
        <w:pStyle w:val="ListParagraph"/>
        <w:numPr>
          <w:ilvl w:val="1"/>
          <w:numId w:val="47"/>
        </w:numPr>
        <w:spacing w:before="40" w:after="40"/>
        <w:jc w:val="both"/>
        <w:rPr>
          <w:rFonts w:cs="Times New Roman"/>
          <w:szCs w:val="24"/>
        </w:rPr>
      </w:pPr>
      <w:r>
        <w:rPr>
          <w:rFonts w:cs="Times New Roman"/>
          <w:szCs w:val="24"/>
        </w:rPr>
        <w:t xml:space="preserve"> </w:t>
      </w:r>
      <w:r w:rsidRPr="00767892">
        <w:rPr>
          <w:rFonts w:cs="Times New Roman"/>
          <w:szCs w:val="24"/>
        </w:rPr>
        <w:t xml:space="preserve">Finanšu ministrijai 2017.gadam 811 286 </w:t>
      </w:r>
      <w:proofErr w:type="spellStart"/>
      <w:r w:rsidRPr="00767892">
        <w:rPr>
          <w:rFonts w:cs="Times New Roman"/>
          <w:i/>
          <w:szCs w:val="24"/>
        </w:rPr>
        <w:t>euro</w:t>
      </w:r>
      <w:proofErr w:type="spellEnd"/>
      <w:r w:rsidRPr="00767892">
        <w:rPr>
          <w:rFonts w:cs="Times New Roman"/>
          <w:szCs w:val="24"/>
        </w:rPr>
        <w:t xml:space="preserve"> un 2018.gadam 819 416 </w:t>
      </w:r>
      <w:proofErr w:type="spellStart"/>
      <w:r w:rsidRPr="00767892">
        <w:rPr>
          <w:rFonts w:cs="Times New Roman"/>
          <w:i/>
          <w:szCs w:val="24"/>
        </w:rPr>
        <w:t>euro</w:t>
      </w:r>
      <w:proofErr w:type="spellEnd"/>
      <w:r w:rsidRPr="00767892">
        <w:rPr>
          <w:rFonts w:cs="Times New Roman"/>
          <w:szCs w:val="24"/>
        </w:rPr>
        <w:t>;</w:t>
      </w:r>
    </w:p>
    <w:p w:rsidR="00767892" w:rsidRDefault="00767892" w:rsidP="00B020CC">
      <w:pPr>
        <w:pStyle w:val="ListParagraph"/>
        <w:numPr>
          <w:ilvl w:val="1"/>
          <w:numId w:val="47"/>
        </w:numPr>
        <w:spacing w:before="40" w:after="40"/>
        <w:jc w:val="both"/>
        <w:rPr>
          <w:rFonts w:cs="Times New Roman"/>
          <w:szCs w:val="24"/>
        </w:rPr>
      </w:pPr>
      <w:r>
        <w:rPr>
          <w:rFonts w:cs="Times New Roman"/>
          <w:szCs w:val="24"/>
        </w:rPr>
        <w:t xml:space="preserve"> </w:t>
      </w:r>
      <w:r w:rsidRPr="00767892">
        <w:rPr>
          <w:rFonts w:cs="Times New Roman"/>
          <w:szCs w:val="24"/>
        </w:rPr>
        <w:t xml:space="preserve">Vides aizsardzības un reģionālās attīstības ministrijai 2017.gadam 644 244 </w:t>
      </w:r>
      <w:proofErr w:type="spellStart"/>
      <w:r w:rsidRPr="00767892">
        <w:rPr>
          <w:rFonts w:cs="Times New Roman"/>
          <w:i/>
          <w:szCs w:val="24"/>
        </w:rPr>
        <w:t>euro</w:t>
      </w:r>
      <w:proofErr w:type="spellEnd"/>
      <w:r w:rsidRPr="00767892">
        <w:rPr>
          <w:rFonts w:cs="Times New Roman"/>
          <w:szCs w:val="24"/>
        </w:rPr>
        <w:t xml:space="preserve"> un 2018.gadam 644 012 </w:t>
      </w:r>
      <w:proofErr w:type="spellStart"/>
      <w:r w:rsidRPr="00767892">
        <w:rPr>
          <w:rFonts w:cs="Times New Roman"/>
          <w:i/>
          <w:szCs w:val="24"/>
        </w:rPr>
        <w:t>euro</w:t>
      </w:r>
      <w:proofErr w:type="spellEnd"/>
      <w:r w:rsidRPr="00767892">
        <w:rPr>
          <w:rFonts w:cs="Times New Roman"/>
          <w:szCs w:val="24"/>
        </w:rPr>
        <w:t>;</w:t>
      </w:r>
    </w:p>
    <w:p w:rsidR="00767892" w:rsidRDefault="00767892" w:rsidP="00B020CC">
      <w:pPr>
        <w:pStyle w:val="ListParagraph"/>
        <w:numPr>
          <w:ilvl w:val="1"/>
          <w:numId w:val="47"/>
        </w:numPr>
        <w:spacing w:before="40" w:after="40"/>
        <w:jc w:val="both"/>
        <w:rPr>
          <w:rFonts w:cs="Times New Roman"/>
          <w:szCs w:val="24"/>
        </w:rPr>
      </w:pPr>
      <w:r>
        <w:rPr>
          <w:rFonts w:cs="Times New Roman"/>
          <w:szCs w:val="24"/>
        </w:rPr>
        <w:t xml:space="preserve"> </w:t>
      </w:r>
      <w:r w:rsidRPr="00767892">
        <w:rPr>
          <w:rFonts w:cs="Times New Roman"/>
          <w:szCs w:val="24"/>
        </w:rPr>
        <w:t xml:space="preserve">Ekonomikas ministrijai 2017.gadam 580 529 </w:t>
      </w:r>
      <w:proofErr w:type="spellStart"/>
      <w:r w:rsidRPr="00767892">
        <w:rPr>
          <w:rFonts w:cs="Times New Roman"/>
          <w:i/>
          <w:szCs w:val="24"/>
        </w:rPr>
        <w:t>euro</w:t>
      </w:r>
      <w:proofErr w:type="spellEnd"/>
      <w:r w:rsidRPr="00767892">
        <w:rPr>
          <w:rFonts w:cs="Times New Roman"/>
          <w:szCs w:val="24"/>
        </w:rPr>
        <w:t xml:space="preserve"> un 2018.gadam 579 812 </w:t>
      </w:r>
      <w:proofErr w:type="spellStart"/>
      <w:r w:rsidRPr="00767892">
        <w:rPr>
          <w:rFonts w:cs="Times New Roman"/>
          <w:i/>
          <w:szCs w:val="24"/>
        </w:rPr>
        <w:t>euro</w:t>
      </w:r>
      <w:proofErr w:type="spellEnd"/>
      <w:r w:rsidRPr="00767892">
        <w:rPr>
          <w:rFonts w:cs="Times New Roman"/>
          <w:szCs w:val="24"/>
        </w:rPr>
        <w:t>;</w:t>
      </w:r>
    </w:p>
    <w:p w:rsidR="00767892" w:rsidRDefault="00767892" w:rsidP="00B020CC">
      <w:pPr>
        <w:pStyle w:val="ListParagraph"/>
        <w:numPr>
          <w:ilvl w:val="1"/>
          <w:numId w:val="47"/>
        </w:numPr>
        <w:spacing w:before="40" w:after="40"/>
        <w:jc w:val="both"/>
        <w:rPr>
          <w:rFonts w:cs="Times New Roman"/>
          <w:szCs w:val="24"/>
        </w:rPr>
      </w:pPr>
      <w:r w:rsidRPr="00767892">
        <w:rPr>
          <w:rFonts w:cs="Times New Roman"/>
          <w:szCs w:val="24"/>
        </w:rPr>
        <w:t xml:space="preserve">Zemkopības ministrijai 2017.gadam 552 351 </w:t>
      </w:r>
      <w:proofErr w:type="spellStart"/>
      <w:r w:rsidRPr="00767892">
        <w:rPr>
          <w:rFonts w:cs="Times New Roman"/>
          <w:i/>
          <w:szCs w:val="24"/>
        </w:rPr>
        <w:t>euro</w:t>
      </w:r>
      <w:proofErr w:type="spellEnd"/>
      <w:r w:rsidRPr="00767892">
        <w:rPr>
          <w:rFonts w:cs="Times New Roman"/>
          <w:szCs w:val="24"/>
        </w:rPr>
        <w:t xml:space="preserve"> un 2018.gadam 404 698 </w:t>
      </w:r>
      <w:proofErr w:type="spellStart"/>
      <w:r w:rsidRPr="00767892">
        <w:rPr>
          <w:rFonts w:cs="Times New Roman"/>
          <w:i/>
          <w:szCs w:val="24"/>
        </w:rPr>
        <w:t>euro</w:t>
      </w:r>
      <w:proofErr w:type="spellEnd"/>
      <w:r w:rsidRPr="00767892">
        <w:rPr>
          <w:rFonts w:cs="Times New Roman"/>
          <w:szCs w:val="24"/>
        </w:rPr>
        <w:t>;</w:t>
      </w:r>
    </w:p>
    <w:p w:rsidR="00767892" w:rsidRDefault="00767892" w:rsidP="00B020CC">
      <w:pPr>
        <w:pStyle w:val="ListParagraph"/>
        <w:numPr>
          <w:ilvl w:val="1"/>
          <w:numId w:val="47"/>
        </w:numPr>
        <w:spacing w:before="40" w:after="40"/>
        <w:jc w:val="both"/>
        <w:rPr>
          <w:rFonts w:cs="Times New Roman"/>
          <w:szCs w:val="24"/>
        </w:rPr>
      </w:pPr>
      <w:r w:rsidRPr="00767892">
        <w:rPr>
          <w:rFonts w:cs="Times New Roman"/>
          <w:szCs w:val="24"/>
        </w:rPr>
        <w:t xml:space="preserve">Veselības ministrijai 2017. un 2018.gadam 531 626 </w:t>
      </w:r>
      <w:proofErr w:type="spellStart"/>
      <w:r w:rsidRPr="00767892">
        <w:rPr>
          <w:rFonts w:cs="Times New Roman"/>
          <w:i/>
          <w:szCs w:val="24"/>
        </w:rPr>
        <w:t>euro</w:t>
      </w:r>
      <w:proofErr w:type="spellEnd"/>
      <w:r w:rsidRPr="00767892">
        <w:rPr>
          <w:rFonts w:cs="Times New Roman"/>
          <w:szCs w:val="24"/>
        </w:rPr>
        <w:t xml:space="preserve"> ik gadu;</w:t>
      </w:r>
    </w:p>
    <w:p w:rsidR="00767892" w:rsidRDefault="00767892" w:rsidP="00B020CC">
      <w:pPr>
        <w:pStyle w:val="ListParagraph"/>
        <w:numPr>
          <w:ilvl w:val="1"/>
          <w:numId w:val="47"/>
        </w:numPr>
        <w:spacing w:before="40" w:after="40"/>
        <w:jc w:val="both"/>
        <w:rPr>
          <w:rFonts w:cs="Times New Roman"/>
          <w:szCs w:val="24"/>
        </w:rPr>
      </w:pPr>
      <w:r w:rsidRPr="00767892">
        <w:rPr>
          <w:rFonts w:cs="Times New Roman"/>
          <w:szCs w:val="24"/>
        </w:rPr>
        <w:t xml:space="preserve">Ārlietu ministrijai 2017. un 2018.gadam 388 370 </w:t>
      </w:r>
      <w:proofErr w:type="spellStart"/>
      <w:r w:rsidRPr="00767892">
        <w:rPr>
          <w:rFonts w:cs="Times New Roman"/>
          <w:i/>
          <w:szCs w:val="24"/>
        </w:rPr>
        <w:t>euro</w:t>
      </w:r>
      <w:proofErr w:type="spellEnd"/>
      <w:r w:rsidRPr="00767892">
        <w:rPr>
          <w:rFonts w:cs="Times New Roman"/>
          <w:szCs w:val="24"/>
        </w:rPr>
        <w:t xml:space="preserve"> ik gadu;</w:t>
      </w:r>
    </w:p>
    <w:p w:rsidR="00767892" w:rsidRPr="00767892" w:rsidRDefault="00767892" w:rsidP="00B020CC">
      <w:pPr>
        <w:pStyle w:val="ListParagraph"/>
        <w:numPr>
          <w:ilvl w:val="1"/>
          <w:numId w:val="47"/>
        </w:numPr>
        <w:spacing w:before="40" w:after="40"/>
        <w:jc w:val="both"/>
        <w:rPr>
          <w:rFonts w:cs="Times New Roman"/>
          <w:szCs w:val="24"/>
        </w:rPr>
      </w:pPr>
      <w:r w:rsidRPr="00767892">
        <w:rPr>
          <w:rFonts w:cs="Times New Roman"/>
          <w:szCs w:val="24"/>
        </w:rPr>
        <w:t xml:space="preserve">Labklājības ministrijai 2017.gadam 231 290 </w:t>
      </w:r>
      <w:proofErr w:type="spellStart"/>
      <w:r w:rsidRPr="00767892">
        <w:rPr>
          <w:rFonts w:cs="Times New Roman"/>
          <w:i/>
          <w:szCs w:val="24"/>
        </w:rPr>
        <w:t>euro</w:t>
      </w:r>
      <w:proofErr w:type="spellEnd"/>
      <w:r w:rsidRPr="00767892">
        <w:rPr>
          <w:rFonts w:cs="Times New Roman"/>
          <w:szCs w:val="24"/>
        </w:rPr>
        <w:t xml:space="preserve"> un 2018.gadam 225 786 </w:t>
      </w:r>
      <w:proofErr w:type="spellStart"/>
      <w:r w:rsidRPr="00767892">
        <w:rPr>
          <w:rFonts w:cs="Times New Roman"/>
          <w:i/>
          <w:szCs w:val="24"/>
        </w:rPr>
        <w:t>euro</w:t>
      </w:r>
      <w:proofErr w:type="spellEnd"/>
      <w:r w:rsidRPr="00767892">
        <w:rPr>
          <w:rFonts w:cs="Times New Roman"/>
          <w:szCs w:val="24"/>
        </w:rPr>
        <w:t>.</w:t>
      </w:r>
    </w:p>
    <w:p w:rsidR="00767892" w:rsidRPr="004F29C7" w:rsidRDefault="00767892" w:rsidP="00B020CC">
      <w:pPr>
        <w:pStyle w:val="ListParagraph"/>
        <w:numPr>
          <w:ilvl w:val="0"/>
          <w:numId w:val="30"/>
        </w:numPr>
        <w:tabs>
          <w:tab w:val="left" w:pos="426"/>
        </w:tabs>
        <w:spacing w:before="40" w:after="40"/>
        <w:ind w:left="426" w:hanging="426"/>
        <w:contextualSpacing w:val="0"/>
        <w:jc w:val="both"/>
        <w:rPr>
          <w:szCs w:val="24"/>
        </w:rPr>
      </w:pPr>
      <w:r w:rsidRPr="004F29C7">
        <w:rPr>
          <w:szCs w:val="24"/>
        </w:rPr>
        <w:t xml:space="preserve">Pieņemt zināšanai, ka, atbilstoši izdevumu pārskatīšanas rezultātiem, ministrijām ir potenciāli pieejami resursi izdevumu segšanai, ja tiks nodrošināta mērķfinansējuma ieņēmumu iekasēšana sākotnēji plānotajā (pilnā) apjomā 2017.gadam un 2018.gadam 8 046 552 </w:t>
      </w:r>
      <w:proofErr w:type="spellStart"/>
      <w:r w:rsidRPr="004F29C7">
        <w:rPr>
          <w:i/>
          <w:szCs w:val="24"/>
        </w:rPr>
        <w:t>euro</w:t>
      </w:r>
      <w:proofErr w:type="spellEnd"/>
      <w:r w:rsidRPr="004F29C7">
        <w:rPr>
          <w:szCs w:val="24"/>
        </w:rPr>
        <w:t xml:space="preserve"> apmērā ik gadu, tajā skaitā:</w:t>
      </w:r>
    </w:p>
    <w:p w:rsidR="00767892" w:rsidRDefault="00767892" w:rsidP="00B020CC">
      <w:pPr>
        <w:pStyle w:val="ListParagraph"/>
        <w:numPr>
          <w:ilvl w:val="1"/>
          <w:numId w:val="16"/>
        </w:numPr>
        <w:tabs>
          <w:tab w:val="left" w:pos="426"/>
        </w:tabs>
        <w:spacing w:before="40" w:after="40"/>
        <w:ind w:hanging="1080"/>
        <w:jc w:val="both"/>
        <w:rPr>
          <w:szCs w:val="24"/>
        </w:rPr>
      </w:pPr>
      <w:r w:rsidRPr="00767892">
        <w:rPr>
          <w:szCs w:val="24"/>
        </w:rPr>
        <w:t xml:space="preserve">Satiksmes ministrijai 2017. un 2018.gadam 7 143 757 </w:t>
      </w:r>
      <w:proofErr w:type="spellStart"/>
      <w:r w:rsidRPr="00767892">
        <w:rPr>
          <w:i/>
          <w:szCs w:val="24"/>
        </w:rPr>
        <w:t>euro</w:t>
      </w:r>
      <w:proofErr w:type="spellEnd"/>
      <w:r w:rsidRPr="00767892">
        <w:rPr>
          <w:szCs w:val="24"/>
        </w:rPr>
        <w:t xml:space="preserve"> ik gadu;</w:t>
      </w:r>
    </w:p>
    <w:p w:rsidR="00767892" w:rsidRDefault="00767892" w:rsidP="00B020CC">
      <w:pPr>
        <w:pStyle w:val="ListParagraph"/>
        <w:numPr>
          <w:ilvl w:val="1"/>
          <w:numId w:val="16"/>
        </w:numPr>
        <w:tabs>
          <w:tab w:val="left" w:pos="426"/>
        </w:tabs>
        <w:spacing w:before="40" w:after="40"/>
        <w:ind w:hanging="1080"/>
        <w:jc w:val="both"/>
        <w:rPr>
          <w:szCs w:val="24"/>
        </w:rPr>
      </w:pPr>
      <w:r w:rsidRPr="00767892">
        <w:rPr>
          <w:szCs w:val="24"/>
        </w:rPr>
        <w:t xml:space="preserve">Ekonomikas ministrijai 2017. un 2018.gadam 656 888 </w:t>
      </w:r>
      <w:proofErr w:type="spellStart"/>
      <w:r w:rsidRPr="00767892">
        <w:rPr>
          <w:i/>
          <w:szCs w:val="24"/>
        </w:rPr>
        <w:t>euro</w:t>
      </w:r>
      <w:proofErr w:type="spellEnd"/>
      <w:r w:rsidRPr="00767892">
        <w:rPr>
          <w:szCs w:val="24"/>
        </w:rPr>
        <w:t xml:space="preserve"> ik gadu;</w:t>
      </w:r>
    </w:p>
    <w:p w:rsidR="00767892" w:rsidRPr="00767892" w:rsidRDefault="00767892" w:rsidP="00B020CC">
      <w:pPr>
        <w:pStyle w:val="ListParagraph"/>
        <w:numPr>
          <w:ilvl w:val="1"/>
          <w:numId w:val="16"/>
        </w:numPr>
        <w:tabs>
          <w:tab w:val="left" w:pos="426"/>
        </w:tabs>
        <w:spacing w:before="40" w:after="40"/>
        <w:ind w:hanging="1080"/>
        <w:jc w:val="both"/>
        <w:rPr>
          <w:szCs w:val="24"/>
        </w:rPr>
      </w:pPr>
      <w:r w:rsidRPr="00767892">
        <w:rPr>
          <w:szCs w:val="24"/>
        </w:rPr>
        <w:t xml:space="preserve">Kultūras ministrijai 2017. un 2018.gadam 245 907 </w:t>
      </w:r>
      <w:proofErr w:type="spellStart"/>
      <w:r w:rsidRPr="00767892">
        <w:rPr>
          <w:i/>
          <w:szCs w:val="24"/>
        </w:rPr>
        <w:t>euro</w:t>
      </w:r>
      <w:proofErr w:type="spellEnd"/>
      <w:r w:rsidRPr="00767892">
        <w:rPr>
          <w:szCs w:val="24"/>
        </w:rPr>
        <w:t xml:space="preserve"> ik gadu.</w:t>
      </w:r>
    </w:p>
    <w:p w:rsidR="00767892" w:rsidRPr="004F29C7" w:rsidRDefault="00767892" w:rsidP="00B020CC">
      <w:pPr>
        <w:numPr>
          <w:ilvl w:val="0"/>
          <w:numId w:val="16"/>
        </w:numPr>
        <w:spacing w:before="40" w:after="40"/>
        <w:ind w:left="284" w:hanging="284"/>
        <w:jc w:val="both"/>
        <w:rPr>
          <w:rFonts w:cs="Times New Roman"/>
          <w:szCs w:val="24"/>
        </w:rPr>
      </w:pPr>
      <w:r>
        <w:rPr>
          <w:rFonts w:cs="Times New Roman"/>
          <w:szCs w:val="24"/>
        </w:rPr>
        <w:t xml:space="preserve">Pieņemt zināšanai, ka </w:t>
      </w:r>
      <w:r w:rsidRPr="004F29C7">
        <w:rPr>
          <w:rFonts w:cs="Times New Roman"/>
          <w:szCs w:val="24"/>
        </w:rPr>
        <w:t xml:space="preserve">ministrijām un citām centrālajām valsts iestādēm ir pieejami resursi izdevumu segšanai, tajā skaitā jaunām politikas iniciatīvām, kas līdz attiecīgo lēmumu pieņemšanai ir pārdalāmi no nozares ministriju budžetiem uz budžeta resoru “74.Gadskārtējā </w:t>
      </w:r>
      <w:r w:rsidRPr="004F29C7">
        <w:rPr>
          <w:rFonts w:cs="Times New Roman"/>
          <w:szCs w:val="24"/>
        </w:rPr>
        <w:lastRenderedPageBreak/>
        <w:t xml:space="preserve">valsts budžeta izpildes procesā pārdalāmais finansējums” 2017.gadam 32 656 007 </w:t>
      </w:r>
      <w:proofErr w:type="spellStart"/>
      <w:r w:rsidRPr="004F29C7">
        <w:rPr>
          <w:rFonts w:cs="Times New Roman"/>
          <w:i/>
          <w:szCs w:val="24"/>
        </w:rPr>
        <w:t>euro</w:t>
      </w:r>
      <w:proofErr w:type="spellEnd"/>
      <w:r w:rsidRPr="004F29C7">
        <w:rPr>
          <w:rFonts w:cs="Times New Roman"/>
          <w:szCs w:val="24"/>
        </w:rPr>
        <w:t xml:space="preserve"> apmērā un 2018.gadam 32 085 875 </w:t>
      </w:r>
      <w:proofErr w:type="spellStart"/>
      <w:r w:rsidRPr="004F29C7">
        <w:rPr>
          <w:rFonts w:cs="Times New Roman"/>
          <w:i/>
          <w:szCs w:val="24"/>
        </w:rPr>
        <w:t>euro</w:t>
      </w:r>
      <w:proofErr w:type="spellEnd"/>
      <w:r w:rsidRPr="004F29C7">
        <w:rPr>
          <w:rFonts w:cs="Times New Roman"/>
          <w:szCs w:val="24"/>
        </w:rPr>
        <w:t xml:space="preserve"> apmērā, tajā skaitā:</w:t>
      </w:r>
    </w:p>
    <w:p w:rsidR="00767892" w:rsidRDefault="00767892" w:rsidP="00B020CC">
      <w:pPr>
        <w:pStyle w:val="ListParagraph"/>
        <w:numPr>
          <w:ilvl w:val="1"/>
          <w:numId w:val="16"/>
        </w:numPr>
        <w:tabs>
          <w:tab w:val="left" w:pos="426"/>
          <w:tab w:val="left" w:pos="567"/>
        </w:tabs>
        <w:spacing w:before="40" w:after="40"/>
        <w:ind w:left="426" w:hanging="426"/>
        <w:jc w:val="both"/>
        <w:rPr>
          <w:rFonts w:cs="Times New Roman"/>
          <w:szCs w:val="24"/>
        </w:rPr>
      </w:pPr>
      <w:r w:rsidRPr="00767892">
        <w:rPr>
          <w:rFonts w:cs="Times New Roman"/>
          <w:szCs w:val="24"/>
        </w:rPr>
        <w:t xml:space="preserve">Aizsardzības ministrijas budžetam nodrošinot finansējuma palielinājumu 2017. un 2018.gadam, salīdzinot ar 2016.gadam plānoto finansējumu atbilstoši likumam “Par valsts budžetu 2016.gadam”, attiecīgi par 89 423 406 </w:t>
      </w:r>
      <w:proofErr w:type="spellStart"/>
      <w:r w:rsidRPr="00767892">
        <w:rPr>
          <w:rFonts w:cs="Times New Roman"/>
          <w:i/>
          <w:szCs w:val="24"/>
        </w:rPr>
        <w:t>euro</w:t>
      </w:r>
      <w:proofErr w:type="spellEnd"/>
      <w:r w:rsidRPr="00767892">
        <w:rPr>
          <w:rFonts w:cs="Times New Roman"/>
          <w:szCs w:val="24"/>
        </w:rPr>
        <w:t xml:space="preserve"> un 203 759 606 </w:t>
      </w:r>
      <w:proofErr w:type="spellStart"/>
      <w:r w:rsidRPr="00767892">
        <w:rPr>
          <w:rFonts w:cs="Times New Roman"/>
          <w:i/>
          <w:szCs w:val="24"/>
        </w:rPr>
        <w:t>euro</w:t>
      </w:r>
      <w:proofErr w:type="spellEnd"/>
      <w:r w:rsidRPr="00767892">
        <w:rPr>
          <w:rFonts w:cs="Times New Roman"/>
          <w:szCs w:val="24"/>
        </w:rPr>
        <w:t>;</w:t>
      </w:r>
    </w:p>
    <w:p w:rsidR="00767892" w:rsidRDefault="00767892" w:rsidP="00B020CC">
      <w:pPr>
        <w:pStyle w:val="ListParagraph"/>
        <w:numPr>
          <w:ilvl w:val="1"/>
          <w:numId w:val="16"/>
        </w:numPr>
        <w:tabs>
          <w:tab w:val="left" w:pos="426"/>
          <w:tab w:val="left" w:pos="567"/>
        </w:tabs>
        <w:spacing w:before="40" w:after="40"/>
        <w:ind w:left="426" w:hanging="426"/>
        <w:jc w:val="both"/>
        <w:rPr>
          <w:rFonts w:cs="Times New Roman"/>
          <w:szCs w:val="24"/>
        </w:rPr>
      </w:pPr>
      <w:r w:rsidRPr="00767892">
        <w:rPr>
          <w:rFonts w:cs="Times New Roman"/>
          <w:szCs w:val="24"/>
        </w:rPr>
        <w:t xml:space="preserve">Vides aizsardzības un reģionālās attīstības ministrijas budžetā koriģējot Emisijas kvotu izsolīšanas instrumenta naudas plūsmu 2017.gadam par 14 285 493 </w:t>
      </w:r>
      <w:proofErr w:type="spellStart"/>
      <w:r w:rsidRPr="00767892">
        <w:rPr>
          <w:rFonts w:cs="Times New Roman"/>
          <w:i/>
          <w:szCs w:val="24"/>
        </w:rPr>
        <w:t>euro</w:t>
      </w:r>
      <w:proofErr w:type="spellEnd"/>
      <w:r w:rsidRPr="00767892">
        <w:rPr>
          <w:rFonts w:cs="Times New Roman"/>
          <w:szCs w:val="24"/>
        </w:rPr>
        <w:t xml:space="preserve"> un 2018.gadam par 13 495 000 </w:t>
      </w:r>
      <w:proofErr w:type="spellStart"/>
      <w:r w:rsidRPr="00767892">
        <w:rPr>
          <w:rFonts w:cs="Times New Roman"/>
          <w:i/>
          <w:szCs w:val="24"/>
        </w:rPr>
        <w:t>euro</w:t>
      </w:r>
      <w:proofErr w:type="spellEnd"/>
      <w:r w:rsidRPr="00767892">
        <w:rPr>
          <w:rFonts w:cs="Times New Roman"/>
          <w:szCs w:val="24"/>
        </w:rPr>
        <w:t>;</w:t>
      </w:r>
    </w:p>
    <w:p w:rsidR="00767892" w:rsidRDefault="00767892" w:rsidP="00B020CC">
      <w:pPr>
        <w:pStyle w:val="ListParagraph"/>
        <w:numPr>
          <w:ilvl w:val="1"/>
          <w:numId w:val="16"/>
        </w:numPr>
        <w:tabs>
          <w:tab w:val="left" w:pos="426"/>
          <w:tab w:val="left" w:pos="567"/>
        </w:tabs>
        <w:spacing w:before="40" w:after="40"/>
        <w:ind w:left="426" w:hanging="426"/>
        <w:jc w:val="both"/>
        <w:rPr>
          <w:rFonts w:cs="Times New Roman"/>
          <w:szCs w:val="24"/>
        </w:rPr>
      </w:pPr>
      <w:r w:rsidRPr="00767892">
        <w:rPr>
          <w:rFonts w:cs="Times New Roman"/>
          <w:szCs w:val="24"/>
        </w:rPr>
        <w:t xml:space="preserve">No Finanšu ministrijas budžeta 2017.gadam 2 587 604 </w:t>
      </w:r>
      <w:proofErr w:type="spellStart"/>
      <w:r w:rsidRPr="00767892">
        <w:rPr>
          <w:rFonts w:cs="Times New Roman"/>
          <w:i/>
          <w:szCs w:val="24"/>
        </w:rPr>
        <w:t>euro</w:t>
      </w:r>
      <w:proofErr w:type="spellEnd"/>
      <w:r w:rsidRPr="00767892">
        <w:rPr>
          <w:rFonts w:cs="Times New Roman"/>
          <w:szCs w:val="24"/>
        </w:rPr>
        <w:t xml:space="preserve"> un 2018.gadam 232 607 </w:t>
      </w:r>
      <w:proofErr w:type="spellStart"/>
      <w:r w:rsidRPr="00767892">
        <w:rPr>
          <w:rFonts w:cs="Times New Roman"/>
          <w:i/>
          <w:szCs w:val="24"/>
        </w:rPr>
        <w:t>euro</w:t>
      </w:r>
      <w:proofErr w:type="spellEnd"/>
      <w:r w:rsidRPr="00767892">
        <w:rPr>
          <w:rFonts w:cs="Times New Roman"/>
          <w:szCs w:val="24"/>
        </w:rPr>
        <w:t>;</w:t>
      </w:r>
    </w:p>
    <w:p w:rsidR="00767892" w:rsidRPr="00767892" w:rsidRDefault="00767892" w:rsidP="00B020CC">
      <w:pPr>
        <w:pStyle w:val="ListParagraph"/>
        <w:numPr>
          <w:ilvl w:val="1"/>
          <w:numId w:val="16"/>
        </w:numPr>
        <w:tabs>
          <w:tab w:val="left" w:pos="426"/>
          <w:tab w:val="left" w:pos="567"/>
        </w:tabs>
        <w:spacing w:before="40" w:after="40"/>
        <w:ind w:left="426" w:hanging="426"/>
        <w:jc w:val="both"/>
        <w:rPr>
          <w:rFonts w:cs="Times New Roman"/>
          <w:szCs w:val="24"/>
        </w:rPr>
      </w:pPr>
      <w:r w:rsidRPr="00767892">
        <w:rPr>
          <w:rFonts w:cs="Times New Roman"/>
          <w:szCs w:val="24"/>
        </w:rPr>
        <w:t xml:space="preserve">No Zemkopības ministrijas budžeta 2017.gadam 50 032 </w:t>
      </w:r>
      <w:proofErr w:type="spellStart"/>
      <w:r w:rsidRPr="00767892">
        <w:rPr>
          <w:rFonts w:cs="Times New Roman"/>
          <w:i/>
          <w:szCs w:val="24"/>
        </w:rPr>
        <w:t>euro</w:t>
      </w:r>
      <w:proofErr w:type="spellEnd"/>
      <w:r w:rsidRPr="00767892">
        <w:rPr>
          <w:rFonts w:cs="Times New Roman"/>
          <w:szCs w:val="24"/>
        </w:rPr>
        <w:t xml:space="preserve"> un 2018.gadam 45 268 </w:t>
      </w:r>
      <w:proofErr w:type="spellStart"/>
      <w:r w:rsidRPr="00767892">
        <w:rPr>
          <w:rFonts w:cs="Times New Roman"/>
          <w:i/>
          <w:szCs w:val="24"/>
        </w:rPr>
        <w:t>euro</w:t>
      </w:r>
      <w:proofErr w:type="spellEnd"/>
      <w:r w:rsidRPr="00767892">
        <w:rPr>
          <w:rFonts w:cs="Times New Roman"/>
          <w:szCs w:val="24"/>
        </w:rPr>
        <w:t>.</w:t>
      </w:r>
    </w:p>
    <w:p w:rsidR="00767892" w:rsidRPr="004F29C7" w:rsidRDefault="00767892" w:rsidP="00B020CC">
      <w:pPr>
        <w:numPr>
          <w:ilvl w:val="0"/>
          <w:numId w:val="16"/>
        </w:numPr>
        <w:tabs>
          <w:tab w:val="left" w:pos="284"/>
        </w:tabs>
        <w:spacing w:before="40" w:after="40"/>
        <w:ind w:left="284" w:hanging="284"/>
        <w:jc w:val="both"/>
        <w:rPr>
          <w:rFonts w:cs="Times New Roman"/>
          <w:szCs w:val="24"/>
        </w:rPr>
      </w:pPr>
      <w:r w:rsidRPr="004F29C7">
        <w:rPr>
          <w:rFonts w:cs="Times New Roman"/>
          <w:szCs w:val="24"/>
        </w:rPr>
        <w:t xml:space="preserve">Lai izmantotu izdevumu pārskatīšanas rezultātus, tajā skaitā šī </w:t>
      </w:r>
      <w:proofErr w:type="spellStart"/>
      <w:r w:rsidRPr="004F29C7">
        <w:rPr>
          <w:rFonts w:cs="Times New Roman"/>
          <w:szCs w:val="24"/>
        </w:rPr>
        <w:t>protokollēmuma</w:t>
      </w:r>
      <w:proofErr w:type="spellEnd"/>
      <w:r w:rsidRPr="004F29C7">
        <w:rPr>
          <w:rFonts w:cs="Times New Roman"/>
          <w:szCs w:val="24"/>
        </w:rPr>
        <w:t xml:space="preserve"> 4. un 5.punktā minēto, vidēja termiņa budžeta ietvara likuma projekta un gadskārtējā valsts budžeta likuma projekta izstrādes procesā Likuma par budžetu un finanšu vadību </w:t>
      </w:r>
      <w:r w:rsidRPr="004F29C7">
        <w:rPr>
          <w:rFonts w:cs="Times New Roman"/>
          <w:bCs/>
          <w:szCs w:val="24"/>
        </w:rPr>
        <w:t>16.</w:t>
      </w:r>
      <w:r w:rsidRPr="004F29C7">
        <w:rPr>
          <w:rFonts w:cs="Times New Roman"/>
          <w:bCs/>
          <w:szCs w:val="24"/>
          <w:vertAlign w:val="superscript"/>
        </w:rPr>
        <w:t>3</w:t>
      </w:r>
      <w:r w:rsidRPr="004F29C7">
        <w:rPr>
          <w:rFonts w:cs="Times New Roman"/>
          <w:bCs/>
          <w:szCs w:val="24"/>
        </w:rPr>
        <w:t> panta otrās daļas izpratnē</w:t>
      </w:r>
      <w:r w:rsidRPr="004F29C7">
        <w:rPr>
          <w:rFonts w:cs="Times New Roman"/>
          <w:szCs w:val="24"/>
        </w:rPr>
        <w:t>:</w:t>
      </w:r>
    </w:p>
    <w:p w:rsidR="00767892" w:rsidRPr="004F29C7" w:rsidRDefault="00767892" w:rsidP="00B020CC">
      <w:pPr>
        <w:numPr>
          <w:ilvl w:val="1"/>
          <w:numId w:val="16"/>
        </w:numPr>
        <w:spacing w:before="40" w:after="40"/>
        <w:ind w:left="426" w:hanging="426"/>
        <w:jc w:val="both"/>
        <w:rPr>
          <w:rFonts w:cs="Times New Roman"/>
          <w:szCs w:val="24"/>
        </w:rPr>
      </w:pPr>
      <w:r w:rsidRPr="004F29C7">
        <w:rPr>
          <w:rFonts w:cs="Times New Roman"/>
          <w:szCs w:val="24"/>
        </w:rPr>
        <w:t xml:space="preserve">Aizsardzības ministrijai sagatavot un </w:t>
      </w:r>
      <w:r w:rsidRPr="004F29C7">
        <w:rPr>
          <w:szCs w:val="24"/>
        </w:rPr>
        <w:t xml:space="preserve">līdz 2016.gada 1.jūlijam iesniegt Finanšu ministrijā precizējumus bāzes izdevumos, atbilstoši </w:t>
      </w:r>
      <w:r>
        <w:rPr>
          <w:rFonts w:cs="Times New Roman"/>
          <w:szCs w:val="24"/>
        </w:rPr>
        <w:t>3</w:t>
      </w:r>
      <w:r w:rsidRPr="004F29C7">
        <w:rPr>
          <w:rFonts w:cs="Times New Roman"/>
          <w:szCs w:val="24"/>
        </w:rPr>
        <w:t>.1.apakšpunktā minētajam resursu apmēram;</w:t>
      </w:r>
    </w:p>
    <w:p w:rsidR="00767892" w:rsidRPr="004F29C7" w:rsidRDefault="00767892" w:rsidP="00B020CC">
      <w:pPr>
        <w:numPr>
          <w:ilvl w:val="1"/>
          <w:numId w:val="16"/>
        </w:numPr>
        <w:spacing w:before="40" w:after="40"/>
        <w:ind w:left="426" w:hanging="426"/>
        <w:jc w:val="both"/>
        <w:rPr>
          <w:rFonts w:cs="Times New Roman"/>
          <w:szCs w:val="24"/>
        </w:rPr>
      </w:pPr>
      <w:r w:rsidRPr="004F29C7">
        <w:rPr>
          <w:rFonts w:cs="Times New Roman"/>
          <w:szCs w:val="24"/>
        </w:rPr>
        <w:t xml:space="preserve">Finanšu ministrijai izvērtēt Ārlietu ministrijas iesniegtos priekšlikumus stingrākiem ierobežojumiem pievienotās vērtības nodokļa un akcīzes nodokļa atmaksām, ko saskaņā ar Ministru kabineta 2012.gada 18.decembra noteikumiem Nr.908 “Kārtība, kādā piemēro pievienotās vērtības nodokļa 0 procentu likmi preču piegādēm un pakalpojumiem, kas sniegti diplomātiskajām un konsulārajām pārstāvniecībām, starptautiskajām organizācijām, Eiropas Savienības institūcijām un Ziemeļatlantijas līguma organizācijai (NATO), un kārtība, kādā atmaksā akcīzes nodokli par Latvijas Republikā iegādātajām akcīzes precēm” piemēro diplomātiskajām un konsulārajām pārstāvniecībām un minēto pārstāvniecību diplomātiskajiem un konsulārajiem aģentiem, administratīvi tehnisko personālu un šo personu ģimenes locekļiem, ja tie nav Latvijas Republikas </w:t>
      </w:r>
      <w:proofErr w:type="spellStart"/>
      <w:r w:rsidRPr="004F29C7">
        <w:rPr>
          <w:rFonts w:cs="Times New Roman"/>
          <w:szCs w:val="24"/>
        </w:rPr>
        <w:t>valstspiederīgie</w:t>
      </w:r>
      <w:proofErr w:type="spellEnd"/>
      <w:r w:rsidRPr="004F29C7">
        <w:rPr>
          <w:rFonts w:cs="Times New Roman"/>
          <w:szCs w:val="24"/>
        </w:rPr>
        <w:t xml:space="preserve"> vai pastāvīgie iedzīvotāji, un nepieciešamības gadījumā līdz 2016.gada 15.novembrim sagatavot atbilstošus grozījumus normatīvajos aktos iesniegšanai Ministru kabinetā;</w:t>
      </w:r>
    </w:p>
    <w:p w:rsidR="00767892" w:rsidRPr="004F29C7" w:rsidRDefault="00767892" w:rsidP="00B020CC">
      <w:pPr>
        <w:numPr>
          <w:ilvl w:val="1"/>
          <w:numId w:val="16"/>
        </w:numPr>
        <w:spacing w:before="40" w:after="40"/>
        <w:ind w:left="426" w:hanging="426"/>
        <w:jc w:val="both"/>
        <w:rPr>
          <w:rFonts w:cs="Times New Roman"/>
          <w:szCs w:val="24"/>
        </w:rPr>
      </w:pPr>
      <w:r w:rsidRPr="004F29C7">
        <w:rPr>
          <w:rFonts w:cs="Times New Roman"/>
          <w:szCs w:val="24"/>
        </w:rPr>
        <w:t>Ekonomikas ministrijai veikt papildu pasākumus, lai nodrošinātu plānoto ieņēmumu no valsts nodevas par reģistrācijas darbībām būvkomersantu reģistrā izpildi 2017. un 2018.gadā. Ja faktiskā izpilde 2017.gada pirmajā pusē neatbilst plānotajam, Ekonomikas ministrijai sagatavot un līdz 2017.gada 29.jūlijam iesniegt Ministru kabinetā informatīvo ziņojumu, piedāvājot fiskāli neitrālu risinājumu Būvniecības valsts kontroles biroja darbības nodrošināšanai un citu pasākumu finansēšanai;</w:t>
      </w:r>
    </w:p>
    <w:p w:rsidR="00767892" w:rsidRPr="004F29C7" w:rsidRDefault="00767892" w:rsidP="00B020CC">
      <w:pPr>
        <w:numPr>
          <w:ilvl w:val="1"/>
          <w:numId w:val="16"/>
        </w:numPr>
        <w:spacing w:before="40" w:after="40"/>
        <w:ind w:left="426" w:hanging="426"/>
        <w:jc w:val="both"/>
        <w:rPr>
          <w:rFonts w:cs="Times New Roman"/>
          <w:szCs w:val="24"/>
        </w:rPr>
      </w:pPr>
      <w:r w:rsidRPr="004F29C7">
        <w:rPr>
          <w:rFonts w:cs="Times New Roman"/>
          <w:szCs w:val="24"/>
        </w:rPr>
        <w:t>Noteikt, ka likumā “Par kompensāciju izmaksas atjaunošanu administratīvi nepamatoti izsūtītajām personām un šīm personām piešķirto īpašuma kompensācijas sertifikātu dzēšanu”, Valsts pārvaldes iestāžu nodarīto zaudējumu atlīdzināšanas likumā un Noziedzīgi iegūtu līdzekļu legalizācijas un terorisma finansēšanas novēršanas likumā noteikto kompensāciju un atlīdzību izmaksai finansējums  tiek pieprasīts  no budžeta resora “74.Gadskārtējā valsts budžeta izpildes procesā pārdalāmais finansējums” budžeta programmas 02.00.00 “Līdzekļi neparedzētiem gadījumiem”;</w:t>
      </w:r>
    </w:p>
    <w:p w:rsidR="00767892" w:rsidRPr="004F29C7" w:rsidRDefault="00767892" w:rsidP="00B020CC">
      <w:pPr>
        <w:numPr>
          <w:ilvl w:val="1"/>
          <w:numId w:val="16"/>
        </w:numPr>
        <w:spacing w:before="40" w:after="40"/>
        <w:ind w:left="426" w:hanging="426"/>
        <w:jc w:val="both"/>
        <w:rPr>
          <w:rFonts w:cs="Times New Roman"/>
          <w:szCs w:val="24"/>
        </w:rPr>
      </w:pPr>
      <w:r w:rsidRPr="004F29C7">
        <w:rPr>
          <w:rFonts w:cs="Times New Roman"/>
          <w:szCs w:val="24"/>
        </w:rPr>
        <w:t xml:space="preserve">Finanšu ministrijai precizēt budžeta bāzes izdevumus, pārdalot no budžeta apakšprogrammas 41.05.00 “Kompensācijas reabilitētiem pilsoņiem” plānoto finansējumu 2017.gadam un 2018.gadam 90 363 </w:t>
      </w:r>
      <w:proofErr w:type="spellStart"/>
      <w:r w:rsidRPr="004F29C7">
        <w:rPr>
          <w:rFonts w:cs="Times New Roman"/>
          <w:i/>
          <w:szCs w:val="24"/>
        </w:rPr>
        <w:t>euro</w:t>
      </w:r>
      <w:proofErr w:type="spellEnd"/>
      <w:r w:rsidRPr="004F29C7">
        <w:rPr>
          <w:rFonts w:cs="Times New Roman"/>
          <w:szCs w:val="24"/>
        </w:rPr>
        <w:t xml:space="preserve"> apmērā ik gadu un no budžeta apakšprogrammas 41.09.00 “Fiziskajām un juridiskajām personām nodarīto zaudējumu atlīdzināšana” 2017. un 2018.gadam 142 244 </w:t>
      </w:r>
      <w:proofErr w:type="spellStart"/>
      <w:r w:rsidRPr="004F29C7">
        <w:rPr>
          <w:rFonts w:cs="Times New Roman"/>
          <w:i/>
          <w:szCs w:val="24"/>
        </w:rPr>
        <w:t>euro</w:t>
      </w:r>
      <w:proofErr w:type="spellEnd"/>
      <w:r w:rsidRPr="004F29C7">
        <w:rPr>
          <w:rFonts w:cs="Times New Roman"/>
          <w:szCs w:val="24"/>
        </w:rPr>
        <w:t xml:space="preserve"> apmērā ik gadu uz budžeta resora “74.Gadskārtējā valsts budžeta izpildes procesā pārdalāmais finansējums” budžeta programmu 02.00.00 “Līdzekļi neparedzētiem gadījumiem”;</w:t>
      </w:r>
    </w:p>
    <w:p w:rsidR="00767892" w:rsidRPr="004F29C7" w:rsidRDefault="00767892" w:rsidP="00B020CC">
      <w:pPr>
        <w:numPr>
          <w:ilvl w:val="1"/>
          <w:numId w:val="16"/>
        </w:numPr>
        <w:spacing w:before="40" w:after="40"/>
        <w:ind w:left="426" w:hanging="426"/>
        <w:jc w:val="both"/>
        <w:rPr>
          <w:rFonts w:cs="Times New Roman"/>
          <w:szCs w:val="24"/>
        </w:rPr>
      </w:pPr>
      <w:r w:rsidRPr="004F29C7">
        <w:rPr>
          <w:rFonts w:cs="Times New Roman"/>
          <w:szCs w:val="24"/>
        </w:rPr>
        <w:lastRenderedPageBreak/>
        <w:t>Finanšu ministrijai (Valsts kasei) sagatavot un līdz 2016.gada 1.septembrim iesniegt izskatīšanai Ministru kabinetā priekšlikumus par grāmatvedības uzskaites pakalpojumu efektivizēšanu (centralizāciju);</w:t>
      </w:r>
    </w:p>
    <w:p w:rsidR="00767892" w:rsidRPr="004F29C7" w:rsidRDefault="00767892" w:rsidP="00B020CC">
      <w:pPr>
        <w:numPr>
          <w:ilvl w:val="1"/>
          <w:numId w:val="16"/>
        </w:numPr>
        <w:spacing w:before="40" w:after="40"/>
        <w:ind w:left="426" w:hanging="426"/>
        <w:jc w:val="both"/>
        <w:rPr>
          <w:rFonts w:cs="Times New Roman"/>
          <w:szCs w:val="24"/>
        </w:rPr>
      </w:pPr>
      <w:r w:rsidRPr="004F29C7">
        <w:rPr>
          <w:rFonts w:cs="Times New Roman"/>
          <w:szCs w:val="24"/>
        </w:rPr>
        <w:t>Finanšu ministrijai (VAS “Valsts nekustamie īpašumi”) sagatavot un līdz 2016.gada 1.jūlijam iesniegt izskatīšanai Ministru kabinetā grozījumus Ministru kabineta 2011.gada 8.jūlija rīkojumā Nr.307 “Par finansējuma piešķiršanu Padomju okupācijas upuru piemiņas memoriāla kompleksa Latviešu strēlnieku laukumā, Rīgā, izveides izdevumu segšanai”, precizējot projekta realizācijas termiņu un ilgtermiņa saistības;</w:t>
      </w:r>
    </w:p>
    <w:p w:rsidR="00767892" w:rsidRPr="004F29C7" w:rsidRDefault="00767892" w:rsidP="00B020CC">
      <w:pPr>
        <w:numPr>
          <w:ilvl w:val="1"/>
          <w:numId w:val="16"/>
        </w:numPr>
        <w:spacing w:before="40" w:after="40"/>
        <w:ind w:left="426" w:hanging="426"/>
        <w:jc w:val="both"/>
        <w:rPr>
          <w:rFonts w:cs="Times New Roman"/>
          <w:szCs w:val="24"/>
        </w:rPr>
      </w:pPr>
      <w:r w:rsidRPr="004F29C7">
        <w:rPr>
          <w:rFonts w:cs="Times New Roman"/>
          <w:szCs w:val="24"/>
        </w:rPr>
        <w:t>Izglītības un zinātnes ministrijai sagatavot un atbilstoši vidēja termiņa budžeta ietvara likuma projekta un gadskārtējā valsts budžeta likuma projekta izstrādes un iesniegšanas grafikam iesniegt izskatīšanai Ministru kabinetā priekšlikumus par konceptuālām izmaiņām normatīvajos aktos par pašvaldību padotībā esošo internātskolu, speciālo pirmsskolas izglītības iestāžu, speciālo internātskolu, Izglītības iestāžu reģistrā reģistrēto attīstības un rehabilitācijas centru finansēšanu. Šajā apakšpunktā noteiktā uzdevuma izpildei nepieciešamos likumprojektus Izglītības un zinātnes ministrijai iekļaut valsts budžeta 2017.gadam likumprojektu paketē;</w:t>
      </w:r>
    </w:p>
    <w:p w:rsidR="00767892" w:rsidRPr="004F29C7" w:rsidRDefault="00767892" w:rsidP="00B020CC">
      <w:pPr>
        <w:numPr>
          <w:ilvl w:val="1"/>
          <w:numId w:val="16"/>
        </w:numPr>
        <w:spacing w:before="40" w:after="40"/>
        <w:ind w:left="567" w:hanging="567"/>
        <w:jc w:val="both"/>
        <w:rPr>
          <w:rFonts w:cs="Times New Roman"/>
          <w:szCs w:val="24"/>
        </w:rPr>
      </w:pPr>
      <w:r w:rsidRPr="004F29C7">
        <w:rPr>
          <w:rFonts w:cs="Times New Roman"/>
          <w:szCs w:val="24"/>
        </w:rPr>
        <w:t>Izglītības un zinātnes ministrijai profesionālās izglītības reformas ietvaros sagatavot un līdz 2016.gada 1.septembrim iesniegt izskatīšanai Ministru kabinetā profesionālās izglītības programmu finansēšanas modeli, tajā skaitā finansēšanas principus citu dibinātāju profesionālajām izglītības iestādēm;</w:t>
      </w:r>
    </w:p>
    <w:p w:rsidR="00767892" w:rsidRPr="004F29C7" w:rsidRDefault="00767892" w:rsidP="00B020CC">
      <w:pPr>
        <w:numPr>
          <w:ilvl w:val="1"/>
          <w:numId w:val="16"/>
        </w:numPr>
        <w:spacing w:before="40" w:after="40"/>
        <w:ind w:left="567" w:hanging="567"/>
        <w:jc w:val="both"/>
        <w:rPr>
          <w:rFonts w:cs="Times New Roman"/>
          <w:szCs w:val="24"/>
        </w:rPr>
      </w:pPr>
      <w:r>
        <w:rPr>
          <w:rFonts w:cs="Times New Roman"/>
          <w:szCs w:val="24"/>
        </w:rPr>
        <w:t>Šajā apakšpunktā minētajām m</w:t>
      </w:r>
      <w:r w:rsidRPr="004F29C7">
        <w:rPr>
          <w:rFonts w:cs="Times New Roman"/>
          <w:szCs w:val="24"/>
        </w:rPr>
        <w:t xml:space="preserve">inistrijām sagatavot un līdz 2016.gada 1.jūlijam iesniegt izskatīšanai Ministru kabinetā priekšlikumus par </w:t>
      </w:r>
      <w:r>
        <w:rPr>
          <w:rFonts w:cs="Times New Roman"/>
          <w:szCs w:val="24"/>
        </w:rPr>
        <w:t>tām</w:t>
      </w:r>
      <w:r w:rsidRPr="004F29C7">
        <w:rPr>
          <w:rFonts w:cs="Times New Roman"/>
          <w:szCs w:val="24"/>
        </w:rPr>
        <w:t xml:space="preserve"> neraksturīgo funkciju turpmākās nodrošināšanas iespējām, piemēram, nododot tās pašvaldībām vai citai ministrijai:</w:t>
      </w:r>
    </w:p>
    <w:p w:rsidR="00767892" w:rsidRPr="004F29C7" w:rsidRDefault="00767892" w:rsidP="00B020CC">
      <w:pPr>
        <w:numPr>
          <w:ilvl w:val="2"/>
          <w:numId w:val="16"/>
        </w:numPr>
        <w:tabs>
          <w:tab w:val="left" w:pos="567"/>
        </w:tabs>
        <w:spacing w:before="40" w:after="40"/>
        <w:ind w:left="709" w:hanging="709"/>
        <w:jc w:val="both"/>
        <w:rPr>
          <w:rFonts w:cs="Times New Roman"/>
          <w:szCs w:val="24"/>
        </w:rPr>
      </w:pPr>
      <w:r w:rsidRPr="004F29C7">
        <w:rPr>
          <w:rFonts w:cs="Times New Roman"/>
          <w:szCs w:val="24"/>
        </w:rPr>
        <w:t xml:space="preserve"> Izglītības un zinātnes ministrijai </w:t>
      </w:r>
      <w:r>
        <w:rPr>
          <w:rFonts w:cs="Times New Roman"/>
          <w:szCs w:val="24"/>
        </w:rPr>
        <w:t>par d</w:t>
      </w:r>
      <w:r w:rsidRPr="004F29C7">
        <w:rPr>
          <w:rFonts w:cs="Times New Roman"/>
          <w:szCs w:val="24"/>
        </w:rPr>
        <w:t>otācij</w:t>
      </w:r>
      <w:r>
        <w:rPr>
          <w:rFonts w:cs="Times New Roman"/>
          <w:szCs w:val="24"/>
        </w:rPr>
        <w:t>u</w:t>
      </w:r>
      <w:r w:rsidRPr="004F29C7">
        <w:rPr>
          <w:rFonts w:cs="Times New Roman"/>
          <w:szCs w:val="24"/>
        </w:rPr>
        <w:t xml:space="preserve"> brīvpusdienu nodrošināšanai 1., 2., 3. un 4.klases izglītojamiem;</w:t>
      </w:r>
    </w:p>
    <w:p w:rsidR="00767892" w:rsidRPr="004F29C7" w:rsidRDefault="00767892" w:rsidP="00B020CC">
      <w:pPr>
        <w:numPr>
          <w:ilvl w:val="2"/>
          <w:numId w:val="16"/>
        </w:numPr>
        <w:tabs>
          <w:tab w:val="left" w:pos="426"/>
        </w:tabs>
        <w:spacing w:before="40" w:after="40"/>
        <w:ind w:left="709" w:hanging="709"/>
        <w:jc w:val="both"/>
        <w:rPr>
          <w:rFonts w:cs="Times New Roman"/>
          <w:szCs w:val="24"/>
        </w:rPr>
      </w:pPr>
      <w:r w:rsidRPr="004F29C7">
        <w:rPr>
          <w:rFonts w:cs="Times New Roman"/>
          <w:szCs w:val="24"/>
        </w:rPr>
        <w:t xml:space="preserve"> Izglītības un zinātnes ministrijai </w:t>
      </w:r>
      <w:r>
        <w:rPr>
          <w:rFonts w:cs="Times New Roman"/>
          <w:szCs w:val="24"/>
        </w:rPr>
        <w:t>sadarbībā ar Labklājības ministriju par f</w:t>
      </w:r>
      <w:r w:rsidRPr="004F29C7">
        <w:rPr>
          <w:rFonts w:cs="Times New Roman"/>
          <w:szCs w:val="24"/>
        </w:rPr>
        <w:t>inansējum</w:t>
      </w:r>
      <w:r>
        <w:rPr>
          <w:rFonts w:cs="Times New Roman"/>
          <w:szCs w:val="24"/>
        </w:rPr>
        <w:t>u</w:t>
      </w:r>
      <w:r w:rsidRPr="004F29C7">
        <w:rPr>
          <w:rFonts w:cs="Times New Roman"/>
          <w:szCs w:val="24"/>
        </w:rPr>
        <w:t xml:space="preserve"> asistenta pakalpojuma nodrošināšanai personai ar invaliditāti pārvietošanas atbalstam un pašaprūpes veikšanai;</w:t>
      </w:r>
    </w:p>
    <w:p w:rsidR="00767892" w:rsidRPr="004F29C7" w:rsidRDefault="00767892" w:rsidP="00B020CC">
      <w:pPr>
        <w:numPr>
          <w:ilvl w:val="1"/>
          <w:numId w:val="16"/>
        </w:numPr>
        <w:tabs>
          <w:tab w:val="left" w:pos="426"/>
        </w:tabs>
        <w:spacing w:before="40" w:after="40"/>
        <w:ind w:left="567" w:hanging="567"/>
        <w:jc w:val="both"/>
        <w:rPr>
          <w:rFonts w:cs="Times New Roman"/>
          <w:szCs w:val="24"/>
        </w:rPr>
      </w:pPr>
      <w:r w:rsidRPr="004F29C7">
        <w:rPr>
          <w:rFonts w:cs="Times New Roman"/>
          <w:szCs w:val="24"/>
        </w:rPr>
        <w:t xml:space="preserve">Zemkopības ministrijai sagatavot un līdz 2016.gada 1.jūlijam iesniegt izskatīšanai Ministru kabinetā grozījumus Ministru kabineta 2015.gada 22.aprīļa rīkojumā Nr.205 “Par finanšu līdzekļu nodrošināšanu Zemkopības ministrijas valsts budžeta apakšprogrammai “Kredītprocentu likmju pieauguma kompensācija akciju sabiedrībai “Attīstības finanšu institūcija </w:t>
      </w:r>
      <w:proofErr w:type="spellStart"/>
      <w:r w:rsidRPr="004F29C7">
        <w:rPr>
          <w:rFonts w:cs="Times New Roman"/>
          <w:szCs w:val="24"/>
        </w:rPr>
        <w:t>Altum</w:t>
      </w:r>
      <w:proofErr w:type="spellEnd"/>
      <w:r w:rsidRPr="004F29C7">
        <w:rPr>
          <w:rFonts w:cs="Times New Roman"/>
          <w:szCs w:val="24"/>
        </w:rPr>
        <w:t xml:space="preserve">”””, nosakot, ka turpmāk finansējums kredītprocentu likmes pieauguma kompensācijas izmaksai  tiek pieprasīta no budžeta resora “74.Gadskārtējā valsts budžeta izpildes procesā pārdalāmais finansējums” budžeta programmas 02.00.00 “Līdzekļi neparedzētiem gadījumiem”. </w:t>
      </w:r>
      <w:r w:rsidRPr="004F29C7">
        <w:rPr>
          <w:szCs w:val="24"/>
        </w:rPr>
        <w:t xml:space="preserve">Vienlaikus Zemkopības ministrijai līdz 2016.gada 1.jūlijam iesniegt Finanšu ministrijā precizējumus bāzes izdevumos, pārdalot no budžeta apakšprogrammas 29.01.00 “Kredītprocentu likmju pieauguma kompensācija akciju sabiedrībai “Attīstības finanšu institūcija </w:t>
      </w:r>
      <w:proofErr w:type="spellStart"/>
      <w:r w:rsidRPr="004F29C7">
        <w:rPr>
          <w:szCs w:val="24"/>
        </w:rPr>
        <w:t>Altum</w:t>
      </w:r>
      <w:proofErr w:type="spellEnd"/>
      <w:r w:rsidRPr="004F29C7">
        <w:rPr>
          <w:szCs w:val="24"/>
        </w:rPr>
        <w:t xml:space="preserve">”” plānoto finansējumu 2017.gadam 50 032 </w:t>
      </w:r>
      <w:proofErr w:type="spellStart"/>
      <w:r w:rsidRPr="004F29C7">
        <w:rPr>
          <w:i/>
          <w:iCs/>
          <w:szCs w:val="24"/>
        </w:rPr>
        <w:t>euro</w:t>
      </w:r>
      <w:proofErr w:type="spellEnd"/>
      <w:r w:rsidRPr="004F29C7">
        <w:rPr>
          <w:szCs w:val="24"/>
        </w:rPr>
        <w:t xml:space="preserve"> apmērā un 2018.gadam 45 268 </w:t>
      </w:r>
      <w:proofErr w:type="spellStart"/>
      <w:r w:rsidRPr="004F29C7">
        <w:rPr>
          <w:i/>
          <w:iCs/>
          <w:szCs w:val="24"/>
        </w:rPr>
        <w:t>euro</w:t>
      </w:r>
      <w:proofErr w:type="spellEnd"/>
      <w:r w:rsidRPr="004F29C7">
        <w:rPr>
          <w:szCs w:val="24"/>
        </w:rPr>
        <w:t xml:space="preserve"> apmērā uz budžeta resora “74.Gadskārtējā valsts budžeta izpildes procesā pārdalāmais finansējums” budžeta programmu 02.00.00 “Līdzekļi neparedzētiem gadījumiem”</w:t>
      </w:r>
      <w:r w:rsidRPr="004F29C7">
        <w:rPr>
          <w:rFonts w:cs="Times New Roman"/>
          <w:szCs w:val="24"/>
        </w:rPr>
        <w:t>;</w:t>
      </w:r>
    </w:p>
    <w:p w:rsidR="00767892" w:rsidRPr="004F29C7" w:rsidRDefault="00767892" w:rsidP="00B020CC">
      <w:pPr>
        <w:numPr>
          <w:ilvl w:val="1"/>
          <w:numId w:val="16"/>
        </w:numPr>
        <w:spacing w:before="40" w:after="40"/>
        <w:ind w:left="567" w:hanging="567"/>
        <w:jc w:val="both"/>
        <w:rPr>
          <w:rFonts w:cs="Times New Roman"/>
          <w:szCs w:val="24"/>
        </w:rPr>
      </w:pPr>
      <w:r w:rsidRPr="004F29C7">
        <w:rPr>
          <w:rFonts w:cs="Times New Roman"/>
          <w:szCs w:val="24"/>
        </w:rPr>
        <w:t>Satiksmes ministrijai sagatavot un atbilstoši vidēja termiņa budžeta ietvara likuma projekta un gadskārtējā valsts budžeta likuma projekta izstrādes un iesniegšanas grafikam iesniegt izskatīšanai Ministru kabinetā likumprojektu par grozījumiem Pasta likumā, izslēdzot no minētā likuma pienākumu no valsts budžeta Latvijas Pastam segt zaudējumus par abonētās preses izdevumu piegādes pakalpojumiem, minēto pakalpojumu izmaksas kompensējot no universālā pasta pakalpojuma fonda vai piedāvājot alternatīvu risinājumu par finansējuma avota maiņu. Šajā apakšpunktā noteiktā uzdevuma izpildei nepieciešamo likumprojektu iekļaut valsts budžeta 2017.gadam likumprojektu paketē;</w:t>
      </w:r>
    </w:p>
    <w:p w:rsidR="00767892" w:rsidRPr="004F29C7" w:rsidRDefault="00767892" w:rsidP="00B020CC">
      <w:pPr>
        <w:numPr>
          <w:ilvl w:val="1"/>
          <w:numId w:val="16"/>
        </w:numPr>
        <w:spacing w:before="40" w:after="40"/>
        <w:ind w:left="567" w:hanging="567"/>
        <w:jc w:val="both"/>
        <w:rPr>
          <w:rFonts w:cs="Times New Roman"/>
          <w:szCs w:val="24"/>
        </w:rPr>
      </w:pPr>
      <w:r w:rsidRPr="004F29C7">
        <w:rPr>
          <w:rFonts w:cs="Times New Roman"/>
          <w:szCs w:val="24"/>
        </w:rPr>
        <w:lastRenderedPageBreak/>
        <w:t xml:space="preserve">Satiksmes ministrijai veikt nepieciešamos pasākumus, lai nodrošinātu plānoto ieņēmumu no Autoceļu lietošanas nodevas izpildi 2016., 2017. un 2018.gadā 25 000 000 </w:t>
      </w:r>
      <w:proofErr w:type="spellStart"/>
      <w:r w:rsidRPr="004F29C7">
        <w:rPr>
          <w:rFonts w:cs="Times New Roman"/>
          <w:i/>
          <w:szCs w:val="24"/>
        </w:rPr>
        <w:t>euro</w:t>
      </w:r>
      <w:proofErr w:type="spellEnd"/>
      <w:r w:rsidRPr="004F29C7">
        <w:rPr>
          <w:rFonts w:cs="Times New Roman"/>
          <w:szCs w:val="24"/>
        </w:rPr>
        <w:t xml:space="preserve"> apmērā ik gadu, tādējādi nodrošinot finansēšanas avotu Satiksmes ministrijas budžeta apakšprogrammas 23.06.00 “Valsts autoceļu pārvaldīšana, uzturēšana un atjaunošana” izdevumiem valsts galveno autoceļu uzturēšanai un attīstībai. Nenodrošinot Autoceļu lietošanas nodevas ieņēmumu izpildi plānotajā apmērā, Satiksmes ministrijai sagatavot un līdz 2016.gada 29.jūlijam iesniegt izskatīšanā Ministru kabinetā priekšlikumus par atbilstošo izdevumu samazināšanu 2017. un 2018.gadam, ņemot vērā plānoto ieņēmumu faktiskās izpildes tendences;</w:t>
      </w:r>
    </w:p>
    <w:p w:rsidR="00767892" w:rsidRPr="004F29C7" w:rsidRDefault="00767892" w:rsidP="00B020CC">
      <w:pPr>
        <w:numPr>
          <w:ilvl w:val="1"/>
          <w:numId w:val="16"/>
        </w:numPr>
        <w:spacing w:before="40" w:after="40"/>
        <w:ind w:left="567" w:hanging="567"/>
        <w:jc w:val="both"/>
        <w:rPr>
          <w:rFonts w:cs="Times New Roman"/>
          <w:szCs w:val="24"/>
        </w:rPr>
      </w:pPr>
      <w:r w:rsidRPr="004F29C7">
        <w:rPr>
          <w:rFonts w:cs="Times New Roman"/>
          <w:szCs w:val="24"/>
        </w:rPr>
        <w:t>Satiksmes ministrijai sagatavot un līdz 2016.gada 1.jūlijam iesniegt izskatīšanai Ministru kabinetā priekšlikumus par risinājumiem alternatīviem finansējuma avotiem Starptautiskās kravu loģistikas un ostu informācijas sistēmas uzturēšanai, piemēram, piesaistot komersantu līdzekļus kā maksu par sistēmas izmantošanu;</w:t>
      </w:r>
    </w:p>
    <w:p w:rsidR="00767892" w:rsidRPr="004F29C7" w:rsidRDefault="00767892" w:rsidP="00B020CC">
      <w:pPr>
        <w:numPr>
          <w:ilvl w:val="1"/>
          <w:numId w:val="16"/>
        </w:numPr>
        <w:spacing w:before="40" w:after="40"/>
        <w:ind w:left="567" w:hanging="567"/>
        <w:jc w:val="both"/>
        <w:rPr>
          <w:rFonts w:cs="Times New Roman"/>
          <w:szCs w:val="24"/>
        </w:rPr>
      </w:pPr>
      <w:r w:rsidRPr="004F29C7">
        <w:rPr>
          <w:rFonts w:cs="Times New Roman"/>
          <w:szCs w:val="24"/>
        </w:rPr>
        <w:t>Satiksmes ministrijai sadarbībā ar Ekonomikas ministriju izvērtēt iespējas specializētā transporta atašeja Kazahstānā turpmāko darbību 2017., 2018.gadā nodrošināt ministriju budžetu iekšējo resursu ietvaros un  līdz 2016.gada 1.jūlijam iesniegt Finanšu ministrijā attiecīgus priekšlikumu par bāzes izdevumu precizēšanu</w:t>
      </w:r>
      <w:r>
        <w:rPr>
          <w:rFonts w:cs="Times New Roman"/>
          <w:szCs w:val="24"/>
        </w:rPr>
        <w:t>;</w:t>
      </w:r>
      <w:r w:rsidRPr="004F29C7">
        <w:rPr>
          <w:rFonts w:cs="Times New Roman"/>
          <w:szCs w:val="24"/>
        </w:rPr>
        <w:t xml:space="preserve"> </w:t>
      </w:r>
    </w:p>
    <w:p w:rsidR="00767892" w:rsidRPr="004F29C7" w:rsidRDefault="00767892" w:rsidP="00B020CC">
      <w:pPr>
        <w:numPr>
          <w:ilvl w:val="1"/>
          <w:numId w:val="16"/>
        </w:numPr>
        <w:spacing w:before="40" w:after="40"/>
        <w:ind w:left="567" w:hanging="567"/>
        <w:jc w:val="both"/>
        <w:rPr>
          <w:rFonts w:cs="Times New Roman"/>
          <w:szCs w:val="24"/>
        </w:rPr>
      </w:pPr>
      <w:r w:rsidRPr="004F29C7">
        <w:rPr>
          <w:rFonts w:cs="Times New Roman"/>
          <w:szCs w:val="24"/>
        </w:rPr>
        <w:t xml:space="preserve">Labklājības ministrijai sadarbībā ar Veselības ministriju </w:t>
      </w:r>
      <w:r>
        <w:rPr>
          <w:rFonts w:cs="Times New Roman"/>
          <w:szCs w:val="24"/>
        </w:rPr>
        <w:t xml:space="preserve">un Ekonomikas ministriju </w:t>
      </w:r>
      <w:r w:rsidRPr="004F29C7">
        <w:rPr>
          <w:rFonts w:cs="Times New Roman"/>
          <w:szCs w:val="24"/>
        </w:rPr>
        <w:t>sagatavot un līdz 2016.gada 1.jūlijam iesniegt izskatīšanai Ministru kabinetā priekšlikumus par risinājumiem slimības pabalstu un darba nespējas lapu izsniegšanas jomā, savlaicīgi novēršot fiskālos riskus strauji augošu izdevumu (slimības pabalstiem) rezultātā un samazinot nepamatotības risku darba nespējas lapu izsniegšanas procesā;</w:t>
      </w:r>
    </w:p>
    <w:p w:rsidR="00767892" w:rsidRPr="004F29C7" w:rsidRDefault="00767892" w:rsidP="00B020CC">
      <w:pPr>
        <w:numPr>
          <w:ilvl w:val="1"/>
          <w:numId w:val="16"/>
        </w:numPr>
        <w:spacing w:before="40" w:after="40"/>
        <w:ind w:left="567" w:hanging="567"/>
        <w:jc w:val="both"/>
        <w:rPr>
          <w:rFonts w:cs="Times New Roman"/>
          <w:szCs w:val="24"/>
        </w:rPr>
      </w:pPr>
      <w:r w:rsidRPr="004F29C7">
        <w:rPr>
          <w:rFonts w:cs="Times New Roman"/>
          <w:szCs w:val="24"/>
        </w:rPr>
        <w:t xml:space="preserve">Tieslietu ministrijai sadarbībā ar </w:t>
      </w:r>
      <w:proofErr w:type="spellStart"/>
      <w:r w:rsidRPr="004F29C7">
        <w:rPr>
          <w:rFonts w:cs="Times New Roman"/>
          <w:szCs w:val="24"/>
        </w:rPr>
        <w:t>Iekšlietu</w:t>
      </w:r>
      <w:proofErr w:type="spellEnd"/>
      <w:r w:rsidRPr="004F29C7">
        <w:rPr>
          <w:rFonts w:cs="Times New Roman"/>
          <w:szCs w:val="24"/>
        </w:rPr>
        <w:t xml:space="preserve"> ministriju izvērtēt procesuālajos likumos paredzēto dokumentu piegādāšanas un izsniegšanas kārtību ar mērķi to vienkāršot un samazināt saziņas ar procesa dalībniekiem nodrošināšanai nepieciešamos resursus, minētā mērķa sasniegšanai izstrādājot risinājumus par e-saziņas ieviešanu komunikācijā starp noteiktu subjektu loku, un atbilstoši vidēja termiņa budžeta ietvara likuma projekta un gadskārtējā valsts budžeta likuma projekta izstrādes un iesniegšanas grafikam iesniegt izskatīšanai Ministru kabinetā priekšlikumus par veicamajiem pasākumiem šo risinājumu ieviešanai. Šajā apakšpunktā noteiktā uzdevuma izpildei nepieciešamos likumprojektus iekļaut valsts budžeta 2017.gadam likumprojektu paketē;</w:t>
      </w:r>
    </w:p>
    <w:p w:rsidR="00767892" w:rsidRPr="004F29C7" w:rsidRDefault="00767892" w:rsidP="00B020CC">
      <w:pPr>
        <w:numPr>
          <w:ilvl w:val="1"/>
          <w:numId w:val="16"/>
        </w:numPr>
        <w:spacing w:before="40" w:after="40"/>
        <w:ind w:left="567" w:hanging="567"/>
        <w:jc w:val="both"/>
        <w:rPr>
          <w:rFonts w:cs="Times New Roman"/>
          <w:szCs w:val="24"/>
        </w:rPr>
      </w:pPr>
      <w:r w:rsidRPr="004F29C7">
        <w:rPr>
          <w:rFonts w:cs="Times New Roman"/>
          <w:szCs w:val="24"/>
        </w:rPr>
        <w:t xml:space="preserve">Tieslietu ministrijai sadarbībā ar Ģenerālprokuratūru, Finanšu ministriju (Valsts ieņēmumu dienestu) un </w:t>
      </w:r>
      <w:proofErr w:type="spellStart"/>
      <w:r w:rsidRPr="004F29C7">
        <w:rPr>
          <w:rFonts w:cs="Times New Roman"/>
          <w:szCs w:val="24"/>
        </w:rPr>
        <w:t>Iekšlietu</w:t>
      </w:r>
      <w:proofErr w:type="spellEnd"/>
      <w:r w:rsidRPr="004F29C7">
        <w:rPr>
          <w:rFonts w:cs="Times New Roman"/>
          <w:szCs w:val="24"/>
        </w:rPr>
        <w:t xml:space="preserve"> ministriju sagatavot un atbilstoši vidēja termiņa budžeta ietvara likuma projekta un gadskārtējā valsts budžeta likuma projekta izstrādes un iesniegšanas grafikam iesniegt izskatīšanai Ministru kabinetā priekšlikumus par kriminālprocesu skaita, kas negatīvi ietekmē izmeklēšanas darba efektivitāti, samazināšanu, izstrādājot priekšlikumus grozījumiem normatīvajos aktos ar mērķi pārskatīt izmeklēšanas kārtību. Šajā apakšpunktā noteiktā uzdevuma izpildei nepieciešamos likumprojektus iekļaut valsts budžeta 2017.gadam likumprojektu paketē;</w:t>
      </w:r>
    </w:p>
    <w:p w:rsidR="00767892" w:rsidRPr="004F29C7" w:rsidRDefault="00767892" w:rsidP="00B020CC">
      <w:pPr>
        <w:numPr>
          <w:ilvl w:val="1"/>
          <w:numId w:val="16"/>
        </w:numPr>
        <w:spacing w:before="40" w:after="40"/>
        <w:ind w:left="567" w:hanging="567"/>
        <w:jc w:val="both"/>
        <w:rPr>
          <w:rFonts w:cs="Times New Roman"/>
          <w:szCs w:val="24"/>
        </w:rPr>
      </w:pPr>
      <w:r w:rsidRPr="004F29C7">
        <w:rPr>
          <w:rFonts w:cs="Times New Roman"/>
          <w:szCs w:val="24"/>
        </w:rPr>
        <w:t xml:space="preserve">Vides aizsardzības un reģionālās attīstības ministrijai līdz 2016.gada 1.jūlijam precizēt budžeta bāzes izdevumus, pārdalot no budžeta apakšprogrammas 33.01.00 “Emisijas kvotu izsolīšanas instrumenta administrācija” plānoto finansējumu 2017.gadam un 2018.gadam 445 000 </w:t>
      </w:r>
      <w:proofErr w:type="spellStart"/>
      <w:r w:rsidRPr="004F29C7">
        <w:rPr>
          <w:rFonts w:cs="Times New Roman"/>
          <w:i/>
          <w:szCs w:val="24"/>
        </w:rPr>
        <w:t>euro</w:t>
      </w:r>
      <w:proofErr w:type="spellEnd"/>
      <w:r w:rsidRPr="004F29C7">
        <w:rPr>
          <w:rFonts w:cs="Times New Roman"/>
          <w:szCs w:val="24"/>
        </w:rPr>
        <w:t xml:space="preserve"> apmērā ik gadu un no budžeta apakšprogrammas 33.02.00 “Emisijas kvotu izsolīšanas instrumenta projekti” 2017.gadam 5 500 000 </w:t>
      </w:r>
      <w:proofErr w:type="spellStart"/>
      <w:r w:rsidRPr="004F29C7">
        <w:rPr>
          <w:rFonts w:cs="Times New Roman"/>
          <w:i/>
          <w:szCs w:val="24"/>
        </w:rPr>
        <w:t>euro</w:t>
      </w:r>
      <w:proofErr w:type="spellEnd"/>
      <w:r w:rsidRPr="004F29C7">
        <w:rPr>
          <w:rFonts w:cs="Times New Roman"/>
          <w:szCs w:val="24"/>
        </w:rPr>
        <w:t xml:space="preserve"> un 2018.gadam 7 500 000 </w:t>
      </w:r>
      <w:proofErr w:type="spellStart"/>
      <w:r w:rsidRPr="004F29C7">
        <w:rPr>
          <w:rFonts w:cs="Times New Roman"/>
          <w:i/>
          <w:szCs w:val="24"/>
        </w:rPr>
        <w:t>euro</w:t>
      </w:r>
      <w:proofErr w:type="spellEnd"/>
      <w:r w:rsidRPr="004F29C7">
        <w:rPr>
          <w:rFonts w:cs="Times New Roman"/>
          <w:szCs w:val="24"/>
        </w:rPr>
        <w:t xml:space="preserve"> apmērā uz budžeta resora “74.Gadskārtējā valsts budžeta izpildes procesā pārdalāmais finansējums” budžeta programmu 80.00.00 “Nesadalītais finansējums Eiropas Savienības politiku instrumentu un pārējās ārvalstu finanšu palīdzības līdzfinansēto projektu un pasākumu īstenošanai”, kā arī no budžeta apakšprogrammas 33.02.00 “Emisijas kvotu izsolīšanas instrumenta projekti” 2017.gadam 7 550 000 </w:t>
      </w:r>
      <w:proofErr w:type="spellStart"/>
      <w:r w:rsidRPr="004F29C7">
        <w:rPr>
          <w:rFonts w:cs="Times New Roman"/>
          <w:i/>
          <w:szCs w:val="24"/>
        </w:rPr>
        <w:t>euro</w:t>
      </w:r>
      <w:proofErr w:type="spellEnd"/>
      <w:r w:rsidRPr="004F29C7">
        <w:rPr>
          <w:rFonts w:cs="Times New Roman"/>
          <w:szCs w:val="24"/>
        </w:rPr>
        <w:t xml:space="preserve"> un 2018.gadam 5 550 000 </w:t>
      </w:r>
      <w:proofErr w:type="spellStart"/>
      <w:r w:rsidRPr="004F29C7">
        <w:rPr>
          <w:rFonts w:cs="Times New Roman"/>
          <w:i/>
          <w:szCs w:val="24"/>
        </w:rPr>
        <w:t>euro</w:t>
      </w:r>
      <w:proofErr w:type="spellEnd"/>
      <w:r w:rsidRPr="004F29C7">
        <w:rPr>
          <w:rFonts w:cs="Times New Roman"/>
          <w:szCs w:val="24"/>
        </w:rPr>
        <w:t xml:space="preserve"> apmērā uz budžeta resora “74.Gadskārtējā valsts budžeta izpildes procesā pārdalāmais </w:t>
      </w:r>
      <w:r w:rsidRPr="004F29C7">
        <w:rPr>
          <w:rFonts w:cs="Times New Roman"/>
          <w:szCs w:val="24"/>
        </w:rPr>
        <w:lastRenderedPageBreak/>
        <w:t>finansējums” budžeta programmu 02.00.00 “Līdzekļi neparedzētiem gadījumiem”, un iesniegt Finanšu ministrijā precizējumus bāzes izdevumos. Budžeta apakšprogrammā 33.02.00 “Emisijas kvotu izsolīšanas instrumenta projekti” turpmāk nodrošināt, ka izdevumi tiek plānoti atbilstoši faktiski apstiprināto projektu naudas plūsmu prognozēm, nepieciešamības gadījumā finanšu līdzekļus pieprasot normatīvajos aktos noteiktajā kārtībā no budžeta resora “74.Gadskārtējā valsts budžeta izpildes procesā pārdalāmais finansējums” budžeta programmas 80.00.00 “Nesadalītais finansējums Eiropas Savienības politiku instrumentu un pārējās ārvalstu finanšu palīdzības līdzfinansēto projektu un pasākumu īstenošanai”;</w:t>
      </w:r>
    </w:p>
    <w:p w:rsidR="00767892" w:rsidRPr="004F29C7" w:rsidRDefault="00767892" w:rsidP="00B020CC">
      <w:pPr>
        <w:numPr>
          <w:ilvl w:val="1"/>
          <w:numId w:val="16"/>
        </w:numPr>
        <w:spacing w:before="40" w:after="40"/>
        <w:ind w:left="567" w:hanging="567"/>
        <w:jc w:val="both"/>
        <w:rPr>
          <w:rFonts w:cs="Times New Roman"/>
          <w:szCs w:val="24"/>
        </w:rPr>
      </w:pPr>
      <w:r w:rsidRPr="004F29C7">
        <w:rPr>
          <w:rFonts w:cs="Times New Roman"/>
          <w:szCs w:val="24"/>
        </w:rPr>
        <w:t xml:space="preserve">Vides aizsardzības un reģionālās attīstības ministrijai līdz 2016.gada 1.jūlijam pārskatīt plānotos izdevumus, kas piešķirti saskaņā ar Ministru kabineta 2014.gada 26.februāra rīkojumu Nr.88 “Par finansējuma piešķiršanu Vides aizsardzības un reģionālās attīstības ministrijai nekustamā īpašuma Kronvalda bulvārī 6, Rīgā, nomas maksas, aprīkojuma un mēbeļu iegādes, pārcelšanās un citu saistīto izdevumu segšanai” un atbilstoši aktuālajai situācijai saistībā ar ministrijas pārcelšanos uz telpām Kronvalda bulvārī 6, Rīgā, sagatavot un iesniegt izskatīšanai Ministru kabinetā informatīvo ziņojumu un grozījumus iepriekš minētajā rīkojumā, vienlaikus </w:t>
      </w:r>
      <w:r>
        <w:rPr>
          <w:rFonts w:cs="Times New Roman"/>
          <w:szCs w:val="24"/>
        </w:rPr>
        <w:t xml:space="preserve">sniedzot priekšlikumus par </w:t>
      </w:r>
      <w:r w:rsidRPr="004F29C7">
        <w:rPr>
          <w:rFonts w:cs="Times New Roman"/>
          <w:szCs w:val="24"/>
        </w:rPr>
        <w:t>Vides aizsardzības un reģionālās attīstības ministrija</w:t>
      </w:r>
      <w:r w:rsidR="004C26E8">
        <w:rPr>
          <w:rFonts w:cs="Times New Roman"/>
          <w:szCs w:val="24"/>
        </w:rPr>
        <w:t>s turpmāku izvietošanu vienā ēkā (adresē)</w:t>
      </w:r>
      <w:r>
        <w:rPr>
          <w:rFonts w:cs="Times New Roman"/>
          <w:szCs w:val="24"/>
        </w:rPr>
        <w:t xml:space="preserve">. Atbilstoši šajā apakšpunktā minētajam </w:t>
      </w:r>
      <w:r w:rsidRPr="004F29C7">
        <w:rPr>
          <w:rFonts w:cs="Times New Roman"/>
          <w:szCs w:val="24"/>
        </w:rPr>
        <w:t>Vides aizsardzības un reģionālās attīstības ministrija</w:t>
      </w:r>
      <w:r>
        <w:rPr>
          <w:rFonts w:cs="Times New Roman"/>
          <w:szCs w:val="24"/>
        </w:rPr>
        <w:t xml:space="preserve">i </w:t>
      </w:r>
      <w:r w:rsidRPr="004F29C7">
        <w:rPr>
          <w:rFonts w:cs="Times New Roman"/>
          <w:szCs w:val="24"/>
        </w:rPr>
        <w:t>iesnie</w:t>
      </w:r>
      <w:r>
        <w:rPr>
          <w:rFonts w:cs="Times New Roman"/>
          <w:szCs w:val="24"/>
        </w:rPr>
        <w:t>g</w:t>
      </w:r>
      <w:r w:rsidRPr="004F29C7">
        <w:rPr>
          <w:rFonts w:cs="Times New Roman"/>
          <w:szCs w:val="24"/>
        </w:rPr>
        <w:t>t Finanšu ministrijā precizējumus bāzes izdevumos budžeta programmā 97.00.00 “Nozaru vadība un politikas plānošana”;</w:t>
      </w:r>
    </w:p>
    <w:p w:rsidR="00767892" w:rsidRPr="004F29C7" w:rsidRDefault="00767892" w:rsidP="00B020CC">
      <w:pPr>
        <w:numPr>
          <w:ilvl w:val="1"/>
          <w:numId w:val="16"/>
        </w:numPr>
        <w:spacing w:before="40" w:after="40"/>
        <w:ind w:left="567" w:hanging="567"/>
        <w:jc w:val="both"/>
        <w:rPr>
          <w:rFonts w:cs="Times New Roman"/>
          <w:szCs w:val="24"/>
        </w:rPr>
      </w:pPr>
      <w:r w:rsidRPr="004F29C7">
        <w:rPr>
          <w:rFonts w:cs="Times New Roman"/>
          <w:szCs w:val="24"/>
        </w:rPr>
        <w:t>Vides aizsardzības un reģionālās attīstības ministrijai sadarbībā ar Kultūras ministriju līdz 2016.gada 1.jūlijam izvērtēt valsts budžeta finansējuma novirzīšanas bezmaksas interneta un datoru izmantošanai pašvaldību publiskajās bibliotēkās aktualitāti, ņemot vērā, ka pamatā pašvaldību bibliotēku finansēšana būtu nodrošināma no pašvaldību budžeta līdzekļiem un iesniegt izskatīšanai Ministru kabinetā informatīvo ziņojumu par turpmāko rīcību;</w:t>
      </w:r>
    </w:p>
    <w:p w:rsidR="00767892" w:rsidRPr="004F29C7" w:rsidRDefault="00767892" w:rsidP="00B020CC">
      <w:pPr>
        <w:numPr>
          <w:ilvl w:val="1"/>
          <w:numId w:val="16"/>
        </w:numPr>
        <w:spacing w:before="40" w:after="40"/>
        <w:ind w:left="567" w:hanging="567"/>
        <w:jc w:val="both"/>
        <w:rPr>
          <w:rFonts w:cs="Times New Roman"/>
          <w:szCs w:val="24"/>
        </w:rPr>
      </w:pPr>
      <w:r w:rsidRPr="004F29C7">
        <w:rPr>
          <w:rFonts w:cs="Times New Roman"/>
          <w:szCs w:val="24"/>
        </w:rPr>
        <w:t xml:space="preserve">Kultūras ministrijai veikt nepieciešamos pasākumus, lai nodrošinātu plānoto ieņēmumu no sociāli tiesiskās izziņas sagatavošanas un izsniegšanas nodevas izpildi 2016., 2017. un 2018.gadā 498 005 </w:t>
      </w:r>
      <w:proofErr w:type="spellStart"/>
      <w:r w:rsidRPr="004F29C7">
        <w:rPr>
          <w:rFonts w:cs="Times New Roman"/>
          <w:i/>
          <w:iCs/>
          <w:szCs w:val="24"/>
        </w:rPr>
        <w:t>euro</w:t>
      </w:r>
      <w:proofErr w:type="spellEnd"/>
      <w:r w:rsidRPr="004F29C7">
        <w:rPr>
          <w:rFonts w:cs="Times New Roman"/>
          <w:szCs w:val="24"/>
        </w:rPr>
        <w:t xml:space="preserve"> apmērā katru gadu, tādējādi nodrošinot finansēšanas avotu Kultūras ministrijas budžeta programmas 21.00.00 “Kultūras mantojums” izdevumiem Latvijas Nacionālā arhīva darbības nodrošināšanai. Nenodrošinot sociāli tiesiskās izziņas sagatavošanas un izsniegšanas nodevas ieņēmumu izpildi plānotajā apmērā, Kultūras ministrijai sagatavot un līdz 2016.gada 29.jūlijam iesniegt izskatīšanai Ministru kabinetā priekšlikumus par atbilstošo izdevumu samazināšanu 2017. un 2018.gadam, ņemot vērā plānoto ieņēmumu faktiskās izpildes tendences;</w:t>
      </w:r>
    </w:p>
    <w:p w:rsidR="00767892" w:rsidRPr="004F29C7" w:rsidRDefault="00767892" w:rsidP="00B020CC">
      <w:pPr>
        <w:numPr>
          <w:ilvl w:val="1"/>
          <w:numId w:val="16"/>
        </w:numPr>
        <w:spacing w:before="40" w:after="40"/>
        <w:ind w:left="567" w:hanging="567"/>
        <w:jc w:val="both"/>
        <w:rPr>
          <w:rFonts w:cs="Times New Roman"/>
          <w:szCs w:val="24"/>
        </w:rPr>
      </w:pPr>
      <w:r w:rsidRPr="004F29C7">
        <w:rPr>
          <w:rFonts w:cs="Times New Roman"/>
          <w:szCs w:val="24"/>
        </w:rPr>
        <w:t>Kultūras ministrijai sagatavot un atbilstoši vidēja termiņa budžeta ietvara likuma projekta un gadskārtējā valsts budžeta likuma projekta izstrādes un iesniegšanas grafikam iesniegt izskatīšanai Ministru kabinetā priekšlikumus par valsts politikas sabiedrības integrācijas jomā finansējuma pārvaldības modeļa maiņu, virzoties uz vienotu un koordinētu valsts politikas īstenošanu sabiedrības integrācijas jomā, piemēram, minēto politikas jomu un attiecīgo finansējumu nododot vienas ministrijas atbildībā. Šajā apakšpunktā noteiktā uzdevuma izpildei nepieciešamos likumprojektus iekļaut valsts budžeta 2017.gadam likumprojektu paketē;</w:t>
      </w:r>
    </w:p>
    <w:p w:rsidR="00767892" w:rsidRPr="004F29C7" w:rsidRDefault="00767892" w:rsidP="00B020CC">
      <w:pPr>
        <w:numPr>
          <w:ilvl w:val="1"/>
          <w:numId w:val="16"/>
        </w:numPr>
        <w:spacing w:before="40" w:after="40"/>
        <w:ind w:left="567" w:hanging="567"/>
        <w:jc w:val="both"/>
        <w:rPr>
          <w:rFonts w:cs="Times New Roman"/>
          <w:szCs w:val="24"/>
        </w:rPr>
      </w:pPr>
      <w:r w:rsidRPr="004F29C7">
        <w:rPr>
          <w:rFonts w:cs="Times New Roman"/>
          <w:szCs w:val="24"/>
        </w:rPr>
        <w:t>Kultūras ministrijai sagatavot un līdz 2017.gada 1.martam iesniegt Ministru kabinetā priekšlikumus par sistemātisku ilgtermiņa risinājumu īpaši atzīmējamo svētku un atceres pasākumu nodrošināšanai un finansēšanai;</w:t>
      </w:r>
    </w:p>
    <w:p w:rsidR="00767892" w:rsidRPr="004F29C7" w:rsidRDefault="00767892" w:rsidP="00B020CC">
      <w:pPr>
        <w:numPr>
          <w:ilvl w:val="1"/>
          <w:numId w:val="16"/>
        </w:numPr>
        <w:spacing w:before="40" w:after="40"/>
        <w:ind w:left="567" w:hanging="567"/>
        <w:jc w:val="both"/>
        <w:rPr>
          <w:rFonts w:cs="Times New Roman"/>
          <w:szCs w:val="24"/>
        </w:rPr>
      </w:pPr>
      <w:r w:rsidRPr="004F29C7">
        <w:rPr>
          <w:rFonts w:cs="Times New Roman"/>
          <w:szCs w:val="24"/>
        </w:rPr>
        <w:t>Kultūras ministrijai sagatavot un līdz 2016.gada 1.septembrim iesniegt izskatīšanai Ministru kabinetā priekšlikumus, paredzot nacionālo kultūrizglītības pasūtījumu piešķirto valsts budžeta līdzekļu ietvaros;</w:t>
      </w:r>
    </w:p>
    <w:p w:rsidR="00767892" w:rsidRDefault="00767892" w:rsidP="00B020CC">
      <w:pPr>
        <w:numPr>
          <w:ilvl w:val="1"/>
          <w:numId w:val="16"/>
        </w:numPr>
        <w:tabs>
          <w:tab w:val="left" w:pos="567"/>
        </w:tabs>
        <w:spacing w:before="40" w:after="40"/>
        <w:ind w:left="567" w:hanging="567"/>
        <w:jc w:val="both"/>
        <w:rPr>
          <w:rFonts w:cs="Times New Roman"/>
          <w:szCs w:val="24"/>
        </w:rPr>
      </w:pPr>
      <w:r w:rsidRPr="004F29C7">
        <w:rPr>
          <w:rFonts w:cs="Times New Roman"/>
          <w:szCs w:val="24"/>
        </w:rPr>
        <w:lastRenderedPageBreak/>
        <w:t>Lai nodrošinātu iedzīvotājiem kvalitatīvu veselības aprūpes pieejamību visā Latvijas teritorijā, Veselības ministrijai, tai skaitā izmantojot Pasaules bankas pētījuma rezultātus, sagatavot un līdz 2016.gada 5.augustam iesniegt izskatīšanai Ministru kabinetā priekšlikumus par strukturālām reformām veselības aprūpes pakalpojumu sniedzēju struktūrā, skaitā un sniegto pakalpojumu profilā un apjomā. Jautājums par papildu valsts budžeta finansējuma piešķiršanu ir skatāms tikai pēc minēto strukturālo reformu atbalstīšanas Ministru kabinetā</w:t>
      </w:r>
      <w:r>
        <w:rPr>
          <w:rFonts w:cs="Times New Roman"/>
          <w:szCs w:val="24"/>
        </w:rPr>
        <w:t>;</w:t>
      </w:r>
    </w:p>
    <w:p w:rsidR="00767892" w:rsidRPr="004F29C7" w:rsidRDefault="00767892" w:rsidP="00B020CC">
      <w:pPr>
        <w:numPr>
          <w:ilvl w:val="1"/>
          <w:numId w:val="16"/>
        </w:numPr>
        <w:tabs>
          <w:tab w:val="left" w:pos="567"/>
        </w:tabs>
        <w:spacing w:before="40" w:after="40"/>
        <w:ind w:left="567" w:hanging="567"/>
        <w:jc w:val="both"/>
        <w:rPr>
          <w:rFonts w:cs="Times New Roman"/>
          <w:szCs w:val="24"/>
        </w:rPr>
      </w:pPr>
      <w:r>
        <w:rPr>
          <w:rFonts w:cs="Times New Roman"/>
          <w:szCs w:val="24"/>
        </w:rPr>
        <w:t>Lai nodrošinātu stratēģisku un efektīvu investīciju pārvaldību, Veselības ministrijai sagatavot un līdz 2016.gada 15.jūlijam iesniegt izskatīšanai Ministru kabinetā konceptuālā ziņojuma projektu par valsts īpašumā esošo ārstniecības iestāžu infrastruktūras attīstības plānu un šajā plānā paredzēt</w:t>
      </w:r>
      <w:r w:rsidR="00875865">
        <w:rPr>
          <w:rFonts w:cs="Times New Roman"/>
          <w:szCs w:val="24"/>
        </w:rPr>
        <w:t xml:space="preserve">o investīciju atdevi uz </w:t>
      </w:r>
      <w:r>
        <w:rPr>
          <w:rFonts w:cs="Times New Roman"/>
          <w:szCs w:val="24"/>
        </w:rPr>
        <w:t>veselības aprūpes pakalpojumu apjomu un kvalitāti;</w:t>
      </w:r>
    </w:p>
    <w:p w:rsidR="00767892" w:rsidRPr="004F29C7" w:rsidRDefault="00767892" w:rsidP="00B020CC">
      <w:pPr>
        <w:numPr>
          <w:ilvl w:val="1"/>
          <w:numId w:val="16"/>
        </w:numPr>
        <w:tabs>
          <w:tab w:val="left" w:pos="567"/>
        </w:tabs>
        <w:spacing w:before="40" w:after="40"/>
        <w:ind w:left="567" w:hanging="567"/>
        <w:jc w:val="both"/>
        <w:rPr>
          <w:rFonts w:cs="Times New Roman"/>
          <w:szCs w:val="24"/>
        </w:rPr>
      </w:pPr>
      <w:r w:rsidRPr="004F29C7">
        <w:rPr>
          <w:rFonts w:cs="Times New Roman"/>
          <w:szCs w:val="24"/>
        </w:rPr>
        <w:t>Lai nodrošinātu pilnvērtīgu Veselības ministrijas atbildību un valsts budžeta finansējuma sadalījumu atbilstoši tā izlietojuma mērķim, Veselības ministrijai pārskatīt funkciju sadalījumu starp Veselības ministriju un Nacionālo veselības dienestu, nodrošinot valsts budžeta finansējuma, rezultatīvo rādītāju plānošanas un politikas plānošanas funkcijas, kā arī normatīvo aktu izstrādes un uzraudzības funkcijas īstenošanu Veselības ministrijā, nepieciešamības gadījumā sagatavojot un līdz 2016.gada 1.jūlijam iesniedzot izskatīšanai Ministru kabinetā priekšlikumus par grozījumiem attiecīgajos normatīvajos aktos</w:t>
      </w:r>
      <w:r>
        <w:rPr>
          <w:rFonts w:cs="Times New Roman"/>
          <w:szCs w:val="24"/>
        </w:rPr>
        <w:t>;</w:t>
      </w:r>
    </w:p>
    <w:p w:rsidR="00767892" w:rsidRPr="004F29C7" w:rsidRDefault="00767892" w:rsidP="00B020CC">
      <w:pPr>
        <w:numPr>
          <w:ilvl w:val="1"/>
          <w:numId w:val="16"/>
        </w:numPr>
        <w:tabs>
          <w:tab w:val="left" w:pos="567"/>
        </w:tabs>
        <w:spacing w:before="40" w:after="40"/>
        <w:ind w:left="567" w:hanging="567"/>
        <w:jc w:val="both"/>
        <w:rPr>
          <w:rFonts w:cs="Times New Roman"/>
          <w:szCs w:val="24"/>
        </w:rPr>
      </w:pPr>
      <w:r w:rsidRPr="004F29C7">
        <w:rPr>
          <w:rFonts w:cs="Times New Roman"/>
          <w:szCs w:val="24"/>
        </w:rPr>
        <w:t>Veselības ministrijai pārskatīt references kārtību kompensējamo zāļu sistēmā, izvērtējot iespēju alternatīvo medikamentu iekļaušanai arī B un C kompensējamo medikamentu sarakstos, nepieciešamības gadījumā sagatavojot un līdz 2016.gada 30.septembrim iesniedzot izskatīšanai Ministru kabinetā grozījumus Ministru kabineta 2006.gada 31.oktobra noteikumos Nr.899 “</w:t>
      </w:r>
      <w:r w:rsidRPr="004F29C7">
        <w:rPr>
          <w:rFonts w:eastAsia="Times New Roman" w:cs="Times New Roman"/>
          <w:bCs/>
          <w:color w:val="222222"/>
          <w:szCs w:val="24"/>
          <w:lang w:eastAsia="lv-LV"/>
        </w:rPr>
        <w:t>Ambulatorajai ārstēšanai paredzēto zāļu un medicīnisko ierīču iegādes izdevumu kompensācijas kārtība”</w:t>
      </w:r>
      <w:r>
        <w:rPr>
          <w:rFonts w:eastAsia="Times New Roman" w:cs="Times New Roman"/>
          <w:bCs/>
          <w:color w:val="222222"/>
          <w:szCs w:val="24"/>
          <w:lang w:eastAsia="lv-LV"/>
        </w:rPr>
        <w:t>;</w:t>
      </w:r>
    </w:p>
    <w:p w:rsidR="00767892" w:rsidRPr="004F29C7" w:rsidRDefault="00767892" w:rsidP="00B020CC">
      <w:pPr>
        <w:numPr>
          <w:ilvl w:val="1"/>
          <w:numId w:val="16"/>
        </w:numPr>
        <w:tabs>
          <w:tab w:val="left" w:pos="567"/>
        </w:tabs>
        <w:spacing w:before="40" w:after="40"/>
        <w:ind w:left="567" w:hanging="567"/>
        <w:jc w:val="both"/>
        <w:rPr>
          <w:rFonts w:cs="Times New Roman"/>
          <w:szCs w:val="24"/>
        </w:rPr>
      </w:pPr>
      <w:r w:rsidRPr="004F29C7">
        <w:rPr>
          <w:rFonts w:eastAsia="Times New Roman" w:cs="Times New Roman"/>
          <w:bCs/>
          <w:color w:val="222222"/>
          <w:szCs w:val="24"/>
          <w:lang w:eastAsia="lv-LV"/>
        </w:rPr>
        <w:t xml:space="preserve">Veselības ministrijai </w:t>
      </w:r>
      <w:r w:rsidRPr="004F29C7">
        <w:rPr>
          <w:rFonts w:cs="Times New Roman"/>
          <w:szCs w:val="24"/>
        </w:rPr>
        <w:t>sagatavot un līdz 2016.gada 1.jūlijam iesniegt izskatīšanai Ministru kabinetā grozījumus Ministru kabineta 2013.gada 17.decembra noteikumos Nr.1529 “</w:t>
      </w:r>
      <w:r w:rsidRPr="004F29C7">
        <w:rPr>
          <w:rFonts w:eastAsia="Times New Roman" w:cs="Times New Roman"/>
          <w:bCs/>
          <w:color w:val="222222"/>
          <w:szCs w:val="24"/>
          <w:lang w:eastAsia="lv-LV"/>
        </w:rPr>
        <w:t xml:space="preserve">Veselības aprūpes organizēšanas un finansēšanas kārtība”, paredzot, ka sākot ar 2017.gada 1.janvāri </w:t>
      </w:r>
      <w:r w:rsidRPr="004F29C7">
        <w:rPr>
          <w:rFonts w:cs="Times New Roman"/>
          <w:szCs w:val="24"/>
        </w:rPr>
        <w:t>amortizācijas piemaksas daļa par tehnoloģiju līmeni datortomogrāfijas, ultrasonogrāfijas un magnētiskās rezonanses izmeklējumiem tiek noteikta vienotā (fiksētā) līmenī</w:t>
      </w:r>
      <w:r>
        <w:rPr>
          <w:rFonts w:cs="Times New Roman"/>
          <w:szCs w:val="24"/>
        </w:rPr>
        <w:t>;</w:t>
      </w:r>
    </w:p>
    <w:p w:rsidR="00767892" w:rsidRPr="004F29C7" w:rsidRDefault="00767892" w:rsidP="00B020CC">
      <w:pPr>
        <w:numPr>
          <w:ilvl w:val="1"/>
          <w:numId w:val="16"/>
        </w:numPr>
        <w:tabs>
          <w:tab w:val="left" w:pos="567"/>
        </w:tabs>
        <w:spacing w:before="40" w:after="40"/>
        <w:ind w:left="567" w:hanging="567"/>
        <w:jc w:val="both"/>
        <w:rPr>
          <w:rFonts w:cs="Times New Roman"/>
          <w:szCs w:val="24"/>
        </w:rPr>
      </w:pPr>
      <w:r w:rsidRPr="004F29C7">
        <w:rPr>
          <w:rFonts w:cs="Times New Roman"/>
          <w:szCs w:val="24"/>
        </w:rPr>
        <w:t>Veselības ministrijai sagatavot un līdz 2016.gada 30.septembrim iesniegt izskatīšanai Ministru kabinetā priekšlikumus par vienotu risinājumu centralizētai medikamentu iepirkumu organizēšanai valsts slimnīcās, izmantojot Elektronisko iepirkumu sistēmu</w:t>
      </w:r>
      <w:r>
        <w:rPr>
          <w:rFonts w:cs="Times New Roman"/>
          <w:szCs w:val="24"/>
        </w:rPr>
        <w:t>;</w:t>
      </w:r>
    </w:p>
    <w:p w:rsidR="00767892" w:rsidRPr="004F29C7" w:rsidRDefault="00767892" w:rsidP="00B020CC">
      <w:pPr>
        <w:numPr>
          <w:ilvl w:val="1"/>
          <w:numId w:val="16"/>
        </w:numPr>
        <w:tabs>
          <w:tab w:val="left" w:pos="567"/>
        </w:tabs>
        <w:spacing w:before="40" w:after="40"/>
        <w:ind w:left="567" w:hanging="567"/>
        <w:jc w:val="both"/>
        <w:rPr>
          <w:rFonts w:cs="Times New Roman"/>
          <w:szCs w:val="24"/>
        </w:rPr>
      </w:pPr>
      <w:r w:rsidRPr="004F29C7">
        <w:rPr>
          <w:rFonts w:cs="Times New Roman"/>
          <w:szCs w:val="24"/>
        </w:rPr>
        <w:t>Lai nodrošinātu veselības aprūpes budžeta caurskatāmību, Veselības ministrijai likumprojekta “Par valsts budžetu 2017.gadam” un likumprojekta “Par vidēja termiņa budžeta ietvaru 2017., 2018. un 2019.gadam” sagatavošanas un izskatīšanas procesā iesniegt Finanšu ministrijā priekšlikumu par budžeta apakšprogrammas 33.01.00 “Ārstniecība” un tās finansējuma sadalīšanu šādās apakšprogrammām:</w:t>
      </w:r>
    </w:p>
    <w:p w:rsidR="00767892" w:rsidRPr="004F29C7" w:rsidRDefault="00767892" w:rsidP="00B020CC">
      <w:pPr>
        <w:numPr>
          <w:ilvl w:val="2"/>
          <w:numId w:val="16"/>
        </w:numPr>
        <w:tabs>
          <w:tab w:val="left" w:pos="426"/>
        </w:tabs>
        <w:spacing w:before="40" w:after="40"/>
        <w:ind w:left="567" w:hanging="567"/>
        <w:jc w:val="both"/>
        <w:rPr>
          <w:rFonts w:cs="Times New Roman"/>
          <w:szCs w:val="24"/>
        </w:rPr>
      </w:pPr>
      <w:r w:rsidRPr="004F29C7">
        <w:rPr>
          <w:rFonts w:cs="Times New Roman"/>
          <w:szCs w:val="24"/>
        </w:rPr>
        <w:t>33.13.00 “Primārās ambulatorās veselības aprūpes nodrošināšana” (ģimenes ārstu, mājas aprūpes pakalpojumu, zobārstniecības);</w:t>
      </w:r>
    </w:p>
    <w:p w:rsidR="00767892" w:rsidRPr="004F29C7" w:rsidRDefault="00767892" w:rsidP="00B020CC">
      <w:pPr>
        <w:numPr>
          <w:ilvl w:val="2"/>
          <w:numId w:val="16"/>
        </w:numPr>
        <w:tabs>
          <w:tab w:val="left" w:pos="426"/>
        </w:tabs>
        <w:spacing w:before="40" w:after="40"/>
        <w:ind w:left="567" w:hanging="567"/>
        <w:jc w:val="both"/>
        <w:rPr>
          <w:rFonts w:cs="Times New Roman"/>
          <w:szCs w:val="24"/>
        </w:rPr>
      </w:pPr>
      <w:r w:rsidRPr="004F29C7">
        <w:rPr>
          <w:rFonts w:cs="Times New Roman"/>
          <w:szCs w:val="24"/>
        </w:rPr>
        <w:t>33.14.00 “Laboratorisko izmeklējumu nodrošināšana ambulatorajā aprūpē”;</w:t>
      </w:r>
    </w:p>
    <w:p w:rsidR="00767892" w:rsidRPr="004F29C7" w:rsidRDefault="00767892" w:rsidP="00B020CC">
      <w:pPr>
        <w:numPr>
          <w:ilvl w:val="2"/>
          <w:numId w:val="16"/>
        </w:numPr>
        <w:tabs>
          <w:tab w:val="left" w:pos="426"/>
        </w:tabs>
        <w:spacing w:before="40" w:after="40"/>
        <w:ind w:left="567" w:hanging="567"/>
        <w:jc w:val="both"/>
        <w:rPr>
          <w:rFonts w:cs="Times New Roman"/>
          <w:szCs w:val="24"/>
        </w:rPr>
      </w:pPr>
      <w:r w:rsidRPr="004F29C7">
        <w:rPr>
          <w:rFonts w:cs="Times New Roman"/>
          <w:szCs w:val="24"/>
        </w:rPr>
        <w:t>33.15.00 “Pārējo ambulatoro veselības aprūpes pakalpojumu nodrošināšana” (t.sk. sekundārās ambulatorās veselības aprūpes pakalpojumu – speciālistu konsultāciju un izmeklējumu, diagnostikas u.c. apmaksa (izņemot laboratoriskos izmeklējumus));</w:t>
      </w:r>
    </w:p>
    <w:p w:rsidR="00767892" w:rsidRPr="004F29C7" w:rsidRDefault="00767892" w:rsidP="00B020CC">
      <w:pPr>
        <w:numPr>
          <w:ilvl w:val="2"/>
          <w:numId w:val="16"/>
        </w:numPr>
        <w:tabs>
          <w:tab w:val="left" w:pos="426"/>
        </w:tabs>
        <w:spacing w:before="40" w:after="40"/>
        <w:ind w:left="567" w:hanging="567"/>
        <w:jc w:val="both"/>
        <w:rPr>
          <w:rFonts w:cs="Times New Roman"/>
          <w:szCs w:val="24"/>
        </w:rPr>
      </w:pPr>
      <w:r w:rsidRPr="004F29C7">
        <w:rPr>
          <w:rFonts w:cs="Times New Roman"/>
          <w:szCs w:val="24"/>
        </w:rPr>
        <w:t>33.16.00 “Neatliekamās medicīniskās palīdzības nodrošināšana stacionārās ārstniecības iestādēs”;</w:t>
      </w:r>
    </w:p>
    <w:p w:rsidR="00767892" w:rsidRPr="004F29C7" w:rsidRDefault="00767892" w:rsidP="00B020CC">
      <w:pPr>
        <w:numPr>
          <w:ilvl w:val="2"/>
          <w:numId w:val="16"/>
        </w:numPr>
        <w:tabs>
          <w:tab w:val="left" w:pos="426"/>
        </w:tabs>
        <w:spacing w:before="40" w:after="40"/>
        <w:ind w:left="567" w:hanging="567"/>
        <w:jc w:val="both"/>
        <w:rPr>
          <w:rFonts w:cs="Times New Roman"/>
          <w:szCs w:val="24"/>
        </w:rPr>
      </w:pPr>
      <w:r w:rsidRPr="004F29C7">
        <w:rPr>
          <w:rFonts w:cs="Times New Roman"/>
          <w:szCs w:val="24"/>
        </w:rPr>
        <w:t>33.17.00 “Plānveida stacionāro veselības aprūpes pakalpojumu nodrošināšana”;</w:t>
      </w:r>
    </w:p>
    <w:p w:rsidR="00767892" w:rsidRPr="004F29C7" w:rsidRDefault="00767892" w:rsidP="00B020CC">
      <w:pPr>
        <w:numPr>
          <w:ilvl w:val="2"/>
          <w:numId w:val="16"/>
        </w:numPr>
        <w:tabs>
          <w:tab w:val="left" w:pos="426"/>
        </w:tabs>
        <w:spacing w:before="40" w:after="40"/>
        <w:ind w:left="567" w:hanging="567"/>
        <w:jc w:val="both"/>
        <w:rPr>
          <w:rFonts w:cs="Times New Roman"/>
          <w:szCs w:val="24"/>
        </w:rPr>
      </w:pPr>
      <w:r w:rsidRPr="004F29C7">
        <w:rPr>
          <w:rFonts w:cs="Times New Roman"/>
          <w:szCs w:val="24"/>
        </w:rPr>
        <w:lastRenderedPageBreak/>
        <w:t>33.18.00 “Starptautiskie norēķini par sniegtajiem veselības aprūpes pakalpojumiem” (Apakšprogrammas 33.01.00 “Ārstniecība” finansējums norēķiniem ar ES un Eiropas ekonomiskās zonas valstīm par Latvijas iedzīvotājiem sniegtajiem pakalpojumiem un apakšprogrammas 37.03.00 “Krievijas Federācijas militāro pensionāru veselības aprūpe (no Krievijas Federācijas līdzekļiem)” finansējums).</w:t>
      </w:r>
    </w:p>
    <w:p w:rsidR="00767892" w:rsidRPr="004F29C7" w:rsidRDefault="00767892" w:rsidP="00B020CC">
      <w:pPr>
        <w:numPr>
          <w:ilvl w:val="1"/>
          <w:numId w:val="16"/>
        </w:numPr>
        <w:tabs>
          <w:tab w:val="left" w:pos="567"/>
        </w:tabs>
        <w:spacing w:before="40" w:after="40"/>
        <w:ind w:left="567" w:hanging="567"/>
        <w:jc w:val="both"/>
        <w:rPr>
          <w:rFonts w:cs="Times New Roman"/>
          <w:szCs w:val="24"/>
        </w:rPr>
      </w:pPr>
      <w:r w:rsidRPr="004F29C7">
        <w:rPr>
          <w:rFonts w:cs="Times New Roman"/>
          <w:szCs w:val="24"/>
        </w:rPr>
        <w:t>Valsts kancelejai sagatavot un līdz 2016.gada 1.jūlijam iesniegt izskatīšanai Ministru kabinetā priekšlikumus par amatu saskaņošanas kārtības optimizēšanu, samazinot ministriju un citu centrālo valsts iestāžu administratīvo slogu un ar to saistītās izmaksas, vienlaikus veicinot ministriju un citu centrālo valsts iestāžu atbildību par normatīvo aktu piemērošanu amatu klasifikācijas jomā.</w:t>
      </w:r>
    </w:p>
    <w:p w:rsidR="00767892" w:rsidRPr="004F29C7" w:rsidRDefault="00767892" w:rsidP="00B020CC">
      <w:pPr>
        <w:pStyle w:val="ListParagraph"/>
        <w:numPr>
          <w:ilvl w:val="0"/>
          <w:numId w:val="16"/>
        </w:numPr>
        <w:spacing w:before="40" w:after="40"/>
        <w:ind w:left="284" w:hanging="284"/>
        <w:contextualSpacing w:val="0"/>
        <w:jc w:val="both"/>
        <w:rPr>
          <w:szCs w:val="24"/>
        </w:rPr>
      </w:pPr>
      <w:r w:rsidRPr="004F29C7">
        <w:rPr>
          <w:szCs w:val="24"/>
        </w:rPr>
        <w:t xml:space="preserve">Pieņemt zināšanai, ka Finanšu ministrija Ministru kabineta 2016.gada 1.marta sēdē (prot.Nr,10, 51.§) apstiprinātajā valsts pamatbudžeta bāzē  2017., 2018. un 2019.gadam jau ir samazinājusi izdevumus valsts parāda apkalpošanai 2017.gadā, 2018.gadā 17 000 000 </w:t>
      </w:r>
      <w:proofErr w:type="spellStart"/>
      <w:r w:rsidRPr="004F29C7">
        <w:rPr>
          <w:i/>
          <w:szCs w:val="24"/>
        </w:rPr>
        <w:t>euro</w:t>
      </w:r>
      <w:proofErr w:type="spellEnd"/>
      <w:r w:rsidRPr="004F29C7">
        <w:rPr>
          <w:szCs w:val="24"/>
        </w:rPr>
        <w:t xml:space="preserve"> apmērā un 2019.gadā 15 600 000 </w:t>
      </w:r>
      <w:proofErr w:type="spellStart"/>
      <w:r w:rsidRPr="004F29C7">
        <w:rPr>
          <w:i/>
          <w:szCs w:val="24"/>
        </w:rPr>
        <w:t>euro</w:t>
      </w:r>
      <w:proofErr w:type="spellEnd"/>
      <w:r w:rsidRPr="004F29C7">
        <w:rPr>
          <w:szCs w:val="24"/>
        </w:rPr>
        <w:t xml:space="preserve"> apmērā un izdevumus Valsts ieņēmumu dienesta ēkas nomas maksai, apsaimniekošanas un uzturēšanas izdevumiem Talejas ielā 1, Rīgā 2017., 2018. un 2019.gadam 1 471 643 </w:t>
      </w:r>
      <w:proofErr w:type="spellStart"/>
      <w:r w:rsidRPr="004F29C7">
        <w:rPr>
          <w:i/>
          <w:szCs w:val="24"/>
        </w:rPr>
        <w:t>euro</w:t>
      </w:r>
      <w:proofErr w:type="spellEnd"/>
      <w:r w:rsidRPr="004F29C7">
        <w:rPr>
          <w:szCs w:val="24"/>
        </w:rPr>
        <w:t xml:space="preserve"> apmērā ik gadu.</w:t>
      </w:r>
    </w:p>
    <w:p w:rsidR="00767892" w:rsidRPr="004F29C7" w:rsidRDefault="00767892" w:rsidP="00B020CC">
      <w:pPr>
        <w:numPr>
          <w:ilvl w:val="0"/>
          <w:numId w:val="16"/>
        </w:numPr>
        <w:tabs>
          <w:tab w:val="left" w:pos="284"/>
        </w:tabs>
        <w:spacing w:before="40" w:after="40"/>
        <w:ind w:left="284" w:hanging="284"/>
        <w:jc w:val="both"/>
        <w:rPr>
          <w:rFonts w:cs="Times New Roman"/>
          <w:szCs w:val="24"/>
        </w:rPr>
      </w:pPr>
      <w:r w:rsidRPr="004F29C7">
        <w:rPr>
          <w:rFonts w:cs="Times New Roman"/>
          <w:szCs w:val="24"/>
        </w:rPr>
        <w:t>Lai uzlabotu publisko resursu izlietošanas efektivitāti un ekonomiskumu, ministrijām īstenot informatīvā ziņojuma 9.nodaļā ietvertos turpmāk veicamos pasākumus.</w:t>
      </w:r>
    </w:p>
    <w:p w:rsidR="00767892" w:rsidRPr="004F29C7" w:rsidRDefault="00767892" w:rsidP="00B020CC">
      <w:pPr>
        <w:numPr>
          <w:ilvl w:val="0"/>
          <w:numId w:val="16"/>
        </w:numPr>
        <w:spacing w:before="40" w:after="40"/>
        <w:ind w:left="284" w:hanging="284"/>
        <w:jc w:val="both"/>
        <w:rPr>
          <w:rFonts w:cs="Times New Roman"/>
          <w:szCs w:val="24"/>
        </w:rPr>
      </w:pPr>
      <w:r w:rsidRPr="004F29C7">
        <w:rPr>
          <w:rFonts w:cs="Times New Roman"/>
          <w:szCs w:val="24"/>
        </w:rPr>
        <w:t>Lai nodrošinātu valsts budžeta izdevumu atbilstību valstī noteiktajām politikas prioritātēm un sasniedzamajiem rezultātiem, kā arī faktiskajām finansiālajām iespējām, ministrijām sagatavot un atbilstoši vidēja termiņa budžeta ietvara likuma projekta un gadskārtējā valsts budžeta likuma projekta izstrādes un iesniegšanas grafikam iesniegt Ministru kabinetā priekšlikumus par grozījumiem likumos, iekļaujot tos valsts budžeta 2017.gadam likumprojektu paketē un paredzot izslēgt šādas finansējuma noteiktajā apmērā normas:</w:t>
      </w:r>
    </w:p>
    <w:p w:rsidR="00767892" w:rsidRPr="004F29C7" w:rsidRDefault="00767892" w:rsidP="00B020CC">
      <w:pPr>
        <w:numPr>
          <w:ilvl w:val="1"/>
          <w:numId w:val="16"/>
        </w:numPr>
        <w:tabs>
          <w:tab w:val="left" w:pos="426"/>
        </w:tabs>
        <w:spacing w:before="40" w:after="40"/>
        <w:ind w:left="426" w:hanging="426"/>
        <w:jc w:val="both"/>
        <w:rPr>
          <w:rFonts w:cs="Times New Roman"/>
          <w:szCs w:val="24"/>
        </w:rPr>
      </w:pPr>
      <w:r w:rsidRPr="004F29C7">
        <w:rPr>
          <w:rFonts w:cs="Times New Roman"/>
          <w:szCs w:val="24"/>
        </w:rPr>
        <w:t>Izglītības un zinātnes ministrijai:</w:t>
      </w:r>
    </w:p>
    <w:p w:rsidR="00767892" w:rsidRPr="004F29C7" w:rsidRDefault="00767892" w:rsidP="00B020CC">
      <w:pPr>
        <w:numPr>
          <w:ilvl w:val="2"/>
          <w:numId w:val="16"/>
        </w:numPr>
        <w:tabs>
          <w:tab w:val="left" w:pos="567"/>
        </w:tabs>
        <w:spacing w:before="40" w:after="40"/>
        <w:ind w:left="709" w:hanging="709"/>
        <w:jc w:val="both"/>
        <w:rPr>
          <w:rFonts w:cs="Times New Roman"/>
          <w:szCs w:val="24"/>
        </w:rPr>
      </w:pPr>
      <w:r w:rsidRPr="004F29C7">
        <w:rPr>
          <w:rFonts w:cs="Times New Roman"/>
          <w:szCs w:val="24"/>
        </w:rPr>
        <w:t>Augstskolu likuma 78.panta septīto daļu (ikgadēju finansējuma pieaugumu studijām valsts dibinātās augstskolās ne mazāku par 0,25 procentiem no iekšzemes kopprodukta, līdz valsts piešķirtais finansējums studijām valsts dibinātās augstskolās sasniedz vismaz divus procentus no iekšzemes kopprodukta);</w:t>
      </w:r>
    </w:p>
    <w:p w:rsidR="00767892" w:rsidRPr="004F29C7" w:rsidRDefault="00767892" w:rsidP="00B020CC">
      <w:pPr>
        <w:numPr>
          <w:ilvl w:val="2"/>
          <w:numId w:val="16"/>
        </w:numPr>
        <w:tabs>
          <w:tab w:val="left" w:pos="567"/>
        </w:tabs>
        <w:spacing w:before="40" w:after="40"/>
        <w:ind w:left="709" w:hanging="709"/>
        <w:jc w:val="both"/>
        <w:rPr>
          <w:rFonts w:cs="Times New Roman"/>
          <w:szCs w:val="24"/>
        </w:rPr>
      </w:pPr>
      <w:r w:rsidRPr="004F29C7">
        <w:rPr>
          <w:rFonts w:cs="Times New Roman"/>
          <w:szCs w:val="24"/>
        </w:rPr>
        <w:t>Zinātniskās darbības likuma 33.panta otro daļu (ikgadēju finansējuma pieaugumu zinātniskajai darbībai ne mazāku par 0,15 procentiem no iekšzemes kopprodukta, līdz valsts piešķirtais finansējums zinātniskajai darbībai sasniedz vismaz vienu procentu no iekšzemes kopprodukta);</w:t>
      </w:r>
    </w:p>
    <w:p w:rsidR="00767892" w:rsidRPr="004F29C7" w:rsidRDefault="00767892" w:rsidP="00B020CC">
      <w:pPr>
        <w:numPr>
          <w:ilvl w:val="2"/>
          <w:numId w:val="16"/>
        </w:numPr>
        <w:tabs>
          <w:tab w:val="left" w:pos="567"/>
        </w:tabs>
        <w:spacing w:before="40" w:after="40"/>
        <w:ind w:left="709" w:hanging="709"/>
        <w:jc w:val="both"/>
        <w:rPr>
          <w:rFonts w:cs="Times New Roman"/>
          <w:szCs w:val="24"/>
        </w:rPr>
      </w:pPr>
      <w:r w:rsidRPr="004F29C7">
        <w:rPr>
          <w:szCs w:val="24"/>
        </w:rPr>
        <w:t>Sporta likuma 13.panta pirmās daļas otro teikumu (budžeta apakšprogrammas “Augstas klases sasniegumu sports” finansējuma apmērs tiek noteikts ne mazāks kā iepriekšējā budžeta gadā);</w:t>
      </w:r>
    </w:p>
    <w:p w:rsidR="00767892" w:rsidRPr="004F29C7" w:rsidRDefault="00767892" w:rsidP="00B020CC">
      <w:pPr>
        <w:numPr>
          <w:ilvl w:val="1"/>
          <w:numId w:val="16"/>
        </w:numPr>
        <w:spacing w:before="40" w:after="40"/>
        <w:ind w:left="426" w:hanging="426"/>
        <w:jc w:val="both"/>
        <w:rPr>
          <w:rFonts w:cs="Times New Roman"/>
          <w:szCs w:val="24"/>
        </w:rPr>
      </w:pPr>
      <w:r w:rsidRPr="004F29C7">
        <w:rPr>
          <w:rFonts w:cs="Times New Roman"/>
          <w:szCs w:val="24"/>
        </w:rPr>
        <w:t>Zemkopības ministrijai Lauksaimniecības un lauku attīstības likuma 5.panta trešo daļu (valsts atbalsts lauksaimniecības attīstībai subsīdiju veidā nedrīkst būt mazāks par 2,5 procentiem no gada pamatbudžeta kopējiem izdevumiem, kas tiek segti no dotācijām no vispārējiem ieņēmumiem, atskaitot iemaksas Eiropas Savienības budžetā);</w:t>
      </w:r>
    </w:p>
    <w:p w:rsidR="00767892" w:rsidRPr="004F29C7" w:rsidRDefault="00767892" w:rsidP="00B020CC">
      <w:pPr>
        <w:numPr>
          <w:ilvl w:val="1"/>
          <w:numId w:val="16"/>
        </w:numPr>
        <w:tabs>
          <w:tab w:val="left" w:pos="426"/>
        </w:tabs>
        <w:spacing w:before="40" w:after="40"/>
        <w:ind w:left="426" w:hanging="426"/>
        <w:jc w:val="both"/>
        <w:rPr>
          <w:rFonts w:cs="Times New Roman"/>
          <w:szCs w:val="24"/>
        </w:rPr>
      </w:pPr>
      <w:r w:rsidRPr="004F29C7">
        <w:rPr>
          <w:rFonts w:cs="Times New Roman"/>
          <w:szCs w:val="24"/>
        </w:rPr>
        <w:t xml:space="preserve">Satiksmes ministrijai likuma “Par autoceļiem” 12.panta ceturto daļu (valsts budžeta finansējumu programmai “Valsts autoceļu fonds” veido prognozētie valsts budžeta ieņēmumi no transportlīdzekļu ekspluatācijas nodokļa, autoceļu lietošanas nodevas un 80 procenti no prognozētajiem valsts budžeta ieņēmumiem no akcīzes nodokļa par naftas produktiem, ja gadskārtējā valsts budžeta likumā nav noteikts citādi. Valsts autoceļu sakārtošanai un atjaunošanai finansējums tiek piešķirts saskaņā ar Valsts autoceļu sakārtošanas programmu. Plānojot gadskārtējo budžetu, valsts budžeta izdevumus programmai “Valsts autoceļu fonds’ samazina par summu, kas ceļu nozarei ir pieejama no Eiropas Savienības fondiem attiecīgajā finanšu gadā. Ikgadējai mērķdotācijai pašvaldību autoceļiem un ielām piešķirtais finansējums </w:t>
      </w:r>
      <w:r w:rsidRPr="004F29C7">
        <w:rPr>
          <w:rFonts w:cs="Times New Roman"/>
          <w:szCs w:val="24"/>
        </w:rPr>
        <w:lastRenderedPageBreak/>
        <w:t>nedrīkst būt mazāks par 25 procentiem no programmai “Valsts autoceļu fonds” piešķirtā valsts budžeta finansējuma, neskaitot prognozētos ieņēmumus no autoceļu lietošanas nodevas);</w:t>
      </w:r>
    </w:p>
    <w:p w:rsidR="00767892" w:rsidRPr="004F29C7" w:rsidRDefault="00767892" w:rsidP="00B020CC">
      <w:pPr>
        <w:numPr>
          <w:ilvl w:val="1"/>
          <w:numId w:val="16"/>
        </w:numPr>
        <w:spacing w:before="40" w:after="40"/>
        <w:ind w:left="426" w:hanging="426"/>
        <w:jc w:val="both"/>
        <w:rPr>
          <w:rFonts w:cs="Times New Roman"/>
          <w:szCs w:val="24"/>
        </w:rPr>
      </w:pPr>
      <w:r w:rsidRPr="004F29C7">
        <w:rPr>
          <w:rFonts w:cs="Times New Roman"/>
          <w:szCs w:val="24"/>
        </w:rPr>
        <w:t>Vides aizsardzības un reģionālās attīstības ministrijai Latvijas vides aizsardzības fonda likuma 5.pantu (fondam piešķirtā valsts budžeta dotācija no vispārējiem ieņēmumiem nevar būt mazāka kā iepriekšējā budžeta gadā);</w:t>
      </w:r>
    </w:p>
    <w:p w:rsidR="00767892" w:rsidRPr="004F29C7" w:rsidRDefault="00767892" w:rsidP="00B020CC">
      <w:pPr>
        <w:numPr>
          <w:ilvl w:val="1"/>
          <w:numId w:val="16"/>
        </w:numPr>
        <w:tabs>
          <w:tab w:val="left" w:pos="426"/>
        </w:tabs>
        <w:spacing w:before="40" w:after="40"/>
        <w:ind w:left="709" w:hanging="709"/>
        <w:jc w:val="both"/>
        <w:rPr>
          <w:rFonts w:cs="Times New Roman"/>
          <w:szCs w:val="24"/>
        </w:rPr>
      </w:pPr>
      <w:r w:rsidRPr="004F29C7">
        <w:rPr>
          <w:rFonts w:cs="Times New Roman"/>
          <w:szCs w:val="24"/>
        </w:rPr>
        <w:t>Kultūras ministrijai:</w:t>
      </w:r>
    </w:p>
    <w:p w:rsidR="00767892" w:rsidRPr="004F29C7" w:rsidRDefault="00767892" w:rsidP="00B020CC">
      <w:pPr>
        <w:numPr>
          <w:ilvl w:val="2"/>
          <w:numId w:val="16"/>
        </w:numPr>
        <w:tabs>
          <w:tab w:val="left" w:pos="567"/>
        </w:tabs>
        <w:spacing w:before="40" w:after="40"/>
        <w:ind w:left="709" w:hanging="709"/>
        <w:jc w:val="both"/>
        <w:rPr>
          <w:rFonts w:cs="Times New Roman"/>
          <w:szCs w:val="24"/>
        </w:rPr>
      </w:pPr>
      <w:r w:rsidRPr="004F29C7">
        <w:rPr>
          <w:rFonts w:cs="Times New Roman"/>
          <w:szCs w:val="24"/>
        </w:rPr>
        <w:t xml:space="preserve">Valsts </w:t>
      </w:r>
      <w:proofErr w:type="spellStart"/>
      <w:r w:rsidRPr="004F29C7">
        <w:rPr>
          <w:rFonts w:cs="Times New Roman"/>
          <w:szCs w:val="24"/>
        </w:rPr>
        <w:t>kultūrkapitāla</w:t>
      </w:r>
      <w:proofErr w:type="spellEnd"/>
      <w:r w:rsidRPr="004F29C7">
        <w:rPr>
          <w:rFonts w:cs="Times New Roman"/>
          <w:szCs w:val="24"/>
        </w:rPr>
        <w:t xml:space="preserve"> fonda likuma 5.panta otro daļu (valsts budžeta līdzekļu piešķīrums kārtējam gadam ir lielāks nekā iepriekšējā budžeta gadā);</w:t>
      </w:r>
    </w:p>
    <w:p w:rsidR="00767892" w:rsidRPr="004F29C7" w:rsidRDefault="00767892" w:rsidP="00B020CC">
      <w:pPr>
        <w:numPr>
          <w:ilvl w:val="2"/>
          <w:numId w:val="16"/>
        </w:numPr>
        <w:tabs>
          <w:tab w:val="left" w:pos="567"/>
        </w:tabs>
        <w:spacing w:before="40" w:after="40"/>
        <w:ind w:left="709" w:hanging="709"/>
        <w:jc w:val="both"/>
        <w:rPr>
          <w:rFonts w:cs="Times New Roman"/>
          <w:szCs w:val="24"/>
        </w:rPr>
      </w:pPr>
      <w:r w:rsidRPr="004F29C7">
        <w:rPr>
          <w:rFonts w:cs="Times New Roman"/>
          <w:szCs w:val="24"/>
        </w:rPr>
        <w:t>Elektronisko plašsaziņas līdzekļu likuma 70.panta pirmās daļas 1.punkta vārdus “turklāt tā nedrīkst būt mazāka kā iepriekšējā gadā”.</w:t>
      </w:r>
    </w:p>
    <w:p w:rsidR="00767892" w:rsidRPr="004F29C7" w:rsidRDefault="00767892" w:rsidP="00B020CC">
      <w:pPr>
        <w:pStyle w:val="ListParagraph"/>
        <w:numPr>
          <w:ilvl w:val="0"/>
          <w:numId w:val="16"/>
        </w:numPr>
        <w:tabs>
          <w:tab w:val="left" w:pos="567"/>
        </w:tabs>
        <w:spacing w:before="40" w:after="40"/>
        <w:ind w:left="426" w:hanging="426"/>
        <w:contextualSpacing w:val="0"/>
        <w:jc w:val="both"/>
        <w:rPr>
          <w:szCs w:val="24"/>
        </w:rPr>
      </w:pPr>
      <w:r w:rsidRPr="004F29C7">
        <w:rPr>
          <w:szCs w:val="24"/>
        </w:rPr>
        <w:t>Satiksmes ministrijai sagatavot grozījumus Transportlīdzekļa ekspluatācijas nodokļa un uzņēmumu vieglo transportlīdzekļu nodokļa likumā, aizstājot pārejas noteikumu 9.punktā skaitļus un vārdus “2017.gada 1.janvārī” ar skaitļiem un vārdiem “2018.gada 1.janvārī” un iekļaut valsts budžeta 2017.gadam likumprojektu paketē.</w:t>
      </w:r>
    </w:p>
    <w:p w:rsidR="00767892" w:rsidRPr="004F29C7" w:rsidRDefault="00767892" w:rsidP="00B020CC">
      <w:pPr>
        <w:pStyle w:val="ListParagraph"/>
        <w:numPr>
          <w:ilvl w:val="0"/>
          <w:numId w:val="16"/>
        </w:numPr>
        <w:spacing w:before="40" w:after="40"/>
        <w:ind w:left="360"/>
        <w:contextualSpacing w:val="0"/>
        <w:jc w:val="both"/>
        <w:rPr>
          <w:szCs w:val="24"/>
        </w:rPr>
      </w:pPr>
      <w:r w:rsidRPr="004F29C7">
        <w:rPr>
          <w:szCs w:val="24"/>
        </w:rPr>
        <w:t xml:space="preserve">Satiksmes ministrijai sagatavot grozījumus Likumā par ostām, atceļot pienākumu ostu pārvaldēm ieskaitīt valsts pamatbudžetā maksājumu par valsts stratēģiskās infrastruktūras izmantošanu, un likumprojektu iekļaut valsts budžeta 2017.gadam likumprojektu paketē. </w:t>
      </w:r>
    </w:p>
    <w:p w:rsidR="00767892" w:rsidRPr="004F29C7" w:rsidRDefault="00767892" w:rsidP="00B020CC">
      <w:pPr>
        <w:pStyle w:val="ListParagraph"/>
        <w:numPr>
          <w:ilvl w:val="0"/>
          <w:numId w:val="16"/>
        </w:numPr>
        <w:spacing w:before="40" w:after="40"/>
        <w:ind w:left="360"/>
        <w:contextualSpacing w:val="0"/>
        <w:jc w:val="both"/>
        <w:rPr>
          <w:szCs w:val="24"/>
        </w:rPr>
      </w:pPr>
      <w:r w:rsidRPr="004F29C7">
        <w:rPr>
          <w:szCs w:val="24"/>
        </w:rPr>
        <w:t xml:space="preserve">Satiksmes ministrijai precizēt un samazināt  valsts pamatbudžeta  bāzes izdevumus  budžeta programmā  45.00.00 “Ostu publiskās lietošanas infrastruktūras attīstība”  4 788 721 </w:t>
      </w:r>
      <w:proofErr w:type="spellStart"/>
      <w:r w:rsidRPr="004F29C7">
        <w:rPr>
          <w:i/>
          <w:iCs/>
          <w:szCs w:val="24"/>
        </w:rPr>
        <w:t>euro</w:t>
      </w:r>
      <w:proofErr w:type="spellEnd"/>
      <w:r w:rsidRPr="004F29C7">
        <w:rPr>
          <w:szCs w:val="24"/>
        </w:rPr>
        <w:t xml:space="preserve"> apmērā, to likvidējot, un apakšprogrammā 23.06.00 “Valsts autoceļu pārvaldīšana, uzturēšana un atjaunošana” 532 080 </w:t>
      </w:r>
      <w:proofErr w:type="spellStart"/>
      <w:r w:rsidRPr="004F29C7">
        <w:rPr>
          <w:i/>
          <w:iCs/>
          <w:szCs w:val="24"/>
        </w:rPr>
        <w:t>euro</w:t>
      </w:r>
      <w:proofErr w:type="spellEnd"/>
      <w:r w:rsidRPr="004F29C7">
        <w:rPr>
          <w:i/>
          <w:iCs/>
          <w:szCs w:val="24"/>
        </w:rPr>
        <w:t xml:space="preserve"> </w:t>
      </w:r>
      <w:r w:rsidRPr="004F29C7">
        <w:rPr>
          <w:szCs w:val="24"/>
        </w:rPr>
        <w:t>apmērā 2017. gadam un turpmākajiem gadiem un līdz 2016.gada 1.jūlijam iesniegt Finanšu ministrijā attiecīgus priekšlikumus par bāzes izdevumu precizēšanu.</w:t>
      </w:r>
    </w:p>
    <w:p w:rsidR="00767892" w:rsidRPr="004F29C7" w:rsidRDefault="00767892" w:rsidP="00B020CC">
      <w:pPr>
        <w:numPr>
          <w:ilvl w:val="0"/>
          <w:numId w:val="16"/>
        </w:numPr>
        <w:spacing w:before="40" w:after="40"/>
        <w:ind w:left="426" w:hanging="426"/>
        <w:jc w:val="both"/>
        <w:rPr>
          <w:rFonts w:cs="Times New Roman"/>
          <w:szCs w:val="24"/>
        </w:rPr>
      </w:pPr>
      <w:r w:rsidRPr="004F29C7">
        <w:rPr>
          <w:rFonts w:cs="Times New Roman"/>
          <w:szCs w:val="24"/>
        </w:rPr>
        <w:t>Ministrijām un citām centrālajām valsts iestādēm pārskatīt budžeta programmām (apakšprogrammām) definētos mērķus, rezultātus un to rezultatīvos rādītājus un sniegt tādus priekšlikumus 2017.gada budžeta projekta izstrādes procesā (budžeta paskaidrojumos), lai mērķis būtu tieši saistīts ar attiecīgo politiku jomu galvenajiem izaicinājumiem, rezultāti un to rādītāji atspoguļotu mērķa sasniegšanas pakāpi un izdevumu efektivitāti, kā arī lai šī informācija kopumā nodokļu maksātājiem pilnvērtīgi raksturotu būtiskākos sabiedrības ieguvumus no publisko resursu izlietošanas. Aktualizējot mērķus, rezultātus un to rādītājus pēc iespējas izmantot labāko starptautisko praksi.</w:t>
      </w:r>
    </w:p>
    <w:p w:rsidR="00767892" w:rsidRPr="004F29C7" w:rsidRDefault="00767892" w:rsidP="00B020CC">
      <w:pPr>
        <w:numPr>
          <w:ilvl w:val="0"/>
          <w:numId w:val="16"/>
        </w:numPr>
        <w:tabs>
          <w:tab w:val="left" w:pos="426"/>
        </w:tabs>
        <w:spacing w:before="40" w:after="40"/>
        <w:ind w:left="426" w:hanging="426"/>
        <w:jc w:val="both"/>
        <w:rPr>
          <w:rFonts w:cs="Times New Roman"/>
          <w:szCs w:val="24"/>
        </w:rPr>
      </w:pPr>
      <w:r w:rsidRPr="004F29C7">
        <w:rPr>
          <w:rFonts w:cs="Times New Roman"/>
          <w:szCs w:val="24"/>
        </w:rPr>
        <w:t>Ministrijām un citām centrālajām valsts iestādēm sagatavot un līdz 2016.gada 1.jūlijam iesniegt izskatīšanai Ministru kabinetā priekšlikumus par valsts pamatbudžetā iemaksājamo valsts nodevu un citu maksājumu no valsts institūciju sniegtajiem pakalpojumiem un veiktās darbības palielināšanu vai pārtraukšanu, tajā skaitā izvērtējot, vai valsts pamatbudžetā iemaksājamo valsts nodevu un citu maksājumu administrēšana ir efektīva un ekonomiski pamatota. Šajā apakšpunktā noteiktā uzdevuma izpildei nepieciešamos likumprojektus iekļaut valsts budžeta 2017.gadam likumprojekta pavadošo likumu paketē.</w:t>
      </w:r>
    </w:p>
    <w:p w:rsidR="00767892" w:rsidRPr="004F29C7" w:rsidRDefault="00767892" w:rsidP="00B020CC">
      <w:pPr>
        <w:numPr>
          <w:ilvl w:val="0"/>
          <w:numId w:val="16"/>
        </w:numPr>
        <w:spacing w:before="40" w:after="40"/>
        <w:ind w:left="426" w:hanging="426"/>
        <w:jc w:val="both"/>
        <w:rPr>
          <w:rFonts w:cs="Times New Roman"/>
          <w:szCs w:val="24"/>
        </w:rPr>
      </w:pPr>
      <w:r w:rsidRPr="004F29C7">
        <w:rPr>
          <w:rFonts w:cs="Times New Roman"/>
          <w:szCs w:val="24"/>
        </w:rPr>
        <w:t>Ministrijām un citām centrālajām valsts iestādēm pārskatīt līdzšinējo budžeta plānošanas un izpildes praksi, samazinot apropriāciju regulāro izmaiņu veikšanu gadskārtējā valsts budžeta izpildes laikā (jo īpaši saimnieciskā gada pirmajā ceturksnī), un savlaicīgi sagatavot iespējami precīzus priekšlikumus gadskārtējam valsts budžeta likuma projektam.</w:t>
      </w:r>
    </w:p>
    <w:p w:rsidR="00767892" w:rsidRPr="004F29C7" w:rsidRDefault="00767892" w:rsidP="00B020CC">
      <w:pPr>
        <w:numPr>
          <w:ilvl w:val="0"/>
          <w:numId w:val="16"/>
        </w:numPr>
        <w:tabs>
          <w:tab w:val="left" w:pos="426"/>
        </w:tabs>
        <w:spacing w:before="40" w:after="40"/>
        <w:ind w:left="426" w:hanging="426"/>
        <w:jc w:val="both"/>
        <w:rPr>
          <w:rFonts w:cs="Times New Roman"/>
          <w:szCs w:val="24"/>
        </w:rPr>
      </w:pPr>
      <w:r w:rsidRPr="004F29C7">
        <w:rPr>
          <w:rFonts w:cs="Times New Roman"/>
          <w:szCs w:val="24"/>
        </w:rPr>
        <w:t xml:space="preserve">Ministrijām un citām centrālajām valsts iestādēm pārskatīt līdzšinējo budžeta plānošanas un izpildes praksi attiecībā uz ieņēmumiem par sniegtajiem maksas pakalpojumiem un citiem pašu ieņēmumiem, kā arī šiem ieņēmumiem atbilstošajiem izdevumiem, turpmāk pēc iespējas izmantojot šos ieņēmumus kārtējā gada atbilstošo izdevumu finansēšanai, kā arī uzlabojot plānošanas precizitāti. Finanšu ministrijai šo </w:t>
      </w:r>
      <w:proofErr w:type="spellStart"/>
      <w:r w:rsidRPr="004F29C7">
        <w:rPr>
          <w:rFonts w:cs="Times New Roman"/>
          <w:szCs w:val="24"/>
        </w:rPr>
        <w:t>problēmjautājumu</w:t>
      </w:r>
      <w:proofErr w:type="spellEnd"/>
      <w:r w:rsidRPr="004F29C7">
        <w:rPr>
          <w:rFonts w:cs="Times New Roman"/>
          <w:szCs w:val="24"/>
        </w:rPr>
        <w:t xml:space="preserve"> ņemt vērā, izstrādājot priekšlikumus izdevumu pārskatīšanas tvērumam 2017.gadā.</w:t>
      </w:r>
    </w:p>
    <w:p w:rsidR="00767892" w:rsidRPr="004F29C7" w:rsidRDefault="00767892" w:rsidP="00B020CC">
      <w:pPr>
        <w:numPr>
          <w:ilvl w:val="0"/>
          <w:numId w:val="16"/>
        </w:numPr>
        <w:tabs>
          <w:tab w:val="left" w:pos="426"/>
        </w:tabs>
        <w:spacing w:before="40" w:after="40"/>
        <w:ind w:left="426" w:hanging="426"/>
        <w:jc w:val="both"/>
        <w:rPr>
          <w:rFonts w:cs="Times New Roman"/>
          <w:szCs w:val="24"/>
        </w:rPr>
      </w:pPr>
      <w:r w:rsidRPr="004F29C7">
        <w:rPr>
          <w:rFonts w:cs="Times New Roman"/>
          <w:szCs w:val="24"/>
        </w:rPr>
        <w:lastRenderedPageBreak/>
        <w:t xml:space="preserve">Ministrijām un citām centrālajām valsts iestādēm izvērtēt un līdz 2017.gada 1.martam iesniegt Ministru kabinetā informāciju par normatīvajos aktos paredzētām attiecīgās ministrijas un </w:t>
      </w:r>
      <w:proofErr w:type="spellStart"/>
      <w:r w:rsidRPr="004F29C7">
        <w:rPr>
          <w:rFonts w:cs="Times New Roman"/>
          <w:szCs w:val="24"/>
        </w:rPr>
        <w:t>starpministriju</w:t>
      </w:r>
      <w:proofErr w:type="spellEnd"/>
      <w:r w:rsidRPr="004F29C7">
        <w:rPr>
          <w:rFonts w:cs="Times New Roman"/>
          <w:szCs w:val="24"/>
        </w:rPr>
        <w:t xml:space="preserve"> funkcijām (darbībām, pasākumiem, procesiem), apzinot tās funkcijas (darbības, pasākumus, procesus), kas no valsts prioritāšu viedokļa ir daļēji vai pilnībā zaudējušas aktualitāti (tajā skaitā, ilgstoši nav sasniegušas definētos politiku mērķus un rezultātus), ir iespējams mainīt izdevumu finansēšanas avotu, ir līdzīgas vai vienveidīgas vairāk kā vienai ministrijai (tās iestādei) un/vai citai centrālajai valsts iestādei, būtu īstenojamas efektīvāk un ekonomiskāk. Finanšu ministrijai, atbilstoši izdevumu pārskatīšanas tvērumam 2017.gadā, izmantot šajā punktā minēto informāciju izdevumu pārskatīšanas procesā saskaņā ar vidēja termiņa budžeta ietvara likuma projekta un gadskārtējā valsts budžeta likuma projekta izstrādes un iesniegšanas grafikā noteiktajiem termiņiem.</w:t>
      </w:r>
    </w:p>
    <w:p w:rsidR="00767892" w:rsidRPr="004F29C7" w:rsidRDefault="00767892" w:rsidP="00B020CC">
      <w:pPr>
        <w:numPr>
          <w:ilvl w:val="0"/>
          <w:numId w:val="16"/>
        </w:numPr>
        <w:tabs>
          <w:tab w:val="left" w:pos="426"/>
        </w:tabs>
        <w:spacing w:before="40" w:after="40"/>
        <w:ind w:left="426" w:hanging="426"/>
        <w:jc w:val="both"/>
        <w:rPr>
          <w:rFonts w:cs="Times New Roman"/>
          <w:szCs w:val="24"/>
        </w:rPr>
      </w:pPr>
      <w:r w:rsidRPr="004F29C7">
        <w:rPr>
          <w:rFonts w:cs="Times New Roman"/>
          <w:szCs w:val="24"/>
        </w:rPr>
        <w:t xml:space="preserve">Ministrijām un citām centrālajām valsts iestādēm sagatavot un līdz 2016.gada 1.jūlijam iesniegt izskatīšanai Ministru kabinetā priekšlikumus par ministriju, citu centrālo valsts iestāžu, ministriju padotībā, pakļautībā un pārraudzībā esošo iestāžu, tajā skaitā kapitālsabiedrību, īpašumā un valdījumā esošu nekustamo īpašumu pārvaldības </w:t>
      </w:r>
      <w:proofErr w:type="spellStart"/>
      <w:r w:rsidRPr="004F29C7">
        <w:rPr>
          <w:rFonts w:cs="Times New Roman"/>
          <w:szCs w:val="24"/>
        </w:rPr>
        <w:t>efektivizēšanas</w:t>
      </w:r>
      <w:proofErr w:type="spellEnd"/>
      <w:r w:rsidRPr="004F29C7">
        <w:rPr>
          <w:rFonts w:cs="Times New Roman"/>
          <w:szCs w:val="24"/>
        </w:rPr>
        <w:t xml:space="preserve"> iespējām, tajā skaitā izvērtējot lietderību nekustamo īpašumu atsavināšanai vai nodošanai valsts akciju sabiedrība “Valsts nekustamie īpašumi”. Ja šī uzdevuma izpildes rezultātā ministrijas un citas centrālās valsts iestādes nekustamo īpašumu atsavina, tad atsavināšanas ieņēmumi ir </w:t>
      </w:r>
      <w:r>
        <w:rPr>
          <w:rFonts w:cs="Times New Roman"/>
          <w:szCs w:val="24"/>
        </w:rPr>
        <w:t xml:space="preserve">daļēji </w:t>
      </w:r>
      <w:r w:rsidRPr="004F29C7">
        <w:rPr>
          <w:rFonts w:cs="Times New Roman"/>
          <w:szCs w:val="24"/>
        </w:rPr>
        <w:t xml:space="preserve">novirzāmi kopējiem valsts pamatbudžeta ieņēmumiem un  </w:t>
      </w:r>
      <w:r>
        <w:rPr>
          <w:rFonts w:cs="Times New Roman"/>
          <w:szCs w:val="24"/>
        </w:rPr>
        <w:t>daļēji</w:t>
      </w:r>
      <w:r w:rsidRPr="004F29C7">
        <w:rPr>
          <w:rFonts w:cs="Times New Roman"/>
          <w:szCs w:val="24"/>
        </w:rPr>
        <w:t xml:space="preserve"> attiecīgās ministrijas vai citas centrālās valsts iestādes resursiem izdevumu segšanai.</w:t>
      </w:r>
    </w:p>
    <w:p w:rsidR="00767892" w:rsidRPr="004F29C7" w:rsidRDefault="00767892" w:rsidP="00B020CC">
      <w:pPr>
        <w:numPr>
          <w:ilvl w:val="0"/>
          <w:numId w:val="16"/>
        </w:numPr>
        <w:tabs>
          <w:tab w:val="left" w:pos="426"/>
        </w:tabs>
        <w:spacing w:before="40" w:after="40"/>
        <w:ind w:left="360"/>
        <w:jc w:val="both"/>
        <w:rPr>
          <w:rFonts w:cs="Times New Roman"/>
          <w:szCs w:val="24"/>
        </w:rPr>
      </w:pPr>
      <w:r w:rsidRPr="004F29C7">
        <w:rPr>
          <w:rFonts w:cs="Times New Roman"/>
          <w:szCs w:val="24"/>
        </w:rPr>
        <w:t xml:space="preserve">Lai nodrošinātu papildu nepieciešamo finansējumu jauno politikas iniciatīvu finansēšanai, ministrijām un citām centrālajām valsts iestādēm primāri izvērtēt iespējas kā finansējuma avotu izmantot Eiropas Savienības politiku instrumentu un pārējās ārvalstu finanšu palīdzības resursus, jauno politikas iniciatīvu pieprasījumā iekļaujot attiecīgu </w:t>
      </w:r>
      <w:proofErr w:type="spellStart"/>
      <w:r w:rsidRPr="004F29C7">
        <w:rPr>
          <w:rFonts w:cs="Times New Roman"/>
          <w:szCs w:val="24"/>
        </w:rPr>
        <w:t>izvērtējumu</w:t>
      </w:r>
      <w:proofErr w:type="spellEnd"/>
      <w:r w:rsidRPr="004F29C7">
        <w:rPr>
          <w:rFonts w:cs="Times New Roman"/>
          <w:szCs w:val="24"/>
        </w:rPr>
        <w:t xml:space="preserve">. Ministrijām un citām centrālajām valsts iestādēm sagatavot un līdz 2016.gada 1.jūlijam iesniegt Finanšu ministrijā </w:t>
      </w:r>
      <w:r w:rsidRPr="004F29C7">
        <w:rPr>
          <w:rFonts w:cs="Times New Roman"/>
          <w:iCs/>
          <w:szCs w:val="24"/>
        </w:rPr>
        <w:t>apkopojumu par to rīcībā esošo informāciju attiecībā uz atbilstošiem Eiropas Savienības politiku instrumentiem un pārējās ārvalstu finanšu palīdzības resursiem, norādot attiecīgo finansējuma avotu, mērķus, nosacījumus un iespējas pieteikties uz finansējuma piešķiršanu konkrētajās nozarēs, kā arī no minētajiem instrumentiem jau īstenotos vai plānotos projektus un pasākumus.</w:t>
      </w:r>
    </w:p>
    <w:p w:rsidR="00767892" w:rsidRPr="004F29C7" w:rsidRDefault="00767892" w:rsidP="00B020CC">
      <w:pPr>
        <w:numPr>
          <w:ilvl w:val="0"/>
          <w:numId w:val="16"/>
        </w:numPr>
        <w:tabs>
          <w:tab w:val="left" w:pos="426"/>
        </w:tabs>
        <w:spacing w:before="40" w:after="40"/>
        <w:ind w:left="426" w:hanging="426"/>
        <w:jc w:val="both"/>
        <w:rPr>
          <w:rFonts w:cs="Times New Roman"/>
          <w:szCs w:val="24"/>
        </w:rPr>
      </w:pPr>
      <w:r w:rsidRPr="004F29C7">
        <w:rPr>
          <w:rFonts w:cs="Times New Roman"/>
          <w:szCs w:val="24"/>
        </w:rPr>
        <w:t xml:space="preserve">Ņemot vērā Latvijas iestāšanās procesa Ekonomiskās sadarbības un attīstības organizācijā (OECD) noslēgšanos, kā arī vispārēju nepieciešamību aktualizēt dalības un iemaksu starptautiskajās institūcijās lietderību, ministrijām un citām centrālajām valsts iestādēm sagatavot un līdz 2016.gada 1.jūlijam iesniegt Finanšu ministrijā un Ārlietu ministrijā </w:t>
      </w:r>
      <w:proofErr w:type="spellStart"/>
      <w:r w:rsidRPr="004F29C7">
        <w:rPr>
          <w:rFonts w:cs="Times New Roman"/>
          <w:szCs w:val="24"/>
        </w:rPr>
        <w:t>izvērtējumu</w:t>
      </w:r>
      <w:proofErr w:type="spellEnd"/>
      <w:r w:rsidRPr="004F29C7">
        <w:rPr>
          <w:rFonts w:cs="Times New Roman"/>
          <w:szCs w:val="24"/>
        </w:rPr>
        <w:t xml:space="preserve"> par turpmāku nepieciešamību Latvijas dalībai katrā no starptautiskajām institūcijām (vienlaikus iesniedz aktuālo sarakstu ar starptautiskajām organizācijām) ar mērķi optimizēt resursu izlietojumu starptautiskās sadarbības nodrošināšanai.</w:t>
      </w:r>
    </w:p>
    <w:p w:rsidR="00767892" w:rsidRPr="004F29C7" w:rsidRDefault="00767892" w:rsidP="00B020CC">
      <w:pPr>
        <w:numPr>
          <w:ilvl w:val="0"/>
          <w:numId w:val="16"/>
        </w:numPr>
        <w:tabs>
          <w:tab w:val="left" w:pos="426"/>
        </w:tabs>
        <w:spacing w:before="40" w:after="40"/>
        <w:ind w:left="426" w:hanging="426"/>
        <w:jc w:val="both"/>
        <w:rPr>
          <w:rFonts w:cs="Times New Roman"/>
          <w:szCs w:val="24"/>
        </w:rPr>
      </w:pPr>
      <w:r w:rsidRPr="004F29C7">
        <w:rPr>
          <w:rFonts w:cs="Times New Roman"/>
          <w:szCs w:val="24"/>
        </w:rPr>
        <w:t>Ministrijām un citām centrālajām valsts iestādēm sagatavot un līdz 2016.gada 1.jūlijam iesniegt Finanšu ministrijā informāciju par 2015. un 2016.gadā veiktajiem valsts budžeta izdevumiem komandējumiem iestāšanās procesa Ekonomiskās sadarbības un attīstības organizācijā (OECD) nodrošināšanai.</w:t>
      </w:r>
    </w:p>
    <w:p w:rsidR="00767892" w:rsidRPr="004F29C7" w:rsidRDefault="00767892" w:rsidP="00B020CC">
      <w:pPr>
        <w:numPr>
          <w:ilvl w:val="0"/>
          <w:numId w:val="16"/>
        </w:numPr>
        <w:tabs>
          <w:tab w:val="left" w:pos="426"/>
        </w:tabs>
        <w:spacing w:before="40" w:after="40"/>
        <w:ind w:left="426" w:hanging="426"/>
        <w:jc w:val="both"/>
        <w:rPr>
          <w:rFonts w:cs="Times New Roman"/>
          <w:szCs w:val="24"/>
        </w:rPr>
      </w:pPr>
      <w:r w:rsidRPr="004F29C7">
        <w:rPr>
          <w:rFonts w:cs="Times New Roman"/>
          <w:szCs w:val="24"/>
        </w:rPr>
        <w:t xml:space="preserve">Finanšu ministrijai un </w:t>
      </w:r>
      <w:proofErr w:type="spellStart"/>
      <w:r w:rsidRPr="004F29C7">
        <w:rPr>
          <w:rFonts w:cs="Times New Roman"/>
          <w:szCs w:val="24"/>
        </w:rPr>
        <w:t>Pārresoru</w:t>
      </w:r>
      <w:proofErr w:type="spellEnd"/>
      <w:r w:rsidRPr="004F29C7">
        <w:rPr>
          <w:rFonts w:cs="Times New Roman"/>
          <w:szCs w:val="24"/>
        </w:rPr>
        <w:t xml:space="preserve"> koordinācijas centram vērtēt līdz piecām augstākajām prioritātēm no ministriju un citu centrālo valsts iestāžu iesniegtā jauno politikas iniciatīvu saraksta. Ministrijām un citām centrālajām valsts iestādēm resursus izdevumu segšanai, atbilstoši šī </w:t>
      </w:r>
      <w:proofErr w:type="spellStart"/>
      <w:r w:rsidRPr="004F29C7">
        <w:rPr>
          <w:rFonts w:cs="Times New Roman"/>
          <w:szCs w:val="24"/>
        </w:rPr>
        <w:t>protokollēmuma</w:t>
      </w:r>
      <w:proofErr w:type="spellEnd"/>
      <w:r w:rsidRPr="004F29C7">
        <w:rPr>
          <w:rFonts w:cs="Times New Roman"/>
          <w:szCs w:val="24"/>
        </w:rPr>
        <w:t xml:space="preserve"> 3. un 4.punktā minētajam apmēram, novirzīt pirmajām piecām augstākajām prioritātēm no ministriju un citu centrālo valsts iestāžu iesniegtā jauno politikas iniciatīvu saraksta.</w:t>
      </w:r>
    </w:p>
    <w:p w:rsidR="00767892" w:rsidRPr="004F29C7" w:rsidRDefault="00767892" w:rsidP="00B020CC">
      <w:pPr>
        <w:numPr>
          <w:ilvl w:val="0"/>
          <w:numId w:val="16"/>
        </w:numPr>
        <w:tabs>
          <w:tab w:val="left" w:pos="426"/>
        </w:tabs>
        <w:spacing w:before="40" w:after="40"/>
        <w:ind w:left="426" w:hanging="426"/>
        <w:jc w:val="both"/>
        <w:rPr>
          <w:rFonts w:cs="Times New Roman"/>
          <w:szCs w:val="24"/>
        </w:rPr>
      </w:pPr>
      <w:r w:rsidRPr="004F29C7">
        <w:rPr>
          <w:rFonts w:cs="Times New Roman"/>
          <w:szCs w:val="24"/>
        </w:rPr>
        <w:t>Finanšu ministrijai, izstrādājot vidēja termiņa budžeta ietvara likuma projektu un gadskārtējā valsts budžeta likuma projektu, turpmāk izdevumu pozīcijai “Atlīdzība” neizdalīt atsevišķi  apakšpozīciju “Atalgojums”.</w:t>
      </w:r>
    </w:p>
    <w:p w:rsidR="00767892" w:rsidRPr="004F29C7" w:rsidRDefault="00767892" w:rsidP="00B020CC">
      <w:pPr>
        <w:numPr>
          <w:ilvl w:val="0"/>
          <w:numId w:val="16"/>
        </w:numPr>
        <w:tabs>
          <w:tab w:val="left" w:pos="426"/>
        </w:tabs>
        <w:spacing w:before="40" w:after="40"/>
        <w:ind w:left="426" w:hanging="426"/>
        <w:jc w:val="both"/>
        <w:rPr>
          <w:rFonts w:cs="Times New Roman"/>
          <w:szCs w:val="24"/>
        </w:rPr>
      </w:pPr>
      <w:r w:rsidRPr="004F29C7">
        <w:rPr>
          <w:rFonts w:cs="Times New Roman"/>
          <w:szCs w:val="24"/>
        </w:rPr>
        <w:lastRenderedPageBreak/>
        <w:t>Ekonomikas ministrijai, sākot ar 2017.gadu un turpmāk ik gadu, līdz kārtējā gada 1. jūlijam savā tīmekļa vietnē publicēt pieņēmumus par degvielas (naftas), gāzes un elektrības cenu prognozēm vai atsauci uz starptautisko institūciju prognozēm, ko ministrijas un citas centrālās valsts iestādes var izmantot budžeta pieprasījumu sagatavošanai vidējam termiņam.</w:t>
      </w:r>
    </w:p>
    <w:p w:rsidR="00767892" w:rsidRDefault="00767892" w:rsidP="00B020CC">
      <w:pPr>
        <w:numPr>
          <w:ilvl w:val="0"/>
          <w:numId w:val="16"/>
        </w:numPr>
        <w:spacing w:before="40" w:after="40"/>
        <w:ind w:left="426" w:hanging="426"/>
        <w:jc w:val="both"/>
        <w:rPr>
          <w:rFonts w:cs="Times New Roman"/>
          <w:szCs w:val="24"/>
        </w:rPr>
      </w:pPr>
      <w:r w:rsidRPr="004F29C7">
        <w:rPr>
          <w:rFonts w:cs="Times New Roman"/>
          <w:szCs w:val="24"/>
        </w:rPr>
        <w:t>Ministriju un citu centrālo valsts iestāžu vadītājiem piemērot informatīvā ziņojuma 8.pielikumā pievienotās Valsts pārvaldes iestādes administratīvo un tēla veidošanas pasākumu nodrošināšanas izdevumu vadlīnijas.</w:t>
      </w:r>
    </w:p>
    <w:p w:rsidR="00757C83" w:rsidRPr="00767892" w:rsidRDefault="00767892" w:rsidP="00B020CC">
      <w:pPr>
        <w:numPr>
          <w:ilvl w:val="0"/>
          <w:numId w:val="16"/>
        </w:numPr>
        <w:spacing w:before="40" w:after="40"/>
        <w:ind w:left="426" w:hanging="426"/>
        <w:jc w:val="both"/>
        <w:rPr>
          <w:rFonts w:cs="Times New Roman"/>
          <w:szCs w:val="24"/>
        </w:rPr>
      </w:pPr>
      <w:r w:rsidRPr="00767892">
        <w:rPr>
          <w:rFonts w:cs="Times New Roman"/>
          <w:szCs w:val="24"/>
        </w:rPr>
        <w:t>Lai ieviestu nodokļu politikas pasākumus, kas koriģē 2017.-2019.gada nodokļu ieņēmumu bāzi, Finanšu ministrijai līdz 2016.gada 29.jūlijam sagatavot un iesniegt Ministru kabinetā informatīvo ziņojumu par ieņēmumus palielinošiem pasākumiem, ietverot tajā ministriju priekšlikumus, kas izvērtējami un iesniedzami Finanšu ministrijā līdz 2016.gada 27.jūnijam.</w:t>
      </w:r>
    </w:p>
    <w:p w:rsidR="00757C83" w:rsidRDefault="00757C83" w:rsidP="00757C83">
      <w:pPr>
        <w:jc w:val="both"/>
        <w:rPr>
          <w:szCs w:val="24"/>
        </w:rPr>
      </w:pPr>
    </w:p>
    <w:p w:rsidR="00757C83" w:rsidRDefault="00757C83" w:rsidP="00757C83">
      <w:pPr>
        <w:jc w:val="both"/>
        <w:rPr>
          <w:szCs w:val="24"/>
        </w:rPr>
      </w:pPr>
    </w:p>
    <w:p w:rsidR="00B020CC" w:rsidRDefault="00B020CC" w:rsidP="00757C83">
      <w:pPr>
        <w:jc w:val="both"/>
        <w:rPr>
          <w:szCs w:val="24"/>
        </w:rPr>
      </w:pPr>
    </w:p>
    <w:p w:rsidR="00757C83" w:rsidRDefault="00757C83" w:rsidP="00757C83">
      <w:pPr>
        <w:jc w:val="both"/>
        <w:rPr>
          <w:szCs w:val="24"/>
        </w:rPr>
      </w:pPr>
    </w:p>
    <w:p w:rsidR="00757C83" w:rsidRDefault="00B93209" w:rsidP="001A18AB">
      <w:pPr>
        <w:ind w:firstLine="567"/>
        <w:jc w:val="both"/>
        <w:rPr>
          <w:szCs w:val="24"/>
        </w:rPr>
      </w:pPr>
      <w:r>
        <w:rPr>
          <w:szCs w:val="24"/>
        </w:rPr>
        <w:t xml:space="preserve">Ministre </w:t>
      </w:r>
      <w:r>
        <w:rPr>
          <w:szCs w:val="24"/>
        </w:rPr>
        <w:tab/>
      </w:r>
      <w:r>
        <w:rPr>
          <w:szCs w:val="24"/>
        </w:rPr>
        <w:tab/>
      </w:r>
      <w:r>
        <w:rPr>
          <w:szCs w:val="24"/>
        </w:rPr>
        <w:tab/>
      </w:r>
      <w:r>
        <w:rPr>
          <w:szCs w:val="24"/>
        </w:rPr>
        <w:tab/>
      </w:r>
      <w:r>
        <w:rPr>
          <w:szCs w:val="24"/>
        </w:rPr>
        <w:tab/>
      </w:r>
      <w:r>
        <w:rPr>
          <w:szCs w:val="24"/>
        </w:rPr>
        <w:tab/>
        <w:t xml:space="preserve">   </w:t>
      </w:r>
      <w:proofErr w:type="spellStart"/>
      <w:r w:rsidR="001A18AB">
        <w:rPr>
          <w:szCs w:val="24"/>
        </w:rPr>
        <w:t>D.Reizniece</w:t>
      </w:r>
      <w:proofErr w:type="spellEnd"/>
      <w:r w:rsidR="001A18AB">
        <w:rPr>
          <w:szCs w:val="24"/>
        </w:rPr>
        <w:t>-Ozola</w:t>
      </w:r>
    </w:p>
    <w:p w:rsidR="00757C83" w:rsidRDefault="00757C83" w:rsidP="00757C83">
      <w:pPr>
        <w:jc w:val="both"/>
        <w:rPr>
          <w:szCs w:val="24"/>
        </w:rPr>
      </w:pPr>
    </w:p>
    <w:p w:rsidR="00757C83" w:rsidRDefault="00757C83" w:rsidP="00757C83">
      <w:pPr>
        <w:jc w:val="both"/>
        <w:rPr>
          <w:szCs w:val="24"/>
        </w:rPr>
      </w:pPr>
    </w:p>
    <w:p w:rsidR="00757C83" w:rsidRDefault="00757C83" w:rsidP="00757C83">
      <w:pPr>
        <w:jc w:val="both"/>
        <w:rPr>
          <w:szCs w:val="24"/>
        </w:rPr>
      </w:pPr>
    </w:p>
    <w:p w:rsidR="00757C83" w:rsidRDefault="00757C83" w:rsidP="00757C83">
      <w:pPr>
        <w:jc w:val="both"/>
        <w:rPr>
          <w:szCs w:val="24"/>
        </w:rPr>
      </w:pPr>
    </w:p>
    <w:p w:rsidR="00757C83" w:rsidRDefault="00757C83" w:rsidP="00757C83">
      <w:pPr>
        <w:jc w:val="both"/>
        <w:rPr>
          <w:szCs w:val="24"/>
        </w:rPr>
      </w:pPr>
    </w:p>
    <w:p w:rsidR="00757C83" w:rsidRDefault="00757C83" w:rsidP="00757C83">
      <w:pPr>
        <w:jc w:val="both"/>
        <w:rPr>
          <w:szCs w:val="24"/>
        </w:rPr>
      </w:pPr>
    </w:p>
    <w:p w:rsidR="00757C83" w:rsidRDefault="00757C83" w:rsidP="00757C83">
      <w:pPr>
        <w:jc w:val="both"/>
        <w:rPr>
          <w:szCs w:val="24"/>
        </w:rPr>
      </w:pPr>
    </w:p>
    <w:p w:rsidR="00757C83" w:rsidRDefault="00757C83" w:rsidP="00757C83">
      <w:pPr>
        <w:jc w:val="both"/>
        <w:rPr>
          <w:szCs w:val="24"/>
        </w:rPr>
      </w:pPr>
    </w:p>
    <w:p w:rsidR="00757C83" w:rsidRDefault="00757C83" w:rsidP="00757C83">
      <w:pPr>
        <w:jc w:val="both"/>
        <w:rPr>
          <w:szCs w:val="24"/>
        </w:rPr>
      </w:pPr>
    </w:p>
    <w:p w:rsidR="00757C83" w:rsidRDefault="00757C83" w:rsidP="00757C83">
      <w:pPr>
        <w:jc w:val="both"/>
        <w:rPr>
          <w:szCs w:val="24"/>
        </w:rPr>
      </w:pPr>
    </w:p>
    <w:p w:rsidR="00757C83" w:rsidRDefault="00757C83" w:rsidP="00757C83">
      <w:pPr>
        <w:jc w:val="both"/>
        <w:rPr>
          <w:szCs w:val="24"/>
        </w:rPr>
      </w:pPr>
    </w:p>
    <w:p w:rsidR="00757C83" w:rsidRDefault="00757C83" w:rsidP="00757C83">
      <w:pPr>
        <w:jc w:val="both"/>
        <w:rPr>
          <w:szCs w:val="24"/>
        </w:rPr>
      </w:pPr>
    </w:p>
    <w:p w:rsidR="00757C83" w:rsidRDefault="00757C83" w:rsidP="00757C83">
      <w:pPr>
        <w:jc w:val="both"/>
        <w:rPr>
          <w:szCs w:val="24"/>
        </w:rPr>
      </w:pPr>
    </w:p>
    <w:p w:rsidR="00757C83" w:rsidRDefault="00757C83" w:rsidP="00757C83">
      <w:pPr>
        <w:jc w:val="both"/>
        <w:rPr>
          <w:szCs w:val="24"/>
        </w:rPr>
      </w:pPr>
    </w:p>
    <w:p w:rsidR="00757C83" w:rsidRDefault="00757C83" w:rsidP="00757C83">
      <w:pPr>
        <w:jc w:val="both"/>
        <w:rPr>
          <w:szCs w:val="24"/>
        </w:rPr>
      </w:pPr>
    </w:p>
    <w:p w:rsidR="00757C83" w:rsidRDefault="00757C83" w:rsidP="00757C83">
      <w:pPr>
        <w:jc w:val="both"/>
        <w:rPr>
          <w:szCs w:val="24"/>
        </w:rPr>
      </w:pPr>
    </w:p>
    <w:p w:rsidR="00B020CC" w:rsidRDefault="00B020CC" w:rsidP="00757C83">
      <w:pPr>
        <w:jc w:val="both"/>
        <w:rPr>
          <w:szCs w:val="24"/>
        </w:rPr>
      </w:pPr>
    </w:p>
    <w:p w:rsidR="00B020CC" w:rsidRDefault="00B020CC" w:rsidP="00757C83">
      <w:pPr>
        <w:jc w:val="both"/>
        <w:rPr>
          <w:szCs w:val="24"/>
        </w:rPr>
      </w:pPr>
    </w:p>
    <w:p w:rsidR="00B020CC" w:rsidRDefault="00B020CC" w:rsidP="00757C83">
      <w:pPr>
        <w:jc w:val="both"/>
        <w:rPr>
          <w:szCs w:val="24"/>
        </w:rPr>
      </w:pPr>
    </w:p>
    <w:p w:rsidR="00B020CC" w:rsidRDefault="00B020CC" w:rsidP="00757C83">
      <w:pPr>
        <w:jc w:val="both"/>
        <w:rPr>
          <w:szCs w:val="24"/>
        </w:rPr>
      </w:pPr>
    </w:p>
    <w:p w:rsidR="00B020CC" w:rsidRDefault="00B020CC" w:rsidP="00757C83">
      <w:pPr>
        <w:jc w:val="both"/>
        <w:rPr>
          <w:szCs w:val="24"/>
        </w:rPr>
      </w:pPr>
    </w:p>
    <w:p w:rsidR="00757C83" w:rsidRPr="000144BD" w:rsidRDefault="00757C83" w:rsidP="00757C83">
      <w:pPr>
        <w:rPr>
          <w:rFonts w:cs="Times New Roman"/>
          <w:sz w:val="20"/>
          <w:szCs w:val="20"/>
        </w:rPr>
      </w:pPr>
      <w:r w:rsidRPr="000144BD">
        <w:rPr>
          <w:rFonts w:cs="Times New Roman"/>
          <w:sz w:val="20"/>
          <w:szCs w:val="20"/>
        </w:rPr>
        <w:t>2</w:t>
      </w:r>
      <w:r>
        <w:rPr>
          <w:rFonts w:cs="Times New Roman"/>
          <w:sz w:val="20"/>
          <w:szCs w:val="20"/>
        </w:rPr>
        <w:t>6</w:t>
      </w:r>
      <w:r w:rsidRPr="000144BD">
        <w:rPr>
          <w:rFonts w:cs="Times New Roman"/>
          <w:sz w:val="20"/>
          <w:szCs w:val="20"/>
        </w:rPr>
        <w:t xml:space="preserve">.05.2016. </w:t>
      </w:r>
      <w:r w:rsidR="007D3943">
        <w:rPr>
          <w:rFonts w:cs="Times New Roman"/>
          <w:sz w:val="20"/>
          <w:szCs w:val="20"/>
        </w:rPr>
        <w:t>16:32</w:t>
      </w:r>
    </w:p>
    <w:p w:rsidR="00757C83" w:rsidRPr="000144BD" w:rsidRDefault="001C0150" w:rsidP="00757C83">
      <w:pPr>
        <w:rPr>
          <w:rFonts w:cs="Times New Roman"/>
          <w:sz w:val="20"/>
          <w:szCs w:val="20"/>
        </w:rPr>
      </w:pPr>
      <w:r>
        <w:rPr>
          <w:rFonts w:cs="Times New Roman"/>
          <w:sz w:val="20"/>
          <w:szCs w:val="20"/>
        </w:rPr>
        <w:t>22939</w:t>
      </w:r>
    </w:p>
    <w:p w:rsidR="00757C83" w:rsidRPr="000144BD" w:rsidRDefault="00757C83" w:rsidP="00757C83">
      <w:pPr>
        <w:rPr>
          <w:rFonts w:cs="Times New Roman"/>
          <w:sz w:val="20"/>
          <w:szCs w:val="20"/>
        </w:rPr>
      </w:pPr>
      <w:proofErr w:type="spellStart"/>
      <w:r w:rsidRPr="000144BD">
        <w:rPr>
          <w:rFonts w:cs="Times New Roman"/>
          <w:sz w:val="20"/>
          <w:szCs w:val="20"/>
        </w:rPr>
        <w:t>K.Stafecka</w:t>
      </w:r>
      <w:proofErr w:type="spellEnd"/>
    </w:p>
    <w:p w:rsidR="00757C83" w:rsidRPr="000144BD" w:rsidRDefault="00757C83" w:rsidP="00757C83">
      <w:pPr>
        <w:rPr>
          <w:rFonts w:cs="Times New Roman"/>
          <w:sz w:val="20"/>
          <w:szCs w:val="20"/>
        </w:rPr>
      </w:pPr>
      <w:r w:rsidRPr="000144BD">
        <w:rPr>
          <w:rFonts w:cs="Times New Roman"/>
          <w:sz w:val="20"/>
          <w:szCs w:val="20"/>
        </w:rPr>
        <w:t>Budžeta departamenta Valsts budžeta</w:t>
      </w:r>
    </w:p>
    <w:p w:rsidR="00757C83" w:rsidRPr="000144BD" w:rsidRDefault="00757C83" w:rsidP="00757C83">
      <w:pPr>
        <w:rPr>
          <w:rFonts w:cs="Times New Roman"/>
          <w:sz w:val="20"/>
          <w:szCs w:val="20"/>
        </w:rPr>
      </w:pPr>
      <w:r w:rsidRPr="000144BD">
        <w:rPr>
          <w:rFonts w:cs="Times New Roman"/>
          <w:sz w:val="20"/>
          <w:szCs w:val="20"/>
        </w:rPr>
        <w:t>politika</w:t>
      </w:r>
      <w:r w:rsidR="00B020CC">
        <w:rPr>
          <w:rFonts w:cs="Times New Roman"/>
          <w:sz w:val="20"/>
          <w:szCs w:val="20"/>
        </w:rPr>
        <w:t>s</w:t>
      </w:r>
      <w:r w:rsidRPr="000144BD">
        <w:rPr>
          <w:rFonts w:cs="Times New Roman"/>
          <w:sz w:val="20"/>
          <w:szCs w:val="20"/>
        </w:rPr>
        <w:t xml:space="preserve"> un kopsavilkuma nodaļas vadītāja vietniece</w:t>
      </w:r>
    </w:p>
    <w:p w:rsidR="00757C83" w:rsidRPr="000144BD" w:rsidRDefault="00757C83" w:rsidP="00757C83">
      <w:pPr>
        <w:rPr>
          <w:rFonts w:cs="Times New Roman"/>
          <w:sz w:val="20"/>
          <w:szCs w:val="20"/>
        </w:rPr>
      </w:pPr>
      <w:r w:rsidRPr="000144BD">
        <w:rPr>
          <w:rFonts w:cs="Times New Roman"/>
          <w:sz w:val="20"/>
          <w:szCs w:val="20"/>
        </w:rPr>
        <w:t>T. 67095438</w:t>
      </w:r>
    </w:p>
    <w:p w:rsidR="00DF1643" w:rsidRPr="001A18AB" w:rsidRDefault="00EF7FEF" w:rsidP="001A18AB">
      <w:pPr>
        <w:rPr>
          <w:rFonts w:cs="Times New Roman"/>
          <w:sz w:val="20"/>
          <w:szCs w:val="20"/>
        </w:rPr>
      </w:pPr>
      <w:hyperlink r:id="rId69" w:history="1">
        <w:r w:rsidR="00757C83" w:rsidRPr="000144BD">
          <w:rPr>
            <w:rStyle w:val="Hyperlink"/>
            <w:rFonts w:cs="Times New Roman"/>
            <w:sz w:val="20"/>
            <w:szCs w:val="20"/>
          </w:rPr>
          <w:t>Klinta.Stafecka@fm.gov.lv</w:t>
        </w:r>
      </w:hyperlink>
      <w:r w:rsidR="00757C83" w:rsidRPr="000144BD">
        <w:rPr>
          <w:rFonts w:cs="Times New Roman"/>
          <w:sz w:val="20"/>
          <w:szCs w:val="20"/>
        </w:rPr>
        <w:t xml:space="preserve"> </w:t>
      </w:r>
    </w:p>
    <w:p w:rsidR="00DF1643" w:rsidRDefault="00DF1643" w:rsidP="00DF1643">
      <w:pPr>
        <w:tabs>
          <w:tab w:val="left" w:pos="426"/>
        </w:tabs>
        <w:jc w:val="both"/>
        <w:rPr>
          <w:rFonts w:cs="Times New Roman"/>
          <w:szCs w:val="24"/>
        </w:rPr>
      </w:pPr>
    </w:p>
    <w:p w:rsidR="00DF1643" w:rsidRDefault="00DF1643" w:rsidP="00DF1643">
      <w:pPr>
        <w:tabs>
          <w:tab w:val="left" w:pos="426"/>
        </w:tabs>
        <w:jc w:val="both"/>
        <w:rPr>
          <w:rFonts w:cs="Times New Roman"/>
          <w:szCs w:val="24"/>
        </w:rPr>
      </w:pPr>
    </w:p>
    <w:p w:rsidR="00DF1643" w:rsidRDefault="00DF1643" w:rsidP="00DF1643">
      <w:pPr>
        <w:tabs>
          <w:tab w:val="left" w:pos="426"/>
        </w:tabs>
        <w:jc w:val="both"/>
        <w:rPr>
          <w:rFonts w:cs="Times New Roman"/>
          <w:szCs w:val="24"/>
        </w:rPr>
      </w:pPr>
    </w:p>
    <w:p w:rsidR="00DF1643" w:rsidRDefault="00DF1643" w:rsidP="00DF1643">
      <w:pPr>
        <w:tabs>
          <w:tab w:val="left" w:pos="426"/>
        </w:tabs>
        <w:jc w:val="both"/>
        <w:rPr>
          <w:rFonts w:cs="Times New Roman"/>
          <w:szCs w:val="24"/>
        </w:rPr>
      </w:pPr>
    </w:p>
    <w:p w:rsidR="00DF1643" w:rsidRDefault="00DF1643" w:rsidP="00DF1643">
      <w:pPr>
        <w:tabs>
          <w:tab w:val="left" w:pos="426"/>
        </w:tabs>
        <w:jc w:val="both"/>
        <w:rPr>
          <w:rFonts w:cs="Times New Roman"/>
          <w:szCs w:val="24"/>
        </w:rPr>
      </w:pPr>
    </w:p>
    <w:p w:rsidR="00DF1643" w:rsidRDefault="00DF1643" w:rsidP="00DF1643">
      <w:pPr>
        <w:tabs>
          <w:tab w:val="left" w:pos="426"/>
        </w:tabs>
        <w:jc w:val="both"/>
        <w:rPr>
          <w:rFonts w:cs="Times New Roman"/>
          <w:szCs w:val="24"/>
        </w:rPr>
      </w:pPr>
    </w:p>
    <w:p w:rsidR="00DF1643" w:rsidRDefault="00DF1643" w:rsidP="00DF1643">
      <w:pPr>
        <w:tabs>
          <w:tab w:val="left" w:pos="426"/>
        </w:tabs>
        <w:jc w:val="both"/>
        <w:rPr>
          <w:rFonts w:cs="Times New Roman"/>
          <w:szCs w:val="24"/>
        </w:rPr>
      </w:pPr>
    </w:p>
    <w:p w:rsidR="00DF1643" w:rsidRDefault="00DF1643" w:rsidP="00DF1643">
      <w:pPr>
        <w:tabs>
          <w:tab w:val="left" w:pos="426"/>
        </w:tabs>
        <w:jc w:val="both"/>
        <w:rPr>
          <w:rFonts w:cs="Times New Roman"/>
          <w:szCs w:val="24"/>
        </w:rPr>
      </w:pPr>
    </w:p>
    <w:sectPr w:rsidR="00DF1643" w:rsidSect="00FD4F08">
      <w:headerReference w:type="even" r:id="rId70"/>
      <w:headerReference w:type="default" r:id="rId71"/>
      <w:footerReference w:type="even" r:id="rId72"/>
      <w:footerReference w:type="default" r:id="rId73"/>
      <w:headerReference w:type="first" r:id="rId74"/>
      <w:footerReference w:type="first" r:id="rId75"/>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8B5" w:rsidRDefault="002B28B5" w:rsidP="009332EA">
      <w:r>
        <w:separator/>
      </w:r>
    </w:p>
  </w:endnote>
  <w:endnote w:type="continuationSeparator" w:id="0">
    <w:p w:rsidR="002B28B5" w:rsidRDefault="002B28B5" w:rsidP="00933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Liberation Serif">
    <w:altName w:val="Times New Roman"/>
    <w:charset w:val="00"/>
    <w:family w:val="roman"/>
    <w:pitch w:val="variable"/>
  </w:font>
  <w:font w:name="Droid Sans Fallback">
    <w:altName w:val="Times New Roman"/>
    <w:charset w:val="00"/>
    <w:family w:val="auto"/>
    <w:pitch w:val="variable"/>
  </w:font>
  <w:font w:name="FreeSans">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8B5" w:rsidRDefault="002B28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8B5" w:rsidRPr="009332EA" w:rsidRDefault="002B28B5" w:rsidP="009332EA">
    <w:pPr>
      <w:pStyle w:val="Footer"/>
      <w:jc w:val="both"/>
      <w:rPr>
        <w:sz w:val="20"/>
        <w:szCs w:val="20"/>
      </w:rPr>
    </w:pPr>
    <w:r w:rsidRPr="004D7AE0">
      <w:rPr>
        <w:rFonts w:cs="Times New Roman"/>
        <w:sz w:val="20"/>
        <w:szCs w:val="20"/>
      </w:rPr>
      <w:fldChar w:fldCharType="begin"/>
    </w:r>
    <w:r w:rsidRPr="004D7AE0">
      <w:rPr>
        <w:rFonts w:cs="Times New Roman"/>
        <w:sz w:val="20"/>
        <w:szCs w:val="20"/>
      </w:rPr>
      <w:instrText xml:space="preserve"> FILENAME   \* MERGEFORMAT </w:instrText>
    </w:r>
    <w:r w:rsidRPr="004D7AE0">
      <w:rPr>
        <w:rFonts w:cs="Times New Roman"/>
        <w:sz w:val="20"/>
        <w:szCs w:val="20"/>
      </w:rPr>
      <w:fldChar w:fldCharType="separate"/>
    </w:r>
    <w:r>
      <w:rPr>
        <w:rFonts w:cs="Times New Roman"/>
        <w:noProof/>
        <w:sz w:val="20"/>
        <w:szCs w:val="20"/>
      </w:rPr>
      <w:t>FMZino_260516_izd_parskat.docx</w:t>
    </w:r>
    <w:r w:rsidRPr="004D7AE0">
      <w:rPr>
        <w:rFonts w:cs="Times New Roman"/>
        <w:sz w:val="20"/>
        <w:szCs w:val="20"/>
      </w:rPr>
      <w:fldChar w:fldCharType="end"/>
    </w:r>
    <w:r w:rsidRPr="004D7AE0">
      <w:rPr>
        <w:rFonts w:cs="Times New Roman"/>
        <w:sz w:val="20"/>
        <w:szCs w:val="20"/>
      </w:rPr>
      <w:t>;</w:t>
    </w:r>
    <w:r>
      <w:rPr>
        <w:rFonts w:cs="Times New Roman"/>
        <w:sz w:val="20"/>
        <w:szCs w:val="20"/>
      </w:rPr>
      <w:t xml:space="preserve"> </w:t>
    </w:r>
    <w:r w:rsidRPr="009332EA">
      <w:rPr>
        <w:sz w:val="20"/>
        <w:szCs w:val="20"/>
      </w:rPr>
      <w:t>Informatīvais ziņojums “Par valsts budžeta izdevumu pārskatīšanas 2017., 2018. un 2019.gadam rezultātiem un priekšlikumi par šo rezultātu izmantošanu likumprojekta “Par vidēja termiņa budžeta 2017., 2018. un 2019.gadam” un likumprojekta “Par valsts budžetu 2017.gadam” izstrādes procesā”</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8B5" w:rsidRDefault="002B28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8B5" w:rsidRDefault="002B28B5" w:rsidP="009332EA">
      <w:r>
        <w:separator/>
      </w:r>
    </w:p>
  </w:footnote>
  <w:footnote w:type="continuationSeparator" w:id="0">
    <w:p w:rsidR="002B28B5" w:rsidRDefault="002B28B5" w:rsidP="009332EA">
      <w:r>
        <w:continuationSeparator/>
      </w:r>
    </w:p>
  </w:footnote>
  <w:footnote w:id="1">
    <w:p w:rsidR="002B28B5" w:rsidRPr="009A1549" w:rsidRDefault="002B28B5" w:rsidP="00930F29">
      <w:pPr>
        <w:pStyle w:val="FootnoteText"/>
        <w:jc w:val="both"/>
        <w:rPr>
          <w:sz w:val="16"/>
          <w:szCs w:val="16"/>
        </w:rPr>
      </w:pPr>
      <w:r w:rsidRPr="009A1549">
        <w:rPr>
          <w:rStyle w:val="FootnoteReference"/>
          <w:sz w:val="16"/>
          <w:szCs w:val="16"/>
        </w:rPr>
        <w:footnoteRef/>
      </w:r>
      <w:r w:rsidRPr="009A1549">
        <w:rPr>
          <w:sz w:val="16"/>
          <w:szCs w:val="16"/>
        </w:rPr>
        <w:t xml:space="preserve"> MK 2016.gada 1.marta informatīvais ziņojums “Paveiktie un plānotie pasākumi, ieviešot budžeta sistēmu, kas balstīta uz attīstības plānošanas dokumentu mērķu sasniegšanu” (prot. Nr.10, 49.</w:t>
      </w:r>
      <w:r w:rsidRPr="009A1549">
        <w:rPr>
          <w:rFonts w:cs="Times New Roman"/>
          <w:sz w:val="16"/>
          <w:szCs w:val="16"/>
        </w:rPr>
        <w:t>§</w:t>
      </w:r>
      <w:r w:rsidRPr="009A1549">
        <w:rPr>
          <w:sz w:val="16"/>
          <w:szCs w:val="16"/>
        </w:rPr>
        <w:t>).</w:t>
      </w:r>
    </w:p>
  </w:footnote>
  <w:footnote w:id="2">
    <w:p w:rsidR="002B28B5" w:rsidRPr="009A1549" w:rsidRDefault="002B28B5" w:rsidP="005E1B9F">
      <w:pPr>
        <w:pStyle w:val="FootnoteText"/>
        <w:jc w:val="both"/>
        <w:rPr>
          <w:sz w:val="16"/>
          <w:szCs w:val="16"/>
        </w:rPr>
      </w:pPr>
      <w:r w:rsidRPr="009A1549">
        <w:rPr>
          <w:rStyle w:val="FootnoteReference"/>
          <w:sz w:val="16"/>
          <w:szCs w:val="16"/>
        </w:rPr>
        <w:footnoteRef/>
      </w:r>
      <w:r w:rsidRPr="009A1549">
        <w:rPr>
          <w:sz w:val="16"/>
          <w:szCs w:val="16"/>
        </w:rPr>
        <w:t xml:space="preserve"> 2009.gada 17.novembra MK instrukcija Nr.16 “Ministriju un citu centrālo valsts iestāžu rezultātu un to rezultatīvo rādītāju izstrādes un novērtēšanas metodika”</w:t>
      </w:r>
    </w:p>
  </w:footnote>
  <w:footnote w:id="3">
    <w:p w:rsidR="002B28B5" w:rsidRPr="009A1549" w:rsidRDefault="002B28B5" w:rsidP="005E1B9F">
      <w:pPr>
        <w:pStyle w:val="FootnoteText"/>
        <w:jc w:val="both"/>
        <w:rPr>
          <w:sz w:val="16"/>
          <w:szCs w:val="16"/>
        </w:rPr>
      </w:pPr>
      <w:r w:rsidRPr="009A1549">
        <w:rPr>
          <w:rStyle w:val="FootnoteReference"/>
          <w:sz w:val="16"/>
          <w:szCs w:val="16"/>
        </w:rPr>
        <w:footnoteRef/>
      </w:r>
      <w:r w:rsidRPr="009A1549">
        <w:rPr>
          <w:sz w:val="16"/>
          <w:szCs w:val="16"/>
        </w:rPr>
        <w:t xml:space="preserve"> 2011.gada 23.augusta instrukcija Nr.8 “Instrukcija par valsts budžeta izpildes analīzi”</w:t>
      </w:r>
    </w:p>
  </w:footnote>
  <w:footnote w:id="4">
    <w:p w:rsidR="002B28B5" w:rsidRPr="00306932" w:rsidRDefault="002B28B5" w:rsidP="00B77A15">
      <w:pPr>
        <w:pStyle w:val="FootnoteText"/>
        <w:jc w:val="both"/>
        <w:rPr>
          <w:sz w:val="16"/>
          <w:szCs w:val="16"/>
        </w:rPr>
      </w:pPr>
      <w:r w:rsidRPr="009A1549">
        <w:rPr>
          <w:rStyle w:val="FootnoteReference"/>
          <w:sz w:val="16"/>
          <w:szCs w:val="16"/>
        </w:rPr>
        <w:footnoteRef/>
      </w:r>
      <w:r w:rsidRPr="009A1549">
        <w:rPr>
          <w:sz w:val="16"/>
          <w:szCs w:val="16"/>
        </w:rPr>
        <w:t xml:space="preserve"> MK 2016.gada 1.marta informatīvais ziņojums “Par valsts pamatbudžeta un valsts speciālā budžeta bāzi 2017., 2018. un 2019.gadam un bāzes izdevumos neiekļauto ministriju un citu centrālo valsts iestāžu iesniegto pasākumu sarakstu”” (prot. Nr.10, 51.</w:t>
      </w:r>
      <w:r w:rsidRPr="009A1549">
        <w:rPr>
          <w:rFonts w:cs="Times New Roman"/>
          <w:sz w:val="16"/>
          <w:szCs w:val="16"/>
        </w:rPr>
        <w:t>§</w:t>
      </w:r>
      <w:r w:rsidRPr="009A1549">
        <w:rPr>
          <w:sz w:val="16"/>
          <w:szCs w:val="16"/>
        </w:rPr>
        <w:t>).</w:t>
      </w:r>
    </w:p>
  </w:footnote>
  <w:footnote w:id="5">
    <w:p w:rsidR="002B28B5" w:rsidRPr="00306932" w:rsidRDefault="002B28B5" w:rsidP="00E34693">
      <w:pPr>
        <w:pStyle w:val="FootnoteText"/>
        <w:jc w:val="both"/>
        <w:rPr>
          <w:sz w:val="16"/>
          <w:szCs w:val="16"/>
        </w:rPr>
      </w:pPr>
      <w:r w:rsidRPr="00306932">
        <w:rPr>
          <w:rStyle w:val="FootnoteReference"/>
          <w:sz w:val="16"/>
          <w:szCs w:val="16"/>
        </w:rPr>
        <w:footnoteRef/>
      </w:r>
      <w:r w:rsidRPr="00306932">
        <w:rPr>
          <w:sz w:val="16"/>
          <w:szCs w:val="16"/>
        </w:rPr>
        <w:t xml:space="preserve"> MK 2016.gada 12.janvāra noteikumi Nr.35 “Emisijas kvotu izsolīšanas instrumenta finansēto projektu atklāta konkursa “Siltumnīcefekta gāzu emisiju samazināšana valsts nozīmes aizsargājamos arhitektūras pieminekļos” nolikums”</w:t>
      </w:r>
    </w:p>
  </w:footnote>
  <w:footnote w:id="6">
    <w:p w:rsidR="002B28B5" w:rsidRPr="004767D8" w:rsidRDefault="002B28B5" w:rsidP="00E34693">
      <w:pPr>
        <w:pStyle w:val="FootnoteText"/>
        <w:jc w:val="both"/>
        <w:rPr>
          <w:sz w:val="18"/>
          <w:szCs w:val="18"/>
        </w:rPr>
      </w:pPr>
      <w:r w:rsidRPr="00306932">
        <w:rPr>
          <w:rStyle w:val="FootnoteReference"/>
          <w:sz w:val="16"/>
          <w:szCs w:val="16"/>
        </w:rPr>
        <w:footnoteRef/>
      </w:r>
      <w:r w:rsidRPr="00306932">
        <w:rPr>
          <w:sz w:val="16"/>
          <w:szCs w:val="16"/>
        </w:rPr>
        <w:t xml:space="preserve"> MK 2016.gada 26.janvāra noteikumi Nr.69 “Emisijas kvotu izsolīšanas instrumenta finansēto projektu atklāta konkursa “Siltumnīcefekta gāzu emisiju samazināšana – zema enerģijas patēriņa ēkas” nolikums”</w:t>
      </w:r>
    </w:p>
  </w:footnote>
  <w:footnote w:id="7">
    <w:p w:rsidR="002B28B5" w:rsidRPr="00845823" w:rsidRDefault="002B28B5" w:rsidP="00830E1C">
      <w:pPr>
        <w:pStyle w:val="FootnoteText"/>
        <w:jc w:val="both"/>
        <w:rPr>
          <w:rFonts w:cs="Times New Roman"/>
          <w:sz w:val="16"/>
          <w:szCs w:val="16"/>
        </w:rPr>
      </w:pPr>
      <w:r w:rsidRPr="00845823">
        <w:rPr>
          <w:rStyle w:val="FootnoteReference"/>
          <w:rFonts w:cs="Times New Roman"/>
          <w:sz w:val="16"/>
          <w:szCs w:val="16"/>
        </w:rPr>
        <w:footnoteRef/>
      </w:r>
      <w:r w:rsidRPr="00845823">
        <w:rPr>
          <w:rFonts w:cs="Times New Roman"/>
          <w:sz w:val="16"/>
          <w:szCs w:val="16"/>
        </w:rPr>
        <w:t xml:space="preserve"> 2010.gada 16.marta MK noteikumi Nr.256 “Noteikumi par kārtību, kādā ministrijām un citām centrālajām valsts iestādēm tiek veikta apropriācijas pārdale starp programmām, apakšprogrammām un izdevumu ekonomiskās klasifikācijas kodiem”</w:t>
      </w:r>
    </w:p>
  </w:footnote>
  <w:footnote w:id="8">
    <w:p w:rsidR="002B28B5" w:rsidRPr="001F29C4" w:rsidRDefault="002B28B5" w:rsidP="00786851">
      <w:pPr>
        <w:pStyle w:val="FootnoteText"/>
        <w:jc w:val="both"/>
        <w:rPr>
          <w:sz w:val="16"/>
          <w:szCs w:val="16"/>
        </w:rPr>
      </w:pPr>
      <w:r w:rsidRPr="00332A60">
        <w:rPr>
          <w:rStyle w:val="FootnoteReference"/>
          <w:sz w:val="18"/>
          <w:szCs w:val="18"/>
        </w:rPr>
        <w:footnoteRef/>
      </w:r>
      <w:r w:rsidRPr="00332A60">
        <w:rPr>
          <w:sz w:val="18"/>
          <w:szCs w:val="18"/>
        </w:rPr>
        <w:t xml:space="preserve"> </w:t>
      </w:r>
      <w:r w:rsidRPr="001F29C4">
        <w:rPr>
          <w:sz w:val="16"/>
          <w:szCs w:val="16"/>
        </w:rPr>
        <w:t xml:space="preserve">Atbilstoši </w:t>
      </w:r>
      <w:r w:rsidRPr="001F29C4">
        <w:rPr>
          <w:sz w:val="16"/>
          <w:szCs w:val="16"/>
          <w:lang w:eastAsia="lv-LV"/>
        </w:rPr>
        <w:t xml:space="preserve">Ministru kabineta 2005.gada 27.decembra noteikumu Nr.1031 “Noteikumi par budžetu izdevumu klasifikāciju atbilstoši ekonomiskajām kategorijām” ekonomiskās klasifikācijas kodu </w:t>
      </w:r>
      <w:r w:rsidRPr="001F29C4">
        <w:rPr>
          <w:sz w:val="16"/>
          <w:szCs w:val="16"/>
        </w:rPr>
        <w:t xml:space="preserve">2231 “Administratīvie izdevumi un sabiedriskās attiecības” un 2314 </w:t>
      </w:r>
      <w:r w:rsidRPr="001F29C4">
        <w:rPr>
          <w:rFonts w:eastAsia="Calibri"/>
          <w:kern w:val="24"/>
          <w:sz w:val="16"/>
          <w:szCs w:val="16"/>
        </w:rPr>
        <w:t>“</w:t>
      </w:r>
      <w:r w:rsidRPr="001F29C4">
        <w:rPr>
          <w:rFonts w:eastAsia="Calibri"/>
          <w:bCs/>
          <w:kern w:val="24"/>
          <w:sz w:val="16"/>
          <w:szCs w:val="16"/>
        </w:rPr>
        <w:t>Izdevumi par precēm iestādes administratīvās darbības nodrošināšanai</w:t>
      </w:r>
      <w:r w:rsidRPr="001F29C4">
        <w:rPr>
          <w:rFonts w:eastAsia="Calibri"/>
          <w:kern w:val="24"/>
          <w:sz w:val="16"/>
          <w:szCs w:val="16"/>
        </w:rPr>
        <w:t>” skaidrojumiem</w:t>
      </w:r>
    </w:p>
  </w:footnote>
  <w:footnote w:id="9">
    <w:p w:rsidR="002B28B5" w:rsidRPr="001F29C4" w:rsidRDefault="002B28B5" w:rsidP="00786851">
      <w:pPr>
        <w:pStyle w:val="FootnoteText"/>
        <w:jc w:val="both"/>
        <w:rPr>
          <w:sz w:val="16"/>
          <w:szCs w:val="16"/>
        </w:rPr>
      </w:pPr>
      <w:r w:rsidRPr="001F29C4">
        <w:rPr>
          <w:rStyle w:val="FootnoteReference"/>
          <w:sz w:val="16"/>
          <w:szCs w:val="16"/>
        </w:rPr>
        <w:footnoteRef/>
      </w:r>
      <w:r w:rsidRPr="001F29C4">
        <w:rPr>
          <w:sz w:val="16"/>
          <w:szCs w:val="16"/>
        </w:rPr>
        <w:t xml:space="preserve"> Šajā pozīcijā netiek ietvertas pārtikas preces, kas nepieciešamas valsts aprūpē un apgādē esošo personu (skolēni, karavīri, ieslodzītie, sociālās aprūpes centru klienti, slimnīcu pacienti) paēdināšanai.</w:t>
      </w:r>
    </w:p>
  </w:footnote>
  <w:footnote w:id="10">
    <w:p w:rsidR="002B28B5" w:rsidRPr="00F354BF" w:rsidRDefault="002B28B5" w:rsidP="00786851">
      <w:pPr>
        <w:pStyle w:val="FootnoteText"/>
        <w:jc w:val="both"/>
        <w:rPr>
          <w:sz w:val="16"/>
          <w:szCs w:val="16"/>
        </w:rPr>
      </w:pPr>
      <w:r w:rsidRPr="00F354BF">
        <w:rPr>
          <w:rStyle w:val="FootnoteReference"/>
          <w:sz w:val="16"/>
          <w:szCs w:val="16"/>
        </w:rPr>
        <w:footnoteRef/>
      </w:r>
      <w:r w:rsidRPr="00F354BF">
        <w:rPr>
          <w:sz w:val="16"/>
          <w:szCs w:val="16"/>
        </w:rPr>
        <w:t xml:space="preserve"> </w:t>
      </w:r>
      <w:r w:rsidRPr="00F354BF">
        <w:rPr>
          <w:sz w:val="16"/>
          <w:szCs w:val="16"/>
          <w:lang w:eastAsia="lv-LV"/>
        </w:rPr>
        <w:t xml:space="preserve">42.03.00 apakšprogramma “Skolu jaunatnes dziesmu un deju svētki”, kur pasākumu nodrošināšanas izdevumi sastādīja 3,5 milj. </w:t>
      </w:r>
      <w:proofErr w:type="spellStart"/>
      <w:r w:rsidRPr="00F354BF">
        <w:rPr>
          <w:i/>
          <w:sz w:val="16"/>
          <w:szCs w:val="16"/>
          <w:lang w:eastAsia="lv-LV"/>
        </w:rPr>
        <w:t>euro</w:t>
      </w:r>
      <w:proofErr w:type="spellEnd"/>
      <w:r w:rsidRPr="00F354BF">
        <w:rPr>
          <w:sz w:val="16"/>
          <w:szCs w:val="16"/>
          <w:lang w:eastAsia="lv-LV"/>
        </w:rPr>
        <w:t xml:space="preserve"> jeb 98,9% no šīs apakšprogrammas precēm un pakalpojumiem.</w:t>
      </w:r>
    </w:p>
  </w:footnote>
  <w:footnote w:id="11">
    <w:p w:rsidR="002B28B5" w:rsidRPr="00F354BF" w:rsidRDefault="002B28B5" w:rsidP="00786851">
      <w:pPr>
        <w:pStyle w:val="FootnoteText"/>
        <w:jc w:val="both"/>
        <w:rPr>
          <w:sz w:val="16"/>
          <w:szCs w:val="16"/>
        </w:rPr>
      </w:pPr>
      <w:r w:rsidRPr="00F354BF">
        <w:rPr>
          <w:rStyle w:val="FootnoteReference"/>
          <w:sz w:val="16"/>
          <w:szCs w:val="16"/>
        </w:rPr>
        <w:footnoteRef/>
      </w:r>
      <w:r w:rsidRPr="00F354BF">
        <w:rPr>
          <w:sz w:val="16"/>
          <w:szCs w:val="16"/>
        </w:rPr>
        <w:t xml:space="preserve"> </w:t>
      </w:r>
      <w:r w:rsidRPr="00F354BF">
        <w:rPr>
          <w:sz w:val="16"/>
          <w:szCs w:val="16"/>
          <w:lang w:eastAsia="lv-LV"/>
        </w:rPr>
        <w:t xml:space="preserve">22.11.00 “Rīga – Eiropas kultūras galvaspilsēta” 2013.gadā – pasākumu nodrošināšanas izdevumi sastādīja 232 348 </w:t>
      </w:r>
      <w:proofErr w:type="spellStart"/>
      <w:r w:rsidRPr="00F354BF">
        <w:rPr>
          <w:i/>
          <w:sz w:val="16"/>
          <w:szCs w:val="16"/>
          <w:lang w:eastAsia="lv-LV"/>
        </w:rPr>
        <w:t>euro</w:t>
      </w:r>
      <w:proofErr w:type="spellEnd"/>
      <w:r w:rsidRPr="00F354BF">
        <w:rPr>
          <w:sz w:val="16"/>
          <w:szCs w:val="16"/>
          <w:lang w:eastAsia="lv-LV"/>
        </w:rPr>
        <w:t xml:space="preserve"> jeb 46,92% no šīs programmas precēm un pakalpojumiem, 2014.gadā – pasākumu nodrošināšanas izdevumi sastādīja 502 869 </w:t>
      </w:r>
      <w:proofErr w:type="spellStart"/>
      <w:r w:rsidRPr="00F354BF">
        <w:rPr>
          <w:i/>
          <w:sz w:val="16"/>
          <w:szCs w:val="16"/>
          <w:lang w:eastAsia="lv-LV"/>
        </w:rPr>
        <w:t>euro</w:t>
      </w:r>
      <w:proofErr w:type="spellEnd"/>
      <w:r w:rsidRPr="00F354BF">
        <w:rPr>
          <w:sz w:val="16"/>
          <w:szCs w:val="16"/>
          <w:lang w:eastAsia="lv-LV"/>
        </w:rPr>
        <w:t xml:space="preserve"> jeb 49,51% no precēm un pakalpojumiem</w:t>
      </w:r>
    </w:p>
  </w:footnote>
  <w:footnote w:id="12">
    <w:p w:rsidR="002B28B5" w:rsidRDefault="002B28B5" w:rsidP="00786851">
      <w:pPr>
        <w:pStyle w:val="FootnoteText"/>
      </w:pPr>
      <w:r w:rsidRPr="00F354BF">
        <w:rPr>
          <w:rStyle w:val="FootnoteReference"/>
          <w:sz w:val="16"/>
          <w:szCs w:val="16"/>
        </w:rPr>
        <w:footnoteRef/>
      </w:r>
      <w:r w:rsidRPr="00F354BF">
        <w:rPr>
          <w:sz w:val="16"/>
          <w:szCs w:val="16"/>
        </w:rPr>
        <w:t xml:space="preserve"> Valsts budžeta likuma pozīcija “Preces un pakalpojumi”, 2000 ekonomiskās klasifikācijas kods.</w:t>
      </w:r>
    </w:p>
  </w:footnote>
  <w:footnote w:id="13">
    <w:p w:rsidR="002B28B5" w:rsidRPr="00605910" w:rsidRDefault="002B28B5">
      <w:pPr>
        <w:pStyle w:val="FootnoteText"/>
        <w:rPr>
          <w:sz w:val="16"/>
          <w:szCs w:val="16"/>
        </w:rPr>
      </w:pPr>
      <w:r w:rsidRPr="00605910">
        <w:rPr>
          <w:rStyle w:val="FootnoteReference"/>
          <w:sz w:val="16"/>
          <w:szCs w:val="16"/>
        </w:rPr>
        <w:footnoteRef/>
      </w:r>
      <w:r w:rsidRPr="00605910">
        <w:rPr>
          <w:sz w:val="16"/>
          <w:szCs w:val="16"/>
        </w:rPr>
        <w:t xml:space="preserve"> Avots: Latvijas Banka, </w:t>
      </w:r>
      <w:r w:rsidRPr="00605910">
        <w:rPr>
          <w:i/>
          <w:sz w:val="16"/>
          <w:szCs w:val="16"/>
        </w:rPr>
        <w:t>Nulles budžeta anatomija</w:t>
      </w:r>
      <w:r w:rsidRPr="00605910">
        <w:rPr>
          <w:sz w:val="16"/>
          <w:szCs w:val="16"/>
        </w:rPr>
        <w:t xml:space="preserve">, skatīts: </w:t>
      </w:r>
      <w:hyperlink r:id="rId1" w:history="1">
        <w:r w:rsidRPr="00605910">
          <w:rPr>
            <w:rStyle w:val="Hyperlink"/>
            <w:sz w:val="16"/>
            <w:szCs w:val="16"/>
          </w:rPr>
          <w:t>https://www.makroekonomika.lv/nulles-budzeta-anatomija</w:t>
        </w:r>
      </w:hyperlink>
      <w:r w:rsidRPr="00605910">
        <w:rPr>
          <w:sz w:val="16"/>
          <w:szCs w:val="16"/>
        </w:rPr>
        <w:t xml:space="preserve"> </w:t>
      </w:r>
    </w:p>
  </w:footnote>
  <w:footnote w:id="14">
    <w:p w:rsidR="002B28B5" w:rsidRPr="00C23287" w:rsidRDefault="002B28B5">
      <w:pPr>
        <w:pStyle w:val="FootnoteText"/>
        <w:rPr>
          <w:sz w:val="16"/>
          <w:szCs w:val="16"/>
        </w:rPr>
      </w:pPr>
      <w:r>
        <w:rPr>
          <w:rStyle w:val="FootnoteReference"/>
        </w:rPr>
        <w:footnoteRef/>
      </w:r>
      <w:r>
        <w:t xml:space="preserve"> </w:t>
      </w:r>
      <w:r w:rsidRPr="00605910">
        <w:rPr>
          <w:sz w:val="16"/>
          <w:szCs w:val="16"/>
        </w:rPr>
        <w:t xml:space="preserve">Avots: Latvijas Banka, </w:t>
      </w:r>
      <w:r w:rsidRPr="00605910">
        <w:rPr>
          <w:i/>
          <w:sz w:val="16"/>
          <w:szCs w:val="16"/>
        </w:rPr>
        <w:t>Nulles budžeta anatomija</w:t>
      </w:r>
      <w:r w:rsidRPr="00605910">
        <w:rPr>
          <w:sz w:val="16"/>
          <w:szCs w:val="16"/>
        </w:rPr>
        <w:t xml:space="preserve">, skatīts: </w:t>
      </w:r>
      <w:hyperlink r:id="rId2" w:history="1">
        <w:r w:rsidRPr="00605910">
          <w:rPr>
            <w:rStyle w:val="Hyperlink"/>
            <w:sz w:val="16"/>
            <w:szCs w:val="16"/>
          </w:rPr>
          <w:t>https://www.makroekonomika.lv/nulles-budzeta-anatomija</w:t>
        </w:r>
      </w:hyperlink>
      <w:r w:rsidRPr="00605910">
        <w:rPr>
          <w:sz w:val="16"/>
          <w:szCs w:val="16"/>
        </w:rPr>
        <w:t xml:space="preserve"> </w:t>
      </w:r>
    </w:p>
  </w:footnote>
  <w:footnote w:id="15">
    <w:p w:rsidR="002B28B5" w:rsidRPr="00FB69F8" w:rsidRDefault="002B28B5" w:rsidP="00FB69F8">
      <w:pPr>
        <w:pStyle w:val="FootnoteText"/>
        <w:rPr>
          <w:sz w:val="16"/>
          <w:szCs w:val="16"/>
        </w:rPr>
      </w:pPr>
      <w:r w:rsidRPr="00FB69F8">
        <w:rPr>
          <w:rStyle w:val="FootnoteReference"/>
          <w:sz w:val="16"/>
          <w:szCs w:val="16"/>
        </w:rPr>
        <w:footnoteRef/>
      </w:r>
      <w:r w:rsidRPr="00FB69F8">
        <w:rPr>
          <w:sz w:val="16"/>
          <w:szCs w:val="16"/>
        </w:rPr>
        <w:t xml:space="preserve"> </w:t>
      </w:r>
      <w:r w:rsidRPr="00FB69F8">
        <w:rPr>
          <w:noProof/>
          <w:sz w:val="16"/>
          <w:szCs w:val="16"/>
          <w:lang w:eastAsia="lv-LV"/>
        </w:rPr>
        <w:t>Avots: OECD</w:t>
      </w:r>
    </w:p>
  </w:footnote>
  <w:footnote w:id="16">
    <w:p w:rsidR="002B28B5" w:rsidRPr="00FB69F8" w:rsidRDefault="002B28B5">
      <w:pPr>
        <w:pStyle w:val="FootnoteText"/>
        <w:rPr>
          <w:sz w:val="16"/>
          <w:szCs w:val="16"/>
        </w:rPr>
      </w:pPr>
      <w:r w:rsidRPr="00FB69F8">
        <w:rPr>
          <w:rStyle w:val="FootnoteReference"/>
          <w:sz w:val="16"/>
          <w:szCs w:val="16"/>
        </w:rPr>
        <w:footnoteRef/>
      </w:r>
      <w:r w:rsidRPr="00FB69F8">
        <w:rPr>
          <w:i/>
          <w:sz w:val="16"/>
          <w:szCs w:val="16"/>
        </w:rPr>
        <w:t>Avots: OECD</w:t>
      </w:r>
      <w:r w:rsidRPr="00FB69F8">
        <w:rPr>
          <w:sz w:val="16"/>
          <w:szCs w:val="16"/>
        </w:rPr>
        <w:t xml:space="preserve"> </w:t>
      </w:r>
    </w:p>
  </w:footnote>
  <w:footnote w:id="17">
    <w:p w:rsidR="002B28B5" w:rsidRPr="00C27F3B" w:rsidRDefault="002B28B5">
      <w:pPr>
        <w:pStyle w:val="FootnoteText"/>
        <w:rPr>
          <w:sz w:val="16"/>
          <w:szCs w:val="16"/>
        </w:rPr>
      </w:pPr>
      <w:r w:rsidRPr="00C27F3B">
        <w:rPr>
          <w:rStyle w:val="FootnoteReference"/>
          <w:sz w:val="16"/>
          <w:szCs w:val="16"/>
        </w:rPr>
        <w:footnoteRef/>
      </w:r>
      <w:r w:rsidRPr="00C27F3B">
        <w:rPr>
          <w:sz w:val="16"/>
          <w:szCs w:val="16"/>
        </w:rPr>
        <w:t xml:space="preserve"> Turpat</w:t>
      </w:r>
    </w:p>
  </w:footnote>
  <w:footnote w:id="18">
    <w:p w:rsidR="002B28B5" w:rsidRPr="00AD6ABF" w:rsidRDefault="002B28B5">
      <w:pPr>
        <w:pStyle w:val="FootnoteText"/>
        <w:rPr>
          <w:i/>
          <w:sz w:val="16"/>
          <w:szCs w:val="16"/>
        </w:rPr>
      </w:pPr>
      <w:r w:rsidRPr="00AD6ABF">
        <w:rPr>
          <w:rStyle w:val="FootnoteReference"/>
          <w:i/>
          <w:sz w:val="16"/>
          <w:szCs w:val="16"/>
        </w:rPr>
        <w:footnoteRef/>
      </w:r>
      <w:r w:rsidRPr="00AD6ABF">
        <w:rPr>
          <w:i/>
          <w:sz w:val="16"/>
          <w:szCs w:val="16"/>
        </w:rPr>
        <w:t xml:space="preserve"> </w:t>
      </w:r>
      <w:r>
        <w:rPr>
          <w:i/>
          <w:sz w:val="16"/>
          <w:szCs w:val="16"/>
        </w:rPr>
        <w:t xml:space="preserve">Avots: </w:t>
      </w:r>
      <w:proofErr w:type="spellStart"/>
      <w:r w:rsidRPr="00AD6ABF">
        <w:rPr>
          <w:i/>
          <w:sz w:val="16"/>
          <w:szCs w:val="16"/>
        </w:rPr>
        <w:t>Eurostat</w:t>
      </w:r>
      <w:proofErr w:type="spellEnd"/>
      <w:r w:rsidRPr="00AD6ABF">
        <w:rPr>
          <w:i/>
          <w:sz w:val="16"/>
          <w:szCs w:val="16"/>
        </w:rPr>
        <w:t>, OECD</w:t>
      </w:r>
    </w:p>
  </w:footnote>
  <w:footnote w:id="19">
    <w:p w:rsidR="002B28B5" w:rsidRPr="006B0652" w:rsidRDefault="002B28B5">
      <w:pPr>
        <w:pStyle w:val="FootnoteText"/>
        <w:rPr>
          <w:sz w:val="16"/>
          <w:szCs w:val="16"/>
        </w:rPr>
      </w:pPr>
      <w:r w:rsidRPr="006B0652">
        <w:rPr>
          <w:rStyle w:val="FootnoteReference"/>
          <w:sz w:val="16"/>
          <w:szCs w:val="16"/>
        </w:rPr>
        <w:footnoteRef/>
      </w:r>
      <w:r w:rsidRPr="006B0652">
        <w:rPr>
          <w:sz w:val="16"/>
          <w:szCs w:val="16"/>
        </w:rPr>
        <w:t xml:space="preserve"> Avots: OECD</w:t>
      </w:r>
    </w:p>
  </w:footnote>
  <w:footnote w:id="20">
    <w:p w:rsidR="002B28B5" w:rsidRDefault="002B28B5">
      <w:pPr>
        <w:pStyle w:val="FootnoteText"/>
      </w:pPr>
      <w:r w:rsidRPr="006B0652">
        <w:rPr>
          <w:rStyle w:val="FootnoteReference"/>
          <w:sz w:val="16"/>
          <w:szCs w:val="16"/>
        </w:rPr>
        <w:footnoteRef/>
      </w:r>
      <w:r w:rsidRPr="006B0652">
        <w:rPr>
          <w:sz w:val="16"/>
          <w:szCs w:val="16"/>
        </w:rPr>
        <w:t xml:space="preserve"> Turpat</w:t>
      </w:r>
    </w:p>
  </w:footnote>
  <w:footnote w:id="21">
    <w:p w:rsidR="002B28B5" w:rsidRPr="00845E2A" w:rsidRDefault="002B28B5">
      <w:pPr>
        <w:pStyle w:val="FootnoteText"/>
        <w:rPr>
          <w:sz w:val="16"/>
          <w:szCs w:val="16"/>
        </w:rPr>
      </w:pPr>
      <w:r w:rsidRPr="00845E2A">
        <w:rPr>
          <w:rStyle w:val="FootnoteReference"/>
          <w:sz w:val="16"/>
          <w:szCs w:val="16"/>
        </w:rPr>
        <w:footnoteRef/>
      </w:r>
      <w:r w:rsidRPr="00845E2A">
        <w:rPr>
          <w:sz w:val="16"/>
          <w:szCs w:val="16"/>
        </w:rPr>
        <w:t xml:space="preserve"> Avots: OECD</w:t>
      </w:r>
    </w:p>
  </w:footnote>
  <w:footnote w:id="22">
    <w:p w:rsidR="002B28B5" w:rsidRPr="00845E2A" w:rsidRDefault="002B28B5">
      <w:pPr>
        <w:pStyle w:val="FootnoteText"/>
        <w:rPr>
          <w:sz w:val="16"/>
          <w:szCs w:val="16"/>
        </w:rPr>
      </w:pPr>
      <w:r w:rsidRPr="00845E2A">
        <w:rPr>
          <w:rStyle w:val="FootnoteReference"/>
          <w:sz w:val="16"/>
          <w:szCs w:val="16"/>
        </w:rPr>
        <w:footnoteRef/>
      </w:r>
      <w:r w:rsidRPr="00845E2A">
        <w:rPr>
          <w:sz w:val="16"/>
          <w:szCs w:val="16"/>
        </w:rPr>
        <w:t xml:space="preserve"> Avots: OECD</w:t>
      </w:r>
    </w:p>
  </w:footnote>
  <w:footnote w:id="23">
    <w:p w:rsidR="002B28B5" w:rsidRPr="0053047A" w:rsidRDefault="002B28B5">
      <w:pPr>
        <w:pStyle w:val="FootnoteText"/>
        <w:rPr>
          <w:sz w:val="16"/>
          <w:szCs w:val="16"/>
        </w:rPr>
      </w:pPr>
      <w:r w:rsidRPr="0053047A">
        <w:rPr>
          <w:rStyle w:val="FootnoteReference"/>
          <w:sz w:val="16"/>
          <w:szCs w:val="16"/>
        </w:rPr>
        <w:footnoteRef/>
      </w:r>
      <w:r w:rsidRPr="0053047A">
        <w:rPr>
          <w:sz w:val="16"/>
          <w:szCs w:val="16"/>
        </w:rPr>
        <w:t xml:space="preserve"> Avots: OECD</w:t>
      </w:r>
    </w:p>
  </w:footnote>
  <w:footnote w:id="24">
    <w:p w:rsidR="002B28B5" w:rsidRDefault="002B28B5">
      <w:pPr>
        <w:pStyle w:val="FootnoteText"/>
      </w:pPr>
      <w:r w:rsidRPr="0053047A">
        <w:rPr>
          <w:rStyle w:val="FootnoteReference"/>
          <w:sz w:val="16"/>
          <w:szCs w:val="16"/>
        </w:rPr>
        <w:footnoteRef/>
      </w:r>
      <w:r w:rsidRPr="0053047A">
        <w:rPr>
          <w:sz w:val="16"/>
          <w:szCs w:val="16"/>
        </w:rPr>
        <w:t xml:space="preserve"> Avots: OECD</w:t>
      </w:r>
    </w:p>
  </w:footnote>
  <w:footnote w:id="25">
    <w:p w:rsidR="002B28B5" w:rsidRPr="0053047A" w:rsidRDefault="002B28B5">
      <w:pPr>
        <w:pStyle w:val="FootnoteText"/>
        <w:rPr>
          <w:sz w:val="16"/>
          <w:szCs w:val="16"/>
        </w:rPr>
      </w:pPr>
      <w:r w:rsidRPr="0053047A">
        <w:rPr>
          <w:rStyle w:val="FootnoteReference"/>
          <w:sz w:val="16"/>
          <w:szCs w:val="16"/>
        </w:rPr>
        <w:footnoteRef/>
      </w:r>
      <w:r w:rsidRPr="0053047A">
        <w:rPr>
          <w:sz w:val="16"/>
          <w:szCs w:val="16"/>
        </w:rPr>
        <w:t xml:space="preserve"> Avots: OECD</w:t>
      </w:r>
    </w:p>
  </w:footnote>
  <w:footnote w:id="26">
    <w:p w:rsidR="002B28B5" w:rsidRPr="00DE6A7F" w:rsidRDefault="002B28B5" w:rsidP="00665FFB">
      <w:pPr>
        <w:pStyle w:val="FootnoteText"/>
        <w:jc w:val="both"/>
        <w:rPr>
          <w:sz w:val="16"/>
          <w:szCs w:val="16"/>
        </w:rPr>
      </w:pPr>
      <w:r w:rsidRPr="00DE6A7F">
        <w:rPr>
          <w:rStyle w:val="FootnoteReference"/>
          <w:sz w:val="16"/>
          <w:szCs w:val="16"/>
        </w:rPr>
        <w:footnoteRef/>
      </w:r>
      <w:r w:rsidRPr="00DE6A7F">
        <w:rPr>
          <w:sz w:val="16"/>
          <w:szCs w:val="16"/>
        </w:rPr>
        <w:t xml:space="preserve"> Saskaņā ar Akadēmiskā informācijas centra mājas lapā </w:t>
      </w:r>
      <w:hyperlink r:id="rId3" w:history="1">
        <w:r w:rsidRPr="00DE6A7F">
          <w:rPr>
            <w:rStyle w:val="Hyperlink"/>
            <w:sz w:val="16"/>
            <w:szCs w:val="16"/>
          </w:rPr>
          <w:t>http://www.aic.lv</w:t>
        </w:r>
      </w:hyperlink>
      <w:r w:rsidRPr="00DE6A7F">
        <w:rPr>
          <w:sz w:val="16"/>
          <w:szCs w:val="16"/>
        </w:rPr>
        <w:t xml:space="preserve"> sniegto informāciju.</w:t>
      </w:r>
    </w:p>
  </w:footnote>
  <w:footnote w:id="27">
    <w:p w:rsidR="002B28B5" w:rsidRDefault="002B28B5" w:rsidP="00DE6A7F">
      <w:pPr>
        <w:pStyle w:val="FootnoteText"/>
        <w:jc w:val="both"/>
      </w:pPr>
      <w:r w:rsidRPr="00DE6A7F">
        <w:rPr>
          <w:rStyle w:val="FootnoteReference"/>
          <w:sz w:val="16"/>
          <w:szCs w:val="16"/>
        </w:rPr>
        <w:footnoteRef/>
      </w:r>
      <w:r w:rsidRPr="00DE6A7F">
        <w:rPr>
          <w:sz w:val="16"/>
          <w:szCs w:val="16"/>
        </w:rPr>
        <w:t xml:space="preserve"> Saskaņā ar Centrālās statistikas pārvaldes datiem, </w:t>
      </w:r>
      <w:hyperlink r:id="rId4" w:history="1">
        <w:r w:rsidRPr="00DE6A7F">
          <w:rPr>
            <w:rStyle w:val="Hyperlink"/>
            <w:sz w:val="16"/>
            <w:szCs w:val="16"/>
          </w:rPr>
          <w:t>http://www.csb.gov.lv/dati/statistikas-datubazes-28270.html</w:t>
        </w:r>
      </w:hyperlink>
      <w:r w:rsidRPr="00DE6A7F">
        <w:rPr>
          <w:sz w:val="16"/>
          <w:szCs w:val="16"/>
        </w:rPr>
        <w:t>.</w:t>
      </w:r>
    </w:p>
  </w:footnote>
  <w:footnote w:id="28">
    <w:p w:rsidR="002B28B5" w:rsidRPr="00B17A41" w:rsidRDefault="002B28B5" w:rsidP="00DE6A7F">
      <w:pPr>
        <w:pStyle w:val="FootnoteText"/>
        <w:jc w:val="both"/>
        <w:rPr>
          <w:sz w:val="16"/>
          <w:szCs w:val="16"/>
        </w:rPr>
      </w:pPr>
      <w:r w:rsidRPr="00B17A41">
        <w:rPr>
          <w:rStyle w:val="FootnoteReference"/>
          <w:sz w:val="16"/>
          <w:szCs w:val="16"/>
        </w:rPr>
        <w:footnoteRef/>
      </w:r>
      <w:r w:rsidRPr="00B17A41">
        <w:rPr>
          <w:sz w:val="16"/>
          <w:szCs w:val="16"/>
        </w:rPr>
        <w:t xml:space="preserve"> Saskaņā ar </w:t>
      </w:r>
      <w:proofErr w:type="spellStart"/>
      <w:r w:rsidRPr="00B17A41">
        <w:rPr>
          <w:i/>
          <w:sz w:val="16"/>
          <w:szCs w:val="16"/>
        </w:rPr>
        <w:t>Eurostat</w:t>
      </w:r>
      <w:proofErr w:type="spellEnd"/>
      <w:r w:rsidRPr="00B17A41">
        <w:rPr>
          <w:sz w:val="16"/>
          <w:szCs w:val="16"/>
        </w:rPr>
        <w:t xml:space="preserve"> datiem, </w:t>
      </w:r>
      <w:hyperlink r:id="rId5" w:history="1">
        <w:r w:rsidRPr="00B17A41">
          <w:rPr>
            <w:rStyle w:val="Hyperlink"/>
            <w:sz w:val="16"/>
            <w:szCs w:val="16"/>
          </w:rPr>
          <w:t>http://ec.europa.eu/eurostat/data/database</w:t>
        </w:r>
      </w:hyperlink>
      <w:r w:rsidRPr="00B17A41">
        <w:rPr>
          <w:sz w:val="16"/>
          <w:szCs w:val="16"/>
        </w:rPr>
        <w:t>.</w:t>
      </w:r>
    </w:p>
  </w:footnote>
  <w:footnote w:id="29">
    <w:p w:rsidR="002B28B5" w:rsidRDefault="002B28B5" w:rsidP="00DE6A7F">
      <w:pPr>
        <w:pStyle w:val="FootnoteText"/>
        <w:jc w:val="both"/>
      </w:pPr>
      <w:r w:rsidRPr="00B17A41">
        <w:rPr>
          <w:rStyle w:val="FootnoteReference"/>
          <w:sz w:val="16"/>
          <w:szCs w:val="16"/>
        </w:rPr>
        <w:footnoteRef/>
      </w:r>
      <w:r w:rsidRPr="00B17A41">
        <w:rPr>
          <w:sz w:val="16"/>
          <w:szCs w:val="16"/>
        </w:rPr>
        <w:t xml:space="preserve"> Saskaņā ar </w:t>
      </w:r>
      <w:proofErr w:type="spellStart"/>
      <w:r w:rsidRPr="00B17A41">
        <w:rPr>
          <w:i/>
          <w:sz w:val="16"/>
          <w:szCs w:val="16"/>
        </w:rPr>
        <w:t>Eurostat</w:t>
      </w:r>
      <w:proofErr w:type="spellEnd"/>
      <w:r w:rsidRPr="00B17A41">
        <w:rPr>
          <w:sz w:val="16"/>
          <w:szCs w:val="16"/>
        </w:rPr>
        <w:t xml:space="preserve"> datiem, </w:t>
      </w:r>
      <w:hyperlink r:id="rId6" w:history="1">
        <w:r w:rsidRPr="00B17A41">
          <w:rPr>
            <w:rStyle w:val="Hyperlink"/>
            <w:sz w:val="16"/>
            <w:szCs w:val="16"/>
          </w:rPr>
          <w:t>http://ec.europa.eu/eurostat/data/database</w:t>
        </w:r>
      </w:hyperlink>
      <w:r w:rsidRPr="00B17A41">
        <w:rPr>
          <w:sz w:val="16"/>
          <w:szCs w:val="16"/>
        </w:rPr>
        <w:t>.</w:t>
      </w:r>
    </w:p>
  </w:footnote>
  <w:footnote w:id="30">
    <w:p w:rsidR="002B28B5" w:rsidRPr="005B4C9C" w:rsidRDefault="002B28B5" w:rsidP="00DE6A7F">
      <w:pPr>
        <w:pStyle w:val="FootnoteText"/>
        <w:jc w:val="both"/>
        <w:rPr>
          <w:sz w:val="16"/>
          <w:szCs w:val="16"/>
        </w:rPr>
      </w:pPr>
      <w:r w:rsidRPr="005B4C9C">
        <w:rPr>
          <w:rStyle w:val="FootnoteReference"/>
          <w:sz w:val="16"/>
          <w:szCs w:val="16"/>
        </w:rPr>
        <w:footnoteRef/>
      </w:r>
      <w:r w:rsidRPr="005B4C9C">
        <w:rPr>
          <w:sz w:val="16"/>
          <w:szCs w:val="16"/>
        </w:rPr>
        <w:t xml:space="preserve"> Saskaņā ar </w:t>
      </w:r>
      <w:proofErr w:type="spellStart"/>
      <w:r w:rsidRPr="005B4C9C">
        <w:rPr>
          <w:i/>
          <w:sz w:val="16"/>
          <w:szCs w:val="16"/>
        </w:rPr>
        <w:t>Eurostat</w:t>
      </w:r>
      <w:proofErr w:type="spellEnd"/>
      <w:r w:rsidRPr="005B4C9C">
        <w:rPr>
          <w:sz w:val="16"/>
          <w:szCs w:val="16"/>
        </w:rPr>
        <w:t xml:space="preserve"> datiem, </w:t>
      </w:r>
      <w:hyperlink r:id="rId7" w:history="1">
        <w:r w:rsidRPr="005B4C9C">
          <w:rPr>
            <w:rStyle w:val="Hyperlink"/>
            <w:sz w:val="16"/>
            <w:szCs w:val="16"/>
          </w:rPr>
          <w:t>http://ec.europa.eu/eurostat/data/database</w:t>
        </w:r>
      </w:hyperlink>
      <w:r w:rsidRPr="005B4C9C">
        <w:rPr>
          <w:sz w:val="16"/>
          <w:szCs w:val="16"/>
        </w:rPr>
        <w:t xml:space="preserve">, FM aprēķiniem (pašvaldības izdevumi norādīti bez </w:t>
      </w:r>
      <w:proofErr w:type="spellStart"/>
      <w:r w:rsidRPr="005B4C9C">
        <w:rPr>
          <w:sz w:val="16"/>
          <w:szCs w:val="16"/>
        </w:rPr>
        <w:t>transfertiem</w:t>
      </w:r>
      <w:proofErr w:type="spellEnd"/>
      <w:r w:rsidRPr="005B4C9C">
        <w:rPr>
          <w:sz w:val="16"/>
          <w:szCs w:val="16"/>
        </w:rPr>
        <w:t xml:space="preserve"> no centrālās valdības, citur neklasificētā izglītība nav sadalāma valdības līmeņos, attiecīgi norādīta centrālās valdības izdevumos)</w:t>
      </w:r>
    </w:p>
  </w:footnote>
  <w:footnote w:id="31">
    <w:p w:rsidR="002B28B5" w:rsidRDefault="002B28B5" w:rsidP="00DE6A7F">
      <w:pPr>
        <w:pStyle w:val="FootnoteText"/>
        <w:jc w:val="both"/>
      </w:pPr>
      <w:r>
        <w:rPr>
          <w:rStyle w:val="FootnoteReference"/>
        </w:rPr>
        <w:footnoteRef/>
      </w:r>
      <w:r>
        <w:t xml:space="preserve"> Saskaņā ar Centrālās statistikas pārvaldes datiem, </w:t>
      </w:r>
      <w:hyperlink r:id="rId8" w:history="1">
        <w:r w:rsidRPr="001F51E9">
          <w:rPr>
            <w:rStyle w:val="Hyperlink"/>
          </w:rPr>
          <w:t>http://www.csb.gov.lv/dati/statistikas-datubazes-28270.html</w:t>
        </w:r>
      </w:hyperlink>
      <w:r>
        <w:t>.</w:t>
      </w:r>
    </w:p>
  </w:footnote>
  <w:footnote w:id="32">
    <w:p w:rsidR="002B28B5" w:rsidRPr="00D85F0D" w:rsidRDefault="002B28B5" w:rsidP="00DE6A7F">
      <w:pPr>
        <w:pStyle w:val="FootnoteText"/>
        <w:jc w:val="both"/>
        <w:rPr>
          <w:sz w:val="16"/>
          <w:szCs w:val="16"/>
        </w:rPr>
      </w:pPr>
      <w:r w:rsidRPr="00D85F0D">
        <w:rPr>
          <w:rStyle w:val="FootnoteReference"/>
          <w:sz w:val="16"/>
          <w:szCs w:val="16"/>
        </w:rPr>
        <w:footnoteRef/>
      </w:r>
      <w:r w:rsidRPr="00D85F0D">
        <w:rPr>
          <w:sz w:val="16"/>
          <w:szCs w:val="16"/>
        </w:rPr>
        <w:t xml:space="preserve"> Saskaņā ar Centrālās statistikas pārvaldes datiem, </w:t>
      </w:r>
      <w:hyperlink r:id="rId9" w:history="1">
        <w:r w:rsidRPr="00D85F0D">
          <w:rPr>
            <w:rStyle w:val="Hyperlink"/>
            <w:sz w:val="16"/>
            <w:szCs w:val="16"/>
          </w:rPr>
          <w:t>http://www.csb.gov.lv/dati/statistikas-datubazes-28270.html</w:t>
        </w:r>
      </w:hyperlink>
      <w:r w:rsidRPr="00D85F0D">
        <w:rPr>
          <w:sz w:val="16"/>
          <w:szCs w:val="16"/>
        </w:rPr>
        <w:t>, FM aprēķiniem.</w:t>
      </w:r>
    </w:p>
  </w:footnote>
  <w:footnote w:id="33">
    <w:p w:rsidR="002B28B5" w:rsidRDefault="002B28B5" w:rsidP="00DE6A7F">
      <w:pPr>
        <w:pStyle w:val="FootnoteText"/>
        <w:jc w:val="both"/>
      </w:pPr>
      <w:r w:rsidRPr="00D85F0D">
        <w:rPr>
          <w:rStyle w:val="FootnoteReference"/>
          <w:sz w:val="16"/>
          <w:szCs w:val="16"/>
        </w:rPr>
        <w:footnoteRef/>
      </w:r>
      <w:r w:rsidRPr="00D85F0D">
        <w:rPr>
          <w:sz w:val="16"/>
          <w:szCs w:val="16"/>
        </w:rPr>
        <w:t xml:space="preserve"> Saskaņā ar Centrālās statistikas pārvaldes datiem, </w:t>
      </w:r>
      <w:hyperlink r:id="rId10" w:history="1">
        <w:r w:rsidRPr="00D85F0D">
          <w:rPr>
            <w:rStyle w:val="Hyperlink"/>
            <w:sz w:val="16"/>
            <w:szCs w:val="16"/>
          </w:rPr>
          <w:t>http://www.csb.gov.lv/dati/statistikas-datubazes-28270.html</w:t>
        </w:r>
      </w:hyperlink>
      <w:r w:rsidRPr="00D85F0D">
        <w:rPr>
          <w:sz w:val="16"/>
          <w:szCs w:val="16"/>
        </w:rPr>
        <w:t>, FM aprēķiniem.</w:t>
      </w:r>
    </w:p>
  </w:footnote>
  <w:footnote w:id="34">
    <w:p w:rsidR="002B28B5" w:rsidRPr="008819D2" w:rsidRDefault="002B28B5" w:rsidP="00DE6A7F">
      <w:pPr>
        <w:pStyle w:val="FootnoteText"/>
        <w:jc w:val="both"/>
        <w:rPr>
          <w:sz w:val="16"/>
          <w:szCs w:val="16"/>
        </w:rPr>
      </w:pPr>
      <w:r w:rsidRPr="008819D2">
        <w:rPr>
          <w:rStyle w:val="FootnoteReference"/>
          <w:sz w:val="16"/>
          <w:szCs w:val="16"/>
        </w:rPr>
        <w:footnoteRef/>
      </w:r>
      <w:r>
        <w:rPr>
          <w:sz w:val="16"/>
          <w:szCs w:val="16"/>
        </w:rPr>
        <w:t xml:space="preserve"> Saskaņā ar likumu “</w:t>
      </w:r>
      <w:r w:rsidRPr="008819D2">
        <w:rPr>
          <w:sz w:val="16"/>
          <w:szCs w:val="16"/>
        </w:rPr>
        <w:t>Par valsts budžetu 2016.gadam” un FM aprēķiniem.</w:t>
      </w:r>
    </w:p>
  </w:footnote>
  <w:footnote w:id="35">
    <w:p w:rsidR="002B28B5" w:rsidRPr="0088679A" w:rsidRDefault="002B28B5" w:rsidP="0088679A">
      <w:pPr>
        <w:pStyle w:val="FootnoteText"/>
        <w:jc w:val="both"/>
        <w:rPr>
          <w:sz w:val="16"/>
          <w:szCs w:val="16"/>
        </w:rPr>
      </w:pPr>
      <w:r w:rsidRPr="0088679A">
        <w:rPr>
          <w:rStyle w:val="FootnoteReference"/>
          <w:sz w:val="16"/>
          <w:szCs w:val="16"/>
        </w:rPr>
        <w:footnoteRef/>
      </w:r>
      <w:r w:rsidRPr="0088679A">
        <w:rPr>
          <w:sz w:val="16"/>
          <w:szCs w:val="16"/>
        </w:rPr>
        <w:t>Ministru kabineta 2010.gada 31.augusta noteikumu Nr.825 “Speciālās izglītības iestāžu, vispārējās izglītības iestāžu speciālās izglītības klašu (grupu) un internātskolu finansēšanas kārtība”</w:t>
      </w:r>
    </w:p>
  </w:footnote>
  <w:footnote w:id="36">
    <w:p w:rsidR="002B28B5" w:rsidRPr="00904E80" w:rsidRDefault="002B28B5" w:rsidP="00DE6A7F">
      <w:pPr>
        <w:pStyle w:val="FootnoteText"/>
        <w:rPr>
          <w:sz w:val="16"/>
          <w:szCs w:val="16"/>
        </w:rPr>
      </w:pPr>
      <w:r w:rsidRPr="00904E80">
        <w:rPr>
          <w:rStyle w:val="FootnoteReference"/>
          <w:sz w:val="16"/>
          <w:szCs w:val="16"/>
        </w:rPr>
        <w:footnoteRef/>
      </w:r>
      <w:r w:rsidRPr="00904E80">
        <w:rPr>
          <w:sz w:val="16"/>
          <w:szCs w:val="16"/>
        </w:rPr>
        <w:t xml:space="preserve"> Saskaņā ar IZM datiem, </w:t>
      </w:r>
      <w:hyperlink r:id="rId11" w:history="1">
        <w:r w:rsidRPr="00904E80">
          <w:rPr>
            <w:rStyle w:val="Hyperlink"/>
            <w:sz w:val="16"/>
            <w:szCs w:val="16"/>
          </w:rPr>
          <w:t>http://www.izm.gov.lv/lv/publikacijas-un-statistika</w:t>
        </w:r>
      </w:hyperlink>
      <w:r w:rsidRPr="00904E80">
        <w:rPr>
          <w:sz w:val="16"/>
          <w:szCs w:val="16"/>
        </w:rPr>
        <w:t>.</w:t>
      </w:r>
    </w:p>
  </w:footnote>
  <w:footnote w:id="37">
    <w:p w:rsidR="002B28B5" w:rsidRDefault="002B28B5" w:rsidP="00DE6A7F">
      <w:pPr>
        <w:pStyle w:val="FootnoteText"/>
      </w:pPr>
      <w:r>
        <w:rPr>
          <w:rStyle w:val="FootnoteReference"/>
        </w:rPr>
        <w:footnoteRef/>
      </w:r>
      <w:r>
        <w:t xml:space="preserve"> </w:t>
      </w:r>
      <w:r w:rsidRPr="0037091D">
        <w:t xml:space="preserve">Saskaņā ar IZM datiem, </w:t>
      </w:r>
      <w:hyperlink r:id="rId12" w:history="1">
        <w:r w:rsidRPr="00173545">
          <w:rPr>
            <w:rStyle w:val="Hyperlink"/>
          </w:rPr>
          <w:t>http://www.izm.gov.lv/lv/publikacijas-un-statistika</w:t>
        </w:r>
      </w:hyperlink>
      <w:r>
        <w:t xml:space="preserve">, </w:t>
      </w:r>
      <w:hyperlink r:id="rId13" w:history="1">
        <w:r w:rsidRPr="00173545">
          <w:rPr>
            <w:rStyle w:val="Hyperlink"/>
          </w:rPr>
          <w:t>www.viis.lv</w:t>
        </w:r>
      </w:hyperlink>
      <w:r>
        <w:t xml:space="preserve"> </w:t>
      </w:r>
    </w:p>
  </w:footnote>
  <w:footnote w:id="38">
    <w:p w:rsidR="002B28B5" w:rsidRPr="00E566B6" w:rsidRDefault="002B28B5" w:rsidP="00DE6A7F">
      <w:pPr>
        <w:pStyle w:val="FootnoteText"/>
        <w:rPr>
          <w:sz w:val="16"/>
          <w:szCs w:val="16"/>
        </w:rPr>
      </w:pPr>
      <w:r w:rsidRPr="00E566B6">
        <w:rPr>
          <w:rStyle w:val="FootnoteReference"/>
          <w:sz w:val="16"/>
          <w:szCs w:val="16"/>
        </w:rPr>
        <w:footnoteRef/>
      </w:r>
      <w:r w:rsidRPr="00E566B6">
        <w:rPr>
          <w:sz w:val="16"/>
          <w:szCs w:val="16"/>
        </w:rPr>
        <w:t xml:space="preserve"> Saskaņā ar Centrālās statistikas pārvaldes datiem, </w:t>
      </w:r>
      <w:hyperlink r:id="rId14" w:history="1">
        <w:r w:rsidRPr="00E566B6">
          <w:rPr>
            <w:rStyle w:val="Hyperlink"/>
            <w:sz w:val="16"/>
            <w:szCs w:val="16"/>
          </w:rPr>
          <w:t>http://www.csb.gov.lv/dati/statistikas-datubazes-28270.html</w:t>
        </w:r>
      </w:hyperlink>
      <w:r w:rsidRPr="00E566B6">
        <w:rPr>
          <w:sz w:val="16"/>
          <w:szCs w:val="16"/>
        </w:rPr>
        <w:t>, FM aprēķiniem.</w:t>
      </w:r>
    </w:p>
  </w:footnote>
  <w:footnote w:id="39">
    <w:p w:rsidR="002B28B5" w:rsidRPr="00E566B6" w:rsidRDefault="002B28B5" w:rsidP="00DE6A7F">
      <w:pPr>
        <w:pStyle w:val="FootnoteText"/>
        <w:rPr>
          <w:sz w:val="16"/>
          <w:szCs w:val="16"/>
        </w:rPr>
      </w:pPr>
      <w:r w:rsidRPr="00E566B6">
        <w:rPr>
          <w:rStyle w:val="FootnoteReference"/>
          <w:sz w:val="16"/>
          <w:szCs w:val="16"/>
        </w:rPr>
        <w:footnoteRef/>
      </w:r>
      <w:r w:rsidRPr="00E566B6">
        <w:rPr>
          <w:sz w:val="16"/>
          <w:szCs w:val="16"/>
        </w:rPr>
        <w:t xml:space="preserve"> Saskaņā ar Centrālās statistikas pārvaldes datiem, </w:t>
      </w:r>
      <w:hyperlink r:id="rId15" w:history="1">
        <w:r w:rsidRPr="00E566B6">
          <w:rPr>
            <w:rStyle w:val="Hyperlink"/>
            <w:sz w:val="16"/>
            <w:szCs w:val="16"/>
          </w:rPr>
          <w:t>http://www.csb.gov.lv/dati/statistikas-datubazes-28270.html</w:t>
        </w:r>
      </w:hyperlink>
    </w:p>
  </w:footnote>
  <w:footnote w:id="40">
    <w:p w:rsidR="002B28B5" w:rsidRPr="00E566B6" w:rsidRDefault="002B28B5" w:rsidP="00DE6A7F">
      <w:pPr>
        <w:pStyle w:val="FootnoteText"/>
        <w:rPr>
          <w:sz w:val="16"/>
          <w:szCs w:val="16"/>
        </w:rPr>
      </w:pPr>
      <w:r w:rsidRPr="00E566B6">
        <w:rPr>
          <w:rStyle w:val="FootnoteReference"/>
          <w:sz w:val="16"/>
          <w:szCs w:val="16"/>
        </w:rPr>
        <w:footnoteRef/>
      </w:r>
      <w:r w:rsidRPr="00E566B6">
        <w:rPr>
          <w:sz w:val="16"/>
          <w:szCs w:val="16"/>
        </w:rPr>
        <w:t xml:space="preserve"> Saskaņā ar IZM datiem, </w:t>
      </w:r>
      <w:hyperlink r:id="rId16" w:history="1">
        <w:r w:rsidRPr="00E566B6">
          <w:rPr>
            <w:rStyle w:val="Hyperlink"/>
            <w:sz w:val="16"/>
            <w:szCs w:val="16"/>
          </w:rPr>
          <w:t>http://www.izm.gov.lv/lv/publikacijas-un-statistika</w:t>
        </w:r>
      </w:hyperlink>
      <w:r w:rsidRPr="00E566B6">
        <w:rPr>
          <w:sz w:val="16"/>
          <w:szCs w:val="16"/>
        </w:rPr>
        <w:t>.</w:t>
      </w:r>
    </w:p>
  </w:footnote>
  <w:footnote w:id="41">
    <w:p w:rsidR="002B28B5" w:rsidRPr="00E566B6" w:rsidRDefault="002B28B5" w:rsidP="00DE6A7F">
      <w:pPr>
        <w:pStyle w:val="FootnoteText"/>
        <w:rPr>
          <w:sz w:val="16"/>
          <w:szCs w:val="16"/>
        </w:rPr>
      </w:pPr>
      <w:r w:rsidRPr="00E566B6">
        <w:rPr>
          <w:rStyle w:val="FootnoteReference"/>
          <w:sz w:val="16"/>
          <w:szCs w:val="16"/>
        </w:rPr>
        <w:footnoteRef/>
      </w:r>
      <w:r w:rsidRPr="00E566B6">
        <w:rPr>
          <w:sz w:val="16"/>
          <w:szCs w:val="16"/>
        </w:rPr>
        <w:t xml:space="preserve"> No IZM resora līdzekļiem tiek nodrošināta uzturēšanas izmaksu segšana līdz 2016.gada 31.augustam</w:t>
      </w:r>
    </w:p>
  </w:footnote>
  <w:footnote w:id="42">
    <w:p w:rsidR="002B28B5" w:rsidRPr="00983DF2" w:rsidRDefault="002B28B5" w:rsidP="00DE6A7F">
      <w:pPr>
        <w:pStyle w:val="FootnoteText"/>
        <w:rPr>
          <w:sz w:val="16"/>
          <w:szCs w:val="16"/>
        </w:rPr>
      </w:pPr>
      <w:r w:rsidRPr="00983DF2">
        <w:rPr>
          <w:rStyle w:val="FootnoteReference"/>
          <w:sz w:val="16"/>
          <w:szCs w:val="16"/>
        </w:rPr>
        <w:footnoteRef/>
      </w:r>
      <w:r w:rsidRPr="00983DF2">
        <w:rPr>
          <w:sz w:val="16"/>
          <w:szCs w:val="16"/>
        </w:rPr>
        <w:t xml:space="preserve"> Saskaņā ar Centrālās statistikas pārvaldes datiem, </w:t>
      </w:r>
      <w:hyperlink r:id="rId17" w:history="1">
        <w:r w:rsidRPr="00983DF2">
          <w:rPr>
            <w:rStyle w:val="Hyperlink"/>
            <w:sz w:val="16"/>
            <w:szCs w:val="16"/>
          </w:rPr>
          <w:t>http://www.csb.gov.lv/dati/statistikas-datubazes-28270.html</w:t>
        </w:r>
      </w:hyperlink>
      <w:r w:rsidRPr="00983DF2">
        <w:rPr>
          <w:sz w:val="16"/>
          <w:szCs w:val="16"/>
        </w:rPr>
        <w:t>, FM aprēķiniem.</w:t>
      </w:r>
    </w:p>
  </w:footnote>
  <w:footnote w:id="43">
    <w:p w:rsidR="002B28B5" w:rsidRDefault="002B28B5" w:rsidP="00DE6A7F">
      <w:pPr>
        <w:pStyle w:val="FootnoteText"/>
        <w:jc w:val="both"/>
      </w:pPr>
      <w:r w:rsidRPr="00983DF2">
        <w:rPr>
          <w:rStyle w:val="FootnoteReference"/>
          <w:sz w:val="16"/>
          <w:szCs w:val="16"/>
        </w:rPr>
        <w:footnoteRef/>
      </w:r>
      <w:r w:rsidRPr="00983DF2">
        <w:rPr>
          <w:sz w:val="16"/>
          <w:szCs w:val="16"/>
        </w:rPr>
        <w:t xml:space="preserve"> Saskaņā ar Centrālās statistikas pārvaldes datiem, </w:t>
      </w:r>
      <w:hyperlink r:id="rId18" w:history="1">
        <w:r w:rsidRPr="00983DF2">
          <w:rPr>
            <w:rStyle w:val="Hyperlink"/>
            <w:sz w:val="16"/>
            <w:szCs w:val="16"/>
          </w:rPr>
          <w:t>http://www.csb.gov.lv/dati/statistikas-datubazes-28270.html</w:t>
        </w:r>
      </w:hyperlink>
      <w:r w:rsidRPr="00983DF2">
        <w:rPr>
          <w:sz w:val="16"/>
          <w:szCs w:val="16"/>
        </w:rPr>
        <w:t>, FM aprēķiniem.</w:t>
      </w:r>
    </w:p>
  </w:footnote>
  <w:footnote w:id="44">
    <w:p w:rsidR="002B28B5" w:rsidRPr="00CC0B20" w:rsidRDefault="002B28B5" w:rsidP="00DE6A7F">
      <w:pPr>
        <w:pStyle w:val="FootnoteText"/>
        <w:rPr>
          <w:sz w:val="16"/>
          <w:szCs w:val="16"/>
        </w:rPr>
      </w:pPr>
      <w:r w:rsidRPr="00CC0B20">
        <w:rPr>
          <w:rStyle w:val="FootnoteReference"/>
          <w:sz w:val="16"/>
          <w:szCs w:val="16"/>
        </w:rPr>
        <w:footnoteRef/>
      </w:r>
      <w:r w:rsidRPr="00CC0B20">
        <w:rPr>
          <w:sz w:val="16"/>
          <w:szCs w:val="16"/>
        </w:rPr>
        <w:t xml:space="preserve"> Saskaņā ar Centrālās statistikas pārvaldes datiem, </w:t>
      </w:r>
      <w:hyperlink r:id="rId19" w:history="1">
        <w:r w:rsidRPr="00CC0B20">
          <w:rPr>
            <w:rStyle w:val="Hyperlink"/>
            <w:sz w:val="16"/>
            <w:szCs w:val="16"/>
          </w:rPr>
          <w:t>http://www.csb.gov.lv/dati/statistikas-datubazes-28270.html</w:t>
        </w:r>
      </w:hyperlink>
      <w:r w:rsidRPr="00CC0B20">
        <w:rPr>
          <w:sz w:val="16"/>
          <w:szCs w:val="16"/>
        </w:rPr>
        <w:t>, FM aprēķiniem.</w:t>
      </w:r>
    </w:p>
  </w:footnote>
  <w:footnote w:id="45">
    <w:p w:rsidR="002B28B5" w:rsidRDefault="002B28B5" w:rsidP="00DE6A7F">
      <w:pPr>
        <w:pStyle w:val="FootnoteText"/>
      </w:pPr>
      <w:r w:rsidRPr="00CC0B20">
        <w:rPr>
          <w:rStyle w:val="FootnoteReference"/>
          <w:sz w:val="16"/>
          <w:szCs w:val="16"/>
        </w:rPr>
        <w:footnoteRef/>
      </w:r>
      <w:r w:rsidRPr="00CC0B20">
        <w:rPr>
          <w:sz w:val="16"/>
          <w:szCs w:val="16"/>
        </w:rPr>
        <w:t xml:space="preserve"> Saskaņā ar IZM datiem, </w:t>
      </w:r>
      <w:hyperlink r:id="rId20" w:history="1">
        <w:r w:rsidRPr="00CC0B20">
          <w:rPr>
            <w:rStyle w:val="Hyperlink"/>
            <w:sz w:val="16"/>
            <w:szCs w:val="16"/>
          </w:rPr>
          <w:t>http://www.izm.gov.lv/lv/publikacijas-un-statistika</w:t>
        </w:r>
      </w:hyperlink>
      <w:r w:rsidRPr="00CC0B20">
        <w:rPr>
          <w:sz w:val="16"/>
          <w:szCs w:val="16"/>
        </w:rPr>
        <w:t>.</w:t>
      </w:r>
      <w:r>
        <w:t xml:space="preserve"> </w:t>
      </w:r>
    </w:p>
  </w:footnote>
  <w:footnote w:id="46">
    <w:p w:rsidR="002B28B5" w:rsidRPr="00CC0B20" w:rsidRDefault="002B28B5" w:rsidP="00DE6A7F">
      <w:pPr>
        <w:pStyle w:val="FootnoteText"/>
        <w:rPr>
          <w:sz w:val="16"/>
          <w:szCs w:val="16"/>
        </w:rPr>
      </w:pPr>
      <w:r w:rsidRPr="00CC0B20">
        <w:rPr>
          <w:rStyle w:val="FootnoteReference"/>
          <w:sz w:val="16"/>
          <w:szCs w:val="16"/>
        </w:rPr>
        <w:footnoteRef/>
      </w:r>
      <w:r w:rsidRPr="00CC0B20">
        <w:rPr>
          <w:sz w:val="16"/>
          <w:szCs w:val="16"/>
        </w:rPr>
        <w:t xml:space="preserve"> Saskaņā ar Centrālās statistikas pārvaldes datiem, </w:t>
      </w:r>
      <w:hyperlink r:id="rId21" w:history="1">
        <w:r w:rsidRPr="00CC0B20">
          <w:rPr>
            <w:rStyle w:val="Hyperlink"/>
            <w:sz w:val="16"/>
            <w:szCs w:val="16"/>
          </w:rPr>
          <w:t>http://www.csb.gov.lv/dati/statistikas-datubazes-28270.html</w:t>
        </w:r>
      </w:hyperlink>
      <w:r w:rsidRPr="00CC0B20">
        <w:rPr>
          <w:rStyle w:val="Hyperlink"/>
          <w:sz w:val="16"/>
          <w:szCs w:val="16"/>
        </w:rPr>
        <w:t>.</w:t>
      </w:r>
    </w:p>
  </w:footnote>
  <w:footnote w:id="47">
    <w:p w:rsidR="002B28B5" w:rsidRPr="00F50BD9" w:rsidRDefault="002B28B5" w:rsidP="00F50BD9">
      <w:pPr>
        <w:pStyle w:val="FootnoteText"/>
        <w:jc w:val="both"/>
        <w:rPr>
          <w:sz w:val="16"/>
          <w:szCs w:val="16"/>
        </w:rPr>
      </w:pPr>
      <w:r w:rsidRPr="00F50BD9">
        <w:rPr>
          <w:rStyle w:val="FootnoteReference"/>
          <w:sz w:val="16"/>
          <w:szCs w:val="16"/>
        </w:rPr>
        <w:footnoteRef/>
      </w:r>
      <w:r w:rsidRPr="00F50BD9">
        <w:rPr>
          <w:sz w:val="16"/>
          <w:szCs w:val="16"/>
        </w:rPr>
        <w:t xml:space="preserve"> Ministru kabineta 2010.gada 14.decembra ieteikumiem Nr.2 “Valsts pārvaldes iestādes struktūras izveidošanas kārtība”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8B5" w:rsidRDefault="002B28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322081"/>
      <w:docPartObj>
        <w:docPartGallery w:val="Page Numbers (Top of Page)"/>
        <w:docPartUnique/>
      </w:docPartObj>
    </w:sdtPr>
    <w:sdtEndPr>
      <w:rPr>
        <w:noProof/>
      </w:rPr>
    </w:sdtEndPr>
    <w:sdtContent>
      <w:p w:rsidR="002B28B5" w:rsidRDefault="002B28B5">
        <w:pPr>
          <w:pStyle w:val="Header"/>
          <w:jc w:val="right"/>
        </w:pPr>
        <w:r>
          <w:fldChar w:fldCharType="begin"/>
        </w:r>
        <w:r>
          <w:instrText xml:space="preserve"> PAGE   \* MERGEFORMAT </w:instrText>
        </w:r>
        <w:r>
          <w:fldChar w:fldCharType="separate"/>
        </w:r>
        <w:r w:rsidR="00EF7FEF">
          <w:rPr>
            <w:noProof/>
          </w:rPr>
          <w:t>41</w:t>
        </w:r>
        <w:r>
          <w:rPr>
            <w:noProof/>
          </w:rPr>
          <w:fldChar w:fldCharType="end"/>
        </w:r>
      </w:p>
    </w:sdtContent>
  </w:sdt>
  <w:p w:rsidR="002B28B5" w:rsidRDefault="002B28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8B5" w:rsidRDefault="002B28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93E12"/>
    <w:multiLevelType w:val="hybridMultilevel"/>
    <w:tmpl w:val="E12CF084"/>
    <w:lvl w:ilvl="0" w:tplc="04260005">
      <w:start w:val="1"/>
      <w:numFmt w:val="bullet"/>
      <w:lvlText w:val=""/>
      <w:lvlJc w:val="left"/>
      <w:pPr>
        <w:tabs>
          <w:tab w:val="num" w:pos="720"/>
        </w:tabs>
        <w:ind w:left="720" w:hanging="360"/>
      </w:pPr>
      <w:rPr>
        <w:rFonts w:ascii="Wingdings" w:hAnsi="Wingdings" w:hint="default"/>
      </w:rPr>
    </w:lvl>
    <w:lvl w:ilvl="1" w:tplc="4C8E687C" w:tentative="1">
      <w:start w:val="1"/>
      <w:numFmt w:val="bullet"/>
      <w:lvlText w:val="•"/>
      <w:lvlJc w:val="left"/>
      <w:pPr>
        <w:tabs>
          <w:tab w:val="num" w:pos="1440"/>
        </w:tabs>
        <w:ind w:left="1440" w:hanging="360"/>
      </w:pPr>
      <w:rPr>
        <w:rFonts w:ascii="Arial" w:hAnsi="Arial" w:hint="default"/>
      </w:rPr>
    </w:lvl>
    <w:lvl w:ilvl="2" w:tplc="C8C81B3C" w:tentative="1">
      <w:start w:val="1"/>
      <w:numFmt w:val="bullet"/>
      <w:lvlText w:val="•"/>
      <w:lvlJc w:val="left"/>
      <w:pPr>
        <w:tabs>
          <w:tab w:val="num" w:pos="2160"/>
        </w:tabs>
        <w:ind w:left="2160" w:hanging="360"/>
      </w:pPr>
      <w:rPr>
        <w:rFonts w:ascii="Arial" w:hAnsi="Arial" w:hint="default"/>
      </w:rPr>
    </w:lvl>
    <w:lvl w:ilvl="3" w:tplc="0BB0CA0E" w:tentative="1">
      <w:start w:val="1"/>
      <w:numFmt w:val="bullet"/>
      <w:lvlText w:val="•"/>
      <w:lvlJc w:val="left"/>
      <w:pPr>
        <w:tabs>
          <w:tab w:val="num" w:pos="2880"/>
        </w:tabs>
        <w:ind w:left="2880" w:hanging="360"/>
      </w:pPr>
      <w:rPr>
        <w:rFonts w:ascii="Arial" w:hAnsi="Arial" w:hint="default"/>
      </w:rPr>
    </w:lvl>
    <w:lvl w:ilvl="4" w:tplc="1E8A1118" w:tentative="1">
      <w:start w:val="1"/>
      <w:numFmt w:val="bullet"/>
      <w:lvlText w:val="•"/>
      <w:lvlJc w:val="left"/>
      <w:pPr>
        <w:tabs>
          <w:tab w:val="num" w:pos="3600"/>
        </w:tabs>
        <w:ind w:left="3600" w:hanging="360"/>
      </w:pPr>
      <w:rPr>
        <w:rFonts w:ascii="Arial" w:hAnsi="Arial" w:hint="default"/>
      </w:rPr>
    </w:lvl>
    <w:lvl w:ilvl="5" w:tplc="364EB5E4" w:tentative="1">
      <w:start w:val="1"/>
      <w:numFmt w:val="bullet"/>
      <w:lvlText w:val="•"/>
      <w:lvlJc w:val="left"/>
      <w:pPr>
        <w:tabs>
          <w:tab w:val="num" w:pos="4320"/>
        </w:tabs>
        <w:ind w:left="4320" w:hanging="360"/>
      </w:pPr>
      <w:rPr>
        <w:rFonts w:ascii="Arial" w:hAnsi="Arial" w:hint="default"/>
      </w:rPr>
    </w:lvl>
    <w:lvl w:ilvl="6" w:tplc="6AC22E3E" w:tentative="1">
      <w:start w:val="1"/>
      <w:numFmt w:val="bullet"/>
      <w:lvlText w:val="•"/>
      <w:lvlJc w:val="left"/>
      <w:pPr>
        <w:tabs>
          <w:tab w:val="num" w:pos="5040"/>
        </w:tabs>
        <w:ind w:left="5040" w:hanging="360"/>
      </w:pPr>
      <w:rPr>
        <w:rFonts w:ascii="Arial" w:hAnsi="Arial" w:hint="default"/>
      </w:rPr>
    </w:lvl>
    <w:lvl w:ilvl="7" w:tplc="67EAE0A8" w:tentative="1">
      <w:start w:val="1"/>
      <w:numFmt w:val="bullet"/>
      <w:lvlText w:val="•"/>
      <w:lvlJc w:val="left"/>
      <w:pPr>
        <w:tabs>
          <w:tab w:val="num" w:pos="5760"/>
        </w:tabs>
        <w:ind w:left="5760" w:hanging="360"/>
      </w:pPr>
      <w:rPr>
        <w:rFonts w:ascii="Arial" w:hAnsi="Arial" w:hint="default"/>
      </w:rPr>
    </w:lvl>
    <w:lvl w:ilvl="8" w:tplc="10B686B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A17B87"/>
    <w:multiLevelType w:val="hybridMultilevel"/>
    <w:tmpl w:val="6C624CE2"/>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0C2E6CD6"/>
    <w:multiLevelType w:val="hybridMultilevel"/>
    <w:tmpl w:val="47560BBC"/>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0F9455D4"/>
    <w:multiLevelType w:val="hybridMultilevel"/>
    <w:tmpl w:val="C9DA30D6"/>
    <w:lvl w:ilvl="0" w:tplc="0426000F">
      <w:start w:val="1"/>
      <w:numFmt w:val="decimal"/>
      <w:lvlText w:val="%1."/>
      <w:lvlJc w:val="left"/>
      <w:pPr>
        <w:ind w:left="778" w:hanging="360"/>
      </w:pPr>
    </w:lvl>
    <w:lvl w:ilvl="1" w:tplc="04260019" w:tentative="1">
      <w:start w:val="1"/>
      <w:numFmt w:val="lowerLetter"/>
      <w:lvlText w:val="%2."/>
      <w:lvlJc w:val="left"/>
      <w:pPr>
        <w:ind w:left="1498" w:hanging="360"/>
      </w:pPr>
    </w:lvl>
    <w:lvl w:ilvl="2" w:tplc="0426001B" w:tentative="1">
      <w:start w:val="1"/>
      <w:numFmt w:val="lowerRoman"/>
      <w:lvlText w:val="%3."/>
      <w:lvlJc w:val="right"/>
      <w:pPr>
        <w:ind w:left="2218" w:hanging="180"/>
      </w:pPr>
    </w:lvl>
    <w:lvl w:ilvl="3" w:tplc="0426000F" w:tentative="1">
      <w:start w:val="1"/>
      <w:numFmt w:val="decimal"/>
      <w:lvlText w:val="%4."/>
      <w:lvlJc w:val="left"/>
      <w:pPr>
        <w:ind w:left="2938" w:hanging="360"/>
      </w:pPr>
    </w:lvl>
    <w:lvl w:ilvl="4" w:tplc="04260019" w:tentative="1">
      <w:start w:val="1"/>
      <w:numFmt w:val="lowerLetter"/>
      <w:lvlText w:val="%5."/>
      <w:lvlJc w:val="left"/>
      <w:pPr>
        <w:ind w:left="3658" w:hanging="360"/>
      </w:pPr>
    </w:lvl>
    <w:lvl w:ilvl="5" w:tplc="0426001B" w:tentative="1">
      <w:start w:val="1"/>
      <w:numFmt w:val="lowerRoman"/>
      <w:lvlText w:val="%6."/>
      <w:lvlJc w:val="right"/>
      <w:pPr>
        <w:ind w:left="4378" w:hanging="180"/>
      </w:pPr>
    </w:lvl>
    <w:lvl w:ilvl="6" w:tplc="0426000F" w:tentative="1">
      <w:start w:val="1"/>
      <w:numFmt w:val="decimal"/>
      <w:lvlText w:val="%7."/>
      <w:lvlJc w:val="left"/>
      <w:pPr>
        <w:ind w:left="5098" w:hanging="360"/>
      </w:pPr>
    </w:lvl>
    <w:lvl w:ilvl="7" w:tplc="04260019" w:tentative="1">
      <w:start w:val="1"/>
      <w:numFmt w:val="lowerLetter"/>
      <w:lvlText w:val="%8."/>
      <w:lvlJc w:val="left"/>
      <w:pPr>
        <w:ind w:left="5818" w:hanging="360"/>
      </w:pPr>
    </w:lvl>
    <w:lvl w:ilvl="8" w:tplc="0426001B" w:tentative="1">
      <w:start w:val="1"/>
      <w:numFmt w:val="lowerRoman"/>
      <w:lvlText w:val="%9."/>
      <w:lvlJc w:val="right"/>
      <w:pPr>
        <w:ind w:left="6538" w:hanging="180"/>
      </w:pPr>
    </w:lvl>
  </w:abstractNum>
  <w:abstractNum w:abstractNumId="4" w15:restartNumberingAfterBreak="0">
    <w:nsid w:val="0FA842C3"/>
    <w:multiLevelType w:val="multilevel"/>
    <w:tmpl w:val="CD40B73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AF5B38"/>
    <w:multiLevelType w:val="hybridMultilevel"/>
    <w:tmpl w:val="0100C00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491F54"/>
    <w:multiLevelType w:val="hybridMultilevel"/>
    <w:tmpl w:val="2E8E5E3A"/>
    <w:lvl w:ilvl="0" w:tplc="04260011">
      <w:start w:val="1"/>
      <w:numFmt w:val="decimal"/>
      <w:lvlText w:val="%1)"/>
      <w:lvlJc w:val="left"/>
      <w:pPr>
        <w:ind w:left="720" w:hanging="360"/>
      </w:pPr>
    </w:lvl>
    <w:lvl w:ilvl="1" w:tplc="5232A5D2">
      <w:start w:val="1"/>
      <w:numFmt w:val="decimal"/>
      <w:lvlText w:val="%2)"/>
      <w:lvlJc w:val="left"/>
      <w:pPr>
        <w:ind w:left="1440" w:hanging="360"/>
      </w:pPr>
      <w:rPr>
        <w:rFonts w:ascii="Times New Roman" w:eastAsiaTheme="minorHAnsi"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0A0BFB"/>
    <w:multiLevelType w:val="multilevel"/>
    <w:tmpl w:val="E83E1E98"/>
    <w:lvl w:ilvl="0">
      <w:start w:val="1"/>
      <w:numFmt w:val="decimal"/>
      <w:lvlText w:val="%1."/>
      <w:lvlJc w:val="left"/>
      <w:pPr>
        <w:ind w:left="717" w:hanging="360"/>
      </w:pPr>
      <w:rPr>
        <w:rFonts w:hint="default"/>
        <w:color w:val="auto"/>
      </w:rPr>
    </w:lvl>
    <w:lvl w:ilvl="1">
      <w:start w:val="1"/>
      <w:numFmt w:val="decimal"/>
      <w:isLgl/>
      <w:lvlText w:val="%2."/>
      <w:lvlJc w:val="left"/>
      <w:pPr>
        <w:ind w:left="2705" w:hanging="720"/>
      </w:pPr>
      <w:rPr>
        <w:rFonts w:ascii="Times New Roman" w:eastAsiaTheme="minorHAnsi" w:hAnsi="Times New Roman" w:cs="Times New Roman"/>
      </w:rPr>
    </w:lvl>
    <w:lvl w:ilvl="2">
      <w:start w:val="1"/>
      <w:numFmt w:val="decimal"/>
      <w:isLgl/>
      <w:lvlText w:val="%1.%2.%3."/>
      <w:lvlJc w:val="left"/>
      <w:pPr>
        <w:ind w:left="1797" w:hanging="720"/>
      </w:pPr>
      <w:rPr>
        <w:rFonts w:hint="default"/>
      </w:rPr>
    </w:lvl>
    <w:lvl w:ilvl="3">
      <w:start w:val="1"/>
      <w:numFmt w:val="decimal"/>
      <w:isLgl/>
      <w:lvlText w:val="%1.%2.%3.%4."/>
      <w:lvlJc w:val="left"/>
      <w:pPr>
        <w:ind w:left="2517" w:hanging="1080"/>
      </w:pPr>
      <w:rPr>
        <w:rFonts w:hint="default"/>
      </w:rPr>
    </w:lvl>
    <w:lvl w:ilvl="4">
      <w:start w:val="1"/>
      <w:numFmt w:val="decimal"/>
      <w:isLgl/>
      <w:lvlText w:val="%1.%2.%3.%4.%5."/>
      <w:lvlJc w:val="left"/>
      <w:pPr>
        <w:ind w:left="2877" w:hanging="1080"/>
      </w:pPr>
      <w:rPr>
        <w:rFonts w:hint="default"/>
      </w:rPr>
    </w:lvl>
    <w:lvl w:ilvl="5">
      <w:start w:val="1"/>
      <w:numFmt w:val="decimal"/>
      <w:isLgl/>
      <w:lvlText w:val="%1.%2.%3.%4.%5.%6."/>
      <w:lvlJc w:val="left"/>
      <w:pPr>
        <w:ind w:left="3597" w:hanging="1440"/>
      </w:pPr>
      <w:rPr>
        <w:rFonts w:hint="default"/>
      </w:rPr>
    </w:lvl>
    <w:lvl w:ilvl="6">
      <w:start w:val="1"/>
      <w:numFmt w:val="decimal"/>
      <w:isLgl/>
      <w:lvlText w:val="%1.%2.%3.%4.%5.%6.%7."/>
      <w:lvlJc w:val="left"/>
      <w:pPr>
        <w:ind w:left="4317" w:hanging="1800"/>
      </w:pPr>
      <w:rPr>
        <w:rFonts w:hint="default"/>
      </w:rPr>
    </w:lvl>
    <w:lvl w:ilvl="7">
      <w:start w:val="1"/>
      <w:numFmt w:val="decimal"/>
      <w:isLgl/>
      <w:lvlText w:val="%1.%2.%3.%4.%5.%6.%7.%8."/>
      <w:lvlJc w:val="left"/>
      <w:pPr>
        <w:ind w:left="4677" w:hanging="1800"/>
      </w:pPr>
      <w:rPr>
        <w:rFonts w:hint="default"/>
      </w:rPr>
    </w:lvl>
    <w:lvl w:ilvl="8">
      <w:start w:val="1"/>
      <w:numFmt w:val="decimal"/>
      <w:isLgl/>
      <w:lvlText w:val="%1.%2.%3.%4.%5.%6.%7.%8.%9."/>
      <w:lvlJc w:val="left"/>
      <w:pPr>
        <w:ind w:left="5397" w:hanging="2160"/>
      </w:pPr>
      <w:rPr>
        <w:rFonts w:hint="default"/>
      </w:rPr>
    </w:lvl>
  </w:abstractNum>
  <w:abstractNum w:abstractNumId="8" w15:restartNumberingAfterBreak="0">
    <w:nsid w:val="1601588F"/>
    <w:multiLevelType w:val="multilevel"/>
    <w:tmpl w:val="6268A61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1E5786"/>
    <w:multiLevelType w:val="hybridMultilevel"/>
    <w:tmpl w:val="F7DA17E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6505B3"/>
    <w:multiLevelType w:val="hybridMultilevel"/>
    <w:tmpl w:val="82FA2E56"/>
    <w:lvl w:ilvl="0" w:tplc="04260005">
      <w:start w:val="1"/>
      <w:numFmt w:val="bullet"/>
      <w:lvlText w:val=""/>
      <w:lvlJc w:val="left"/>
      <w:pPr>
        <w:tabs>
          <w:tab w:val="num" w:pos="720"/>
        </w:tabs>
        <w:ind w:left="720" w:hanging="360"/>
      </w:pPr>
      <w:rPr>
        <w:rFonts w:ascii="Wingdings" w:hAnsi="Wingdings" w:hint="default"/>
      </w:rPr>
    </w:lvl>
    <w:lvl w:ilvl="1" w:tplc="1D9656E4" w:tentative="1">
      <w:start w:val="1"/>
      <w:numFmt w:val="bullet"/>
      <w:lvlText w:val="•"/>
      <w:lvlJc w:val="left"/>
      <w:pPr>
        <w:tabs>
          <w:tab w:val="num" w:pos="1440"/>
        </w:tabs>
        <w:ind w:left="1440" w:hanging="360"/>
      </w:pPr>
      <w:rPr>
        <w:rFonts w:ascii="Times New Roman" w:hAnsi="Times New Roman" w:hint="default"/>
      </w:rPr>
    </w:lvl>
    <w:lvl w:ilvl="2" w:tplc="E5EADA92" w:tentative="1">
      <w:start w:val="1"/>
      <w:numFmt w:val="bullet"/>
      <w:lvlText w:val="•"/>
      <w:lvlJc w:val="left"/>
      <w:pPr>
        <w:tabs>
          <w:tab w:val="num" w:pos="2160"/>
        </w:tabs>
        <w:ind w:left="2160" w:hanging="360"/>
      </w:pPr>
      <w:rPr>
        <w:rFonts w:ascii="Times New Roman" w:hAnsi="Times New Roman" w:hint="default"/>
      </w:rPr>
    </w:lvl>
    <w:lvl w:ilvl="3" w:tplc="B2F60B3C" w:tentative="1">
      <w:start w:val="1"/>
      <w:numFmt w:val="bullet"/>
      <w:lvlText w:val="•"/>
      <w:lvlJc w:val="left"/>
      <w:pPr>
        <w:tabs>
          <w:tab w:val="num" w:pos="2880"/>
        </w:tabs>
        <w:ind w:left="2880" w:hanging="360"/>
      </w:pPr>
      <w:rPr>
        <w:rFonts w:ascii="Times New Roman" w:hAnsi="Times New Roman" w:hint="default"/>
      </w:rPr>
    </w:lvl>
    <w:lvl w:ilvl="4" w:tplc="46A0F380" w:tentative="1">
      <w:start w:val="1"/>
      <w:numFmt w:val="bullet"/>
      <w:lvlText w:val="•"/>
      <w:lvlJc w:val="left"/>
      <w:pPr>
        <w:tabs>
          <w:tab w:val="num" w:pos="3600"/>
        </w:tabs>
        <w:ind w:left="3600" w:hanging="360"/>
      </w:pPr>
      <w:rPr>
        <w:rFonts w:ascii="Times New Roman" w:hAnsi="Times New Roman" w:hint="default"/>
      </w:rPr>
    </w:lvl>
    <w:lvl w:ilvl="5" w:tplc="2C96E402" w:tentative="1">
      <w:start w:val="1"/>
      <w:numFmt w:val="bullet"/>
      <w:lvlText w:val="•"/>
      <w:lvlJc w:val="left"/>
      <w:pPr>
        <w:tabs>
          <w:tab w:val="num" w:pos="4320"/>
        </w:tabs>
        <w:ind w:left="4320" w:hanging="360"/>
      </w:pPr>
      <w:rPr>
        <w:rFonts w:ascii="Times New Roman" w:hAnsi="Times New Roman" w:hint="default"/>
      </w:rPr>
    </w:lvl>
    <w:lvl w:ilvl="6" w:tplc="A808D4D6" w:tentative="1">
      <w:start w:val="1"/>
      <w:numFmt w:val="bullet"/>
      <w:lvlText w:val="•"/>
      <w:lvlJc w:val="left"/>
      <w:pPr>
        <w:tabs>
          <w:tab w:val="num" w:pos="5040"/>
        </w:tabs>
        <w:ind w:left="5040" w:hanging="360"/>
      </w:pPr>
      <w:rPr>
        <w:rFonts w:ascii="Times New Roman" w:hAnsi="Times New Roman" w:hint="default"/>
      </w:rPr>
    </w:lvl>
    <w:lvl w:ilvl="7" w:tplc="985C6758" w:tentative="1">
      <w:start w:val="1"/>
      <w:numFmt w:val="bullet"/>
      <w:lvlText w:val="•"/>
      <w:lvlJc w:val="left"/>
      <w:pPr>
        <w:tabs>
          <w:tab w:val="num" w:pos="5760"/>
        </w:tabs>
        <w:ind w:left="5760" w:hanging="360"/>
      </w:pPr>
      <w:rPr>
        <w:rFonts w:ascii="Times New Roman" w:hAnsi="Times New Roman" w:hint="default"/>
      </w:rPr>
    </w:lvl>
    <w:lvl w:ilvl="8" w:tplc="3208D54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E1E205D"/>
    <w:multiLevelType w:val="hybridMultilevel"/>
    <w:tmpl w:val="ABCEA114"/>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06A3757"/>
    <w:multiLevelType w:val="hybridMultilevel"/>
    <w:tmpl w:val="16D44948"/>
    <w:lvl w:ilvl="0" w:tplc="04260005">
      <w:start w:val="1"/>
      <w:numFmt w:val="bullet"/>
      <w:lvlText w:val=""/>
      <w:lvlJc w:val="left"/>
      <w:pPr>
        <w:ind w:left="720" w:hanging="360"/>
      </w:pPr>
      <w:rPr>
        <w:rFonts w:ascii="Wingdings" w:hAnsi="Wingdings" w:hint="default"/>
      </w:rPr>
    </w:lvl>
    <w:lvl w:ilvl="1" w:tplc="04260005">
      <w:start w:val="1"/>
      <w:numFmt w:val="bullet"/>
      <w:lvlText w:val=""/>
      <w:lvlJc w:val="left"/>
      <w:pPr>
        <w:ind w:left="1440" w:hanging="360"/>
      </w:pPr>
      <w:rPr>
        <w:rFonts w:ascii="Wingdings" w:hAnsi="Wingdings" w:hint="default"/>
      </w:rPr>
    </w:lvl>
    <w:lvl w:ilvl="2" w:tplc="04260005">
      <w:start w:val="1"/>
      <w:numFmt w:val="bullet"/>
      <w:lvlText w:val=""/>
      <w:lvlJc w:val="left"/>
      <w:pPr>
        <w:ind w:left="2160" w:hanging="360"/>
      </w:pPr>
      <w:rPr>
        <w:rFonts w:ascii="Wingdings" w:hAnsi="Wingdings" w:hint="default"/>
      </w:rPr>
    </w:lvl>
    <w:lvl w:ilvl="3" w:tplc="04260005">
      <w:start w:val="1"/>
      <w:numFmt w:val="bullet"/>
      <w:lvlText w:val=""/>
      <w:lvlJc w:val="left"/>
      <w:pPr>
        <w:ind w:left="2880" w:hanging="360"/>
      </w:pPr>
      <w:rPr>
        <w:rFonts w:ascii="Wingdings" w:hAnsi="Wingdings"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37A2E8F"/>
    <w:multiLevelType w:val="hybridMultilevel"/>
    <w:tmpl w:val="605AEA98"/>
    <w:lvl w:ilvl="0" w:tplc="4B60F6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6AD7C2C"/>
    <w:multiLevelType w:val="hybridMultilevel"/>
    <w:tmpl w:val="F5EC071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3A157D3"/>
    <w:multiLevelType w:val="hybridMultilevel"/>
    <w:tmpl w:val="0F02094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3C41E94"/>
    <w:multiLevelType w:val="hybridMultilevel"/>
    <w:tmpl w:val="B2526162"/>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35C51346"/>
    <w:multiLevelType w:val="multilevel"/>
    <w:tmpl w:val="E48EA66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7E173F5"/>
    <w:multiLevelType w:val="multilevel"/>
    <w:tmpl w:val="A094FAF6"/>
    <w:lvl w:ilvl="0">
      <w:start w:val="1"/>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3A8B2434"/>
    <w:multiLevelType w:val="hybridMultilevel"/>
    <w:tmpl w:val="1776559A"/>
    <w:lvl w:ilvl="0" w:tplc="04260005">
      <w:start w:val="1"/>
      <w:numFmt w:val="bullet"/>
      <w:lvlText w:val=""/>
      <w:lvlJc w:val="left"/>
      <w:pPr>
        <w:ind w:left="1069" w:hanging="360"/>
      </w:pPr>
      <w:rPr>
        <w:rFonts w:ascii="Wingdings" w:hAnsi="Wingdings" w:hint="default"/>
      </w:rPr>
    </w:lvl>
    <w:lvl w:ilvl="1" w:tplc="04260011">
      <w:start w:val="1"/>
      <w:numFmt w:val="decimal"/>
      <w:lvlText w:val="%2)"/>
      <w:lvlJc w:val="left"/>
      <w:pPr>
        <w:ind w:left="1637" w:hanging="360"/>
      </w:pPr>
    </w:lvl>
    <w:lvl w:ilvl="2" w:tplc="04260005">
      <w:start w:val="1"/>
      <w:numFmt w:val="bullet"/>
      <w:lvlText w:val=""/>
      <w:lvlJc w:val="left"/>
      <w:pPr>
        <w:ind w:left="2509" w:hanging="360"/>
      </w:pPr>
      <w:rPr>
        <w:rFonts w:ascii="Wingdings" w:hAnsi="Wingdings" w:hint="default"/>
      </w:rPr>
    </w:lvl>
    <w:lvl w:ilvl="3" w:tplc="04260001">
      <w:start w:val="1"/>
      <w:numFmt w:val="bullet"/>
      <w:lvlText w:val=""/>
      <w:lvlJc w:val="left"/>
      <w:pPr>
        <w:ind w:left="3229" w:hanging="360"/>
      </w:pPr>
      <w:rPr>
        <w:rFonts w:ascii="Symbol" w:hAnsi="Symbol" w:hint="default"/>
      </w:rPr>
    </w:lvl>
    <w:lvl w:ilvl="4" w:tplc="04260003">
      <w:start w:val="1"/>
      <w:numFmt w:val="bullet"/>
      <w:lvlText w:val="o"/>
      <w:lvlJc w:val="left"/>
      <w:pPr>
        <w:ind w:left="3949" w:hanging="360"/>
      </w:pPr>
      <w:rPr>
        <w:rFonts w:ascii="Courier New" w:hAnsi="Courier New" w:cs="Courier New" w:hint="default"/>
      </w:rPr>
    </w:lvl>
    <w:lvl w:ilvl="5" w:tplc="04260005">
      <w:start w:val="1"/>
      <w:numFmt w:val="bullet"/>
      <w:lvlText w:val=""/>
      <w:lvlJc w:val="left"/>
      <w:pPr>
        <w:ind w:left="4669" w:hanging="360"/>
      </w:pPr>
      <w:rPr>
        <w:rFonts w:ascii="Wingdings" w:hAnsi="Wingdings" w:hint="default"/>
      </w:rPr>
    </w:lvl>
    <w:lvl w:ilvl="6" w:tplc="04260001">
      <w:start w:val="1"/>
      <w:numFmt w:val="bullet"/>
      <w:lvlText w:val=""/>
      <w:lvlJc w:val="left"/>
      <w:pPr>
        <w:ind w:left="5389" w:hanging="360"/>
      </w:pPr>
      <w:rPr>
        <w:rFonts w:ascii="Symbol" w:hAnsi="Symbol" w:hint="default"/>
      </w:rPr>
    </w:lvl>
    <w:lvl w:ilvl="7" w:tplc="04260003">
      <w:start w:val="1"/>
      <w:numFmt w:val="bullet"/>
      <w:lvlText w:val="o"/>
      <w:lvlJc w:val="left"/>
      <w:pPr>
        <w:ind w:left="6109" w:hanging="360"/>
      </w:pPr>
      <w:rPr>
        <w:rFonts w:ascii="Courier New" w:hAnsi="Courier New" w:cs="Courier New" w:hint="default"/>
      </w:rPr>
    </w:lvl>
    <w:lvl w:ilvl="8" w:tplc="04260005">
      <w:start w:val="1"/>
      <w:numFmt w:val="bullet"/>
      <w:lvlText w:val=""/>
      <w:lvlJc w:val="left"/>
      <w:pPr>
        <w:ind w:left="6829" w:hanging="360"/>
      </w:pPr>
      <w:rPr>
        <w:rFonts w:ascii="Wingdings" w:hAnsi="Wingdings" w:hint="default"/>
      </w:rPr>
    </w:lvl>
  </w:abstractNum>
  <w:abstractNum w:abstractNumId="20" w15:restartNumberingAfterBreak="0">
    <w:nsid w:val="3B737B8E"/>
    <w:multiLevelType w:val="hybridMultilevel"/>
    <w:tmpl w:val="A650D3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DA7011B"/>
    <w:multiLevelType w:val="hybridMultilevel"/>
    <w:tmpl w:val="D464BF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1517F15"/>
    <w:multiLevelType w:val="hybridMultilevel"/>
    <w:tmpl w:val="44503BE8"/>
    <w:lvl w:ilvl="0" w:tplc="86B8BF8E">
      <w:start w:val="1"/>
      <w:numFmt w:val="decimal"/>
      <w:lvlText w:val="%1."/>
      <w:lvlJc w:val="left"/>
      <w:pPr>
        <w:ind w:left="4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2421A2A"/>
    <w:multiLevelType w:val="hybridMultilevel"/>
    <w:tmpl w:val="165E5C38"/>
    <w:lvl w:ilvl="0" w:tplc="0942A0D8">
      <w:start w:val="2"/>
      <w:numFmt w:val="decimal"/>
      <w:lvlText w:val="%1."/>
      <w:lvlJc w:val="left"/>
      <w:pPr>
        <w:ind w:left="720" w:hanging="360"/>
      </w:pPr>
      <w:rPr>
        <w:rFonts w:ascii="Calibri" w:hAnsi="Calibri" w:hint="default"/>
        <w:sz w:val="2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4284163F"/>
    <w:multiLevelType w:val="hybridMultilevel"/>
    <w:tmpl w:val="3070B0C0"/>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32363B5"/>
    <w:multiLevelType w:val="multilevel"/>
    <w:tmpl w:val="D722B11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50F1C8B"/>
    <w:multiLevelType w:val="hybridMultilevel"/>
    <w:tmpl w:val="85C2F752"/>
    <w:lvl w:ilvl="0" w:tplc="04260005">
      <w:start w:val="1"/>
      <w:numFmt w:val="bullet"/>
      <w:lvlText w:val=""/>
      <w:lvlJc w:val="left"/>
      <w:pPr>
        <w:tabs>
          <w:tab w:val="num" w:pos="720"/>
        </w:tabs>
        <w:ind w:left="720" w:hanging="360"/>
      </w:pPr>
      <w:rPr>
        <w:rFonts w:ascii="Wingdings" w:hAnsi="Wingdings" w:hint="default"/>
      </w:rPr>
    </w:lvl>
    <w:lvl w:ilvl="1" w:tplc="1D9656E4" w:tentative="1">
      <w:start w:val="1"/>
      <w:numFmt w:val="bullet"/>
      <w:lvlText w:val="•"/>
      <w:lvlJc w:val="left"/>
      <w:pPr>
        <w:tabs>
          <w:tab w:val="num" w:pos="1440"/>
        </w:tabs>
        <w:ind w:left="1440" w:hanging="360"/>
      </w:pPr>
      <w:rPr>
        <w:rFonts w:ascii="Times New Roman" w:hAnsi="Times New Roman" w:hint="default"/>
      </w:rPr>
    </w:lvl>
    <w:lvl w:ilvl="2" w:tplc="E5EADA92" w:tentative="1">
      <w:start w:val="1"/>
      <w:numFmt w:val="bullet"/>
      <w:lvlText w:val="•"/>
      <w:lvlJc w:val="left"/>
      <w:pPr>
        <w:tabs>
          <w:tab w:val="num" w:pos="2160"/>
        </w:tabs>
        <w:ind w:left="2160" w:hanging="360"/>
      </w:pPr>
      <w:rPr>
        <w:rFonts w:ascii="Times New Roman" w:hAnsi="Times New Roman" w:hint="default"/>
      </w:rPr>
    </w:lvl>
    <w:lvl w:ilvl="3" w:tplc="B2F60B3C" w:tentative="1">
      <w:start w:val="1"/>
      <w:numFmt w:val="bullet"/>
      <w:lvlText w:val="•"/>
      <w:lvlJc w:val="left"/>
      <w:pPr>
        <w:tabs>
          <w:tab w:val="num" w:pos="2880"/>
        </w:tabs>
        <w:ind w:left="2880" w:hanging="360"/>
      </w:pPr>
      <w:rPr>
        <w:rFonts w:ascii="Times New Roman" w:hAnsi="Times New Roman" w:hint="default"/>
      </w:rPr>
    </w:lvl>
    <w:lvl w:ilvl="4" w:tplc="46A0F380" w:tentative="1">
      <w:start w:val="1"/>
      <w:numFmt w:val="bullet"/>
      <w:lvlText w:val="•"/>
      <w:lvlJc w:val="left"/>
      <w:pPr>
        <w:tabs>
          <w:tab w:val="num" w:pos="3600"/>
        </w:tabs>
        <w:ind w:left="3600" w:hanging="360"/>
      </w:pPr>
      <w:rPr>
        <w:rFonts w:ascii="Times New Roman" w:hAnsi="Times New Roman" w:hint="default"/>
      </w:rPr>
    </w:lvl>
    <w:lvl w:ilvl="5" w:tplc="2C96E402" w:tentative="1">
      <w:start w:val="1"/>
      <w:numFmt w:val="bullet"/>
      <w:lvlText w:val="•"/>
      <w:lvlJc w:val="left"/>
      <w:pPr>
        <w:tabs>
          <w:tab w:val="num" w:pos="4320"/>
        </w:tabs>
        <w:ind w:left="4320" w:hanging="360"/>
      </w:pPr>
      <w:rPr>
        <w:rFonts w:ascii="Times New Roman" w:hAnsi="Times New Roman" w:hint="default"/>
      </w:rPr>
    </w:lvl>
    <w:lvl w:ilvl="6" w:tplc="A808D4D6" w:tentative="1">
      <w:start w:val="1"/>
      <w:numFmt w:val="bullet"/>
      <w:lvlText w:val="•"/>
      <w:lvlJc w:val="left"/>
      <w:pPr>
        <w:tabs>
          <w:tab w:val="num" w:pos="5040"/>
        </w:tabs>
        <w:ind w:left="5040" w:hanging="360"/>
      </w:pPr>
      <w:rPr>
        <w:rFonts w:ascii="Times New Roman" w:hAnsi="Times New Roman" w:hint="default"/>
      </w:rPr>
    </w:lvl>
    <w:lvl w:ilvl="7" w:tplc="985C6758" w:tentative="1">
      <w:start w:val="1"/>
      <w:numFmt w:val="bullet"/>
      <w:lvlText w:val="•"/>
      <w:lvlJc w:val="left"/>
      <w:pPr>
        <w:tabs>
          <w:tab w:val="num" w:pos="5760"/>
        </w:tabs>
        <w:ind w:left="5760" w:hanging="360"/>
      </w:pPr>
      <w:rPr>
        <w:rFonts w:ascii="Times New Roman" w:hAnsi="Times New Roman" w:hint="default"/>
      </w:rPr>
    </w:lvl>
    <w:lvl w:ilvl="8" w:tplc="3208D54E"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47391AF8"/>
    <w:multiLevelType w:val="hybridMultilevel"/>
    <w:tmpl w:val="2BEAFC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4A281EBF"/>
    <w:multiLevelType w:val="hybridMultilevel"/>
    <w:tmpl w:val="6E3E97CC"/>
    <w:lvl w:ilvl="0" w:tplc="04260005">
      <w:start w:val="1"/>
      <w:numFmt w:val="bullet"/>
      <w:lvlText w:val=""/>
      <w:lvlJc w:val="left"/>
      <w:pPr>
        <w:ind w:left="340" w:hanging="34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4B652E59"/>
    <w:multiLevelType w:val="hybridMultilevel"/>
    <w:tmpl w:val="AB9854B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8713C1C"/>
    <w:multiLevelType w:val="hybridMultilevel"/>
    <w:tmpl w:val="746254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0270D01"/>
    <w:multiLevelType w:val="hybridMultilevel"/>
    <w:tmpl w:val="271E331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20F338E"/>
    <w:multiLevelType w:val="hybridMultilevel"/>
    <w:tmpl w:val="F5AA1656"/>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3" w15:restartNumberingAfterBreak="0">
    <w:nsid w:val="62F3592A"/>
    <w:multiLevelType w:val="hybridMultilevel"/>
    <w:tmpl w:val="C5E0DE34"/>
    <w:lvl w:ilvl="0" w:tplc="08090001">
      <w:start w:val="1"/>
      <w:numFmt w:val="bullet"/>
      <w:lvlText w:val=""/>
      <w:lvlJc w:val="left"/>
      <w:pPr>
        <w:ind w:left="2062" w:hanging="360"/>
      </w:pPr>
      <w:rPr>
        <w:rFonts w:ascii="Symbol" w:hAnsi="Symbol" w:hint="default"/>
      </w:rPr>
    </w:lvl>
    <w:lvl w:ilvl="1" w:tplc="08090003" w:tentative="1">
      <w:start w:val="1"/>
      <w:numFmt w:val="bullet"/>
      <w:lvlText w:val="o"/>
      <w:lvlJc w:val="left"/>
      <w:pPr>
        <w:ind w:left="2782" w:hanging="360"/>
      </w:pPr>
      <w:rPr>
        <w:rFonts w:ascii="Courier New" w:hAnsi="Courier New" w:cs="Courier New" w:hint="default"/>
      </w:rPr>
    </w:lvl>
    <w:lvl w:ilvl="2" w:tplc="08090005" w:tentative="1">
      <w:start w:val="1"/>
      <w:numFmt w:val="bullet"/>
      <w:lvlText w:val=""/>
      <w:lvlJc w:val="left"/>
      <w:pPr>
        <w:ind w:left="3502" w:hanging="360"/>
      </w:pPr>
      <w:rPr>
        <w:rFonts w:ascii="Wingdings" w:hAnsi="Wingdings" w:hint="default"/>
      </w:rPr>
    </w:lvl>
    <w:lvl w:ilvl="3" w:tplc="08090001" w:tentative="1">
      <w:start w:val="1"/>
      <w:numFmt w:val="bullet"/>
      <w:lvlText w:val=""/>
      <w:lvlJc w:val="left"/>
      <w:pPr>
        <w:ind w:left="4222" w:hanging="360"/>
      </w:pPr>
      <w:rPr>
        <w:rFonts w:ascii="Symbol" w:hAnsi="Symbol" w:hint="default"/>
      </w:rPr>
    </w:lvl>
    <w:lvl w:ilvl="4" w:tplc="08090003" w:tentative="1">
      <w:start w:val="1"/>
      <w:numFmt w:val="bullet"/>
      <w:lvlText w:val="o"/>
      <w:lvlJc w:val="left"/>
      <w:pPr>
        <w:ind w:left="4942" w:hanging="360"/>
      </w:pPr>
      <w:rPr>
        <w:rFonts w:ascii="Courier New" w:hAnsi="Courier New" w:cs="Courier New" w:hint="default"/>
      </w:rPr>
    </w:lvl>
    <w:lvl w:ilvl="5" w:tplc="08090005" w:tentative="1">
      <w:start w:val="1"/>
      <w:numFmt w:val="bullet"/>
      <w:lvlText w:val=""/>
      <w:lvlJc w:val="left"/>
      <w:pPr>
        <w:ind w:left="5662" w:hanging="360"/>
      </w:pPr>
      <w:rPr>
        <w:rFonts w:ascii="Wingdings" w:hAnsi="Wingdings" w:hint="default"/>
      </w:rPr>
    </w:lvl>
    <w:lvl w:ilvl="6" w:tplc="08090001" w:tentative="1">
      <w:start w:val="1"/>
      <w:numFmt w:val="bullet"/>
      <w:lvlText w:val=""/>
      <w:lvlJc w:val="left"/>
      <w:pPr>
        <w:ind w:left="6382" w:hanging="360"/>
      </w:pPr>
      <w:rPr>
        <w:rFonts w:ascii="Symbol" w:hAnsi="Symbol" w:hint="default"/>
      </w:rPr>
    </w:lvl>
    <w:lvl w:ilvl="7" w:tplc="08090003" w:tentative="1">
      <w:start w:val="1"/>
      <w:numFmt w:val="bullet"/>
      <w:lvlText w:val="o"/>
      <w:lvlJc w:val="left"/>
      <w:pPr>
        <w:ind w:left="7102" w:hanging="360"/>
      </w:pPr>
      <w:rPr>
        <w:rFonts w:ascii="Courier New" w:hAnsi="Courier New" w:cs="Courier New" w:hint="default"/>
      </w:rPr>
    </w:lvl>
    <w:lvl w:ilvl="8" w:tplc="08090005" w:tentative="1">
      <w:start w:val="1"/>
      <w:numFmt w:val="bullet"/>
      <w:lvlText w:val=""/>
      <w:lvlJc w:val="left"/>
      <w:pPr>
        <w:ind w:left="7822" w:hanging="360"/>
      </w:pPr>
      <w:rPr>
        <w:rFonts w:ascii="Wingdings" w:hAnsi="Wingdings" w:hint="default"/>
      </w:rPr>
    </w:lvl>
  </w:abstractNum>
  <w:abstractNum w:abstractNumId="34" w15:restartNumberingAfterBreak="0">
    <w:nsid w:val="62F756EC"/>
    <w:multiLevelType w:val="hybridMultilevel"/>
    <w:tmpl w:val="C92C2B1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4474B52"/>
    <w:multiLevelType w:val="multilevel"/>
    <w:tmpl w:val="9C444DDA"/>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5610E80"/>
    <w:multiLevelType w:val="hybridMultilevel"/>
    <w:tmpl w:val="663A2E0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678239F2"/>
    <w:multiLevelType w:val="multilevel"/>
    <w:tmpl w:val="7632D2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7951A17"/>
    <w:multiLevelType w:val="multilevel"/>
    <w:tmpl w:val="783E86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7D10C34"/>
    <w:multiLevelType w:val="hybridMultilevel"/>
    <w:tmpl w:val="B1CC933E"/>
    <w:lvl w:ilvl="0" w:tplc="19B80C52">
      <w:start w:val="1"/>
      <w:numFmt w:val="decimal"/>
      <w:lvlText w:val="%1."/>
      <w:lvlJc w:val="left"/>
      <w:pPr>
        <w:ind w:left="1069" w:hanging="360"/>
      </w:pPr>
      <w:rPr>
        <w:rFonts w:hint="default"/>
        <w:b/>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0" w15:restartNumberingAfterBreak="0">
    <w:nsid w:val="68972852"/>
    <w:multiLevelType w:val="hybridMultilevel"/>
    <w:tmpl w:val="23225A6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BFC7978"/>
    <w:multiLevelType w:val="multilevel"/>
    <w:tmpl w:val="93F8F5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25334C5"/>
    <w:multiLevelType w:val="multilevel"/>
    <w:tmpl w:val="674E7F8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3071AB0"/>
    <w:multiLevelType w:val="multilevel"/>
    <w:tmpl w:val="342855F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F454AA"/>
    <w:multiLevelType w:val="hybridMultilevel"/>
    <w:tmpl w:val="A83A4B6C"/>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A91668B"/>
    <w:multiLevelType w:val="hybridMultilevel"/>
    <w:tmpl w:val="2DDE0B76"/>
    <w:lvl w:ilvl="0" w:tplc="86B8BF8E">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46" w15:restartNumberingAfterBreak="0">
    <w:nsid w:val="7C714CCE"/>
    <w:multiLevelType w:val="hybridMultilevel"/>
    <w:tmpl w:val="638A03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29"/>
  </w:num>
  <w:num w:numId="3">
    <w:abstractNumId w:val="15"/>
  </w:num>
  <w:num w:numId="4">
    <w:abstractNumId w:val="40"/>
  </w:num>
  <w:num w:numId="5">
    <w:abstractNumId w:val="1"/>
  </w:num>
  <w:num w:numId="6">
    <w:abstractNumId w:val="39"/>
  </w:num>
  <w:num w:numId="7">
    <w:abstractNumId w:val="16"/>
  </w:num>
  <w:num w:numId="8">
    <w:abstractNumId w:val="14"/>
  </w:num>
  <w:num w:numId="9">
    <w:abstractNumId w:val="11"/>
  </w:num>
  <w:num w:numId="10">
    <w:abstractNumId w:val="2"/>
  </w:num>
  <w:num w:numId="11">
    <w:abstractNumId w:val="9"/>
  </w:num>
  <w:num w:numId="12">
    <w:abstractNumId w:val="0"/>
  </w:num>
  <w:num w:numId="13">
    <w:abstractNumId w:val="10"/>
  </w:num>
  <w:num w:numId="14">
    <w:abstractNumId w:val="26"/>
  </w:num>
  <w:num w:numId="15">
    <w:abstractNumId w:val="19"/>
  </w:num>
  <w:num w:numId="16">
    <w:abstractNumId w:val="38"/>
  </w:num>
  <w:num w:numId="17">
    <w:abstractNumId w:val="31"/>
  </w:num>
  <w:num w:numId="18">
    <w:abstractNumId w:val="44"/>
  </w:num>
  <w:num w:numId="19">
    <w:abstractNumId w:val="5"/>
  </w:num>
  <w:num w:numId="20">
    <w:abstractNumId w:val="17"/>
  </w:num>
  <w:num w:numId="21">
    <w:abstractNumId w:val="4"/>
  </w:num>
  <w:num w:numId="22">
    <w:abstractNumId w:val="6"/>
  </w:num>
  <w:num w:numId="23">
    <w:abstractNumId w:val="28"/>
  </w:num>
  <w:num w:numId="24">
    <w:abstractNumId w:val="46"/>
  </w:num>
  <w:num w:numId="25">
    <w:abstractNumId w:val="20"/>
  </w:num>
  <w:num w:numId="26">
    <w:abstractNumId w:val="34"/>
  </w:num>
  <w:num w:numId="27">
    <w:abstractNumId w:val="43"/>
  </w:num>
  <w:num w:numId="28">
    <w:abstractNumId w:val="8"/>
  </w:num>
  <w:num w:numId="29">
    <w:abstractNumId w:val="32"/>
  </w:num>
  <w:num w:numId="30">
    <w:abstractNumId w:val="7"/>
  </w:num>
  <w:num w:numId="31">
    <w:abstractNumId w:val="25"/>
  </w:num>
  <w:num w:numId="32">
    <w:abstractNumId w:val="18"/>
  </w:num>
  <w:num w:numId="33">
    <w:abstractNumId w:val="36"/>
  </w:num>
  <w:num w:numId="34">
    <w:abstractNumId w:val="13"/>
  </w:num>
  <w:num w:numId="35">
    <w:abstractNumId w:val="30"/>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num>
  <w:num w:numId="39">
    <w:abstractNumId w:val="21"/>
  </w:num>
  <w:num w:numId="40">
    <w:abstractNumId w:val="35"/>
  </w:num>
  <w:num w:numId="41">
    <w:abstractNumId w:val="33"/>
  </w:num>
  <w:num w:numId="42">
    <w:abstractNumId w:val="3"/>
  </w:num>
  <w:num w:numId="43">
    <w:abstractNumId w:val="45"/>
  </w:num>
  <w:num w:numId="44">
    <w:abstractNumId w:val="24"/>
  </w:num>
  <w:num w:numId="45">
    <w:abstractNumId w:val="22"/>
  </w:num>
  <w:num w:numId="46">
    <w:abstractNumId w:val="37"/>
  </w:num>
  <w:num w:numId="47">
    <w:abstractNumId w:val="4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2EA"/>
    <w:rsid w:val="0000009D"/>
    <w:rsid w:val="000006B4"/>
    <w:rsid w:val="00000DD1"/>
    <w:rsid w:val="00001A80"/>
    <w:rsid w:val="0000208D"/>
    <w:rsid w:val="000028C0"/>
    <w:rsid w:val="000053FB"/>
    <w:rsid w:val="00005C35"/>
    <w:rsid w:val="00006C43"/>
    <w:rsid w:val="000103F1"/>
    <w:rsid w:val="00013782"/>
    <w:rsid w:val="0001391F"/>
    <w:rsid w:val="00013F2F"/>
    <w:rsid w:val="0001420E"/>
    <w:rsid w:val="00014747"/>
    <w:rsid w:val="00016CD9"/>
    <w:rsid w:val="0002293E"/>
    <w:rsid w:val="00023CE0"/>
    <w:rsid w:val="00025614"/>
    <w:rsid w:val="000257F7"/>
    <w:rsid w:val="000308C6"/>
    <w:rsid w:val="000317C5"/>
    <w:rsid w:val="00032D13"/>
    <w:rsid w:val="00033670"/>
    <w:rsid w:val="000342E3"/>
    <w:rsid w:val="00036C0B"/>
    <w:rsid w:val="00037928"/>
    <w:rsid w:val="00037A4B"/>
    <w:rsid w:val="00037F94"/>
    <w:rsid w:val="0004086B"/>
    <w:rsid w:val="000414FB"/>
    <w:rsid w:val="000419F6"/>
    <w:rsid w:val="000427BC"/>
    <w:rsid w:val="00046236"/>
    <w:rsid w:val="00046E47"/>
    <w:rsid w:val="000471AB"/>
    <w:rsid w:val="000471FD"/>
    <w:rsid w:val="00047548"/>
    <w:rsid w:val="00047D79"/>
    <w:rsid w:val="00051C30"/>
    <w:rsid w:val="00053021"/>
    <w:rsid w:val="00054844"/>
    <w:rsid w:val="0005486F"/>
    <w:rsid w:val="0005574D"/>
    <w:rsid w:val="00062589"/>
    <w:rsid w:val="000649BD"/>
    <w:rsid w:val="0006544C"/>
    <w:rsid w:val="00065E3E"/>
    <w:rsid w:val="00066087"/>
    <w:rsid w:val="000670AE"/>
    <w:rsid w:val="00067D69"/>
    <w:rsid w:val="0007090E"/>
    <w:rsid w:val="000764FE"/>
    <w:rsid w:val="00076D57"/>
    <w:rsid w:val="000773D6"/>
    <w:rsid w:val="0008469B"/>
    <w:rsid w:val="00084C9D"/>
    <w:rsid w:val="0009078F"/>
    <w:rsid w:val="00091756"/>
    <w:rsid w:val="0009222E"/>
    <w:rsid w:val="00094084"/>
    <w:rsid w:val="00094541"/>
    <w:rsid w:val="00096A16"/>
    <w:rsid w:val="000A00E4"/>
    <w:rsid w:val="000A13D1"/>
    <w:rsid w:val="000A18EC"/>
    <w:rsid w:val="000A2238"/>
    <w:rsid w:val="000A36A6"/>
    <w:rsid w:val="000A5AB0"/>
    <w:rsid w:val="000A7CB0"/>
    <w:rsid w:val="000B0558"/>
    <w:rsid w:val="000B1D3C"/>
    <w:rsid w:val="000B292B"/>
    <w:rsid w:val="000B3440"/>
    <w:rsid w:val="000B3E37"/>
    <w:rsid w:val="000B5315"/>
    <w:rsid w:val="000B5993"/>
    <w:rsid w:val="000B6078"/>
    <w:rsid w:val="000C13E5"/>
    <w:rsid w:val="000D03BF"/>
    <w:rsid w:val="000D3283"/>
    <w:rsid w:val="000D388B"/>
    <w:rsid w:val="000D6301"/>
    <w:rsid w:val="000E1736"/>
    <w:rsid w:val="000E1DA7"/>
    <w:rsid w:val="000E1E6C"/>
    <w:rsid w:val="000E6275"/>
    <w:rsid w:val="000E6FCC"/>
    <w:rsid w:val="000E7E1C"/>
    <w:rsid w:val="000F07A6"/>
    <w:rsid w:val="000F0E23"/>
    <w:rsid w:val="000F5333"/>
    <w:rsid w:val="000F690B"/>
    <w:rsid w:val="000F6CDE"/>
    <w:rsid w:val="000F7723"/>
    <w:rsid w:val="00101B27"/>
    <w:rsid w:val="00101CB3"/>
    <w:rsid w:val="00111BAC"/>
    <w:rsid w:val="0011239F"/>
    <w:rsid w:val="00114FCF"/>
    <w:rsid w:val="00120B15"/>
    <w:rsid w:val="00122BBE"/>
    <w:rsid w:val="00125204"/>
    <w:rsid w:val="00125653"/>
    <w:rsid w:val="001258C9"/>
    <w:rsid w:val="0012678E"/>
    <w:rsid w:val="001272C0"/>
    <w:rsid w:val="0013063A"/>
    <w:rsid w:val="001309A6"/>
    <w:rsid w:val="0013256F"/>
    <w:rsid w:val="00132AA3"/>
    <w:rsid w:val="00132D1E"/>
    <w:rsid w:val="001357CA"/>
    <w:rsid w:val="0013583D"/>
    <w:rsid w:val="001363C7"/>
    <w:rsid w:val="0013773C"/>
    <w:rsid w:val="00137C9D"/>
    <w:rsid w:val="0014529C"/>
    <w:rsid w:val="0015077B"/>
    <w:rsid w:val="00153406"/>
    <w:rsid w:val="00153B8E"/>
    <w:rsid w:val="0015417A"/>
    <w:rsid w:val="00154727"/>
    <w:rsid w:val="00155B7D"/>
    <w:rsid w:val="00160C47"/>
    <w:rsid w:val="00161B1E"/>
    <w:rsid w:val="00164962"/>
    <w:rsid w:val="001652E2"/>
    <w:rsid w:val="00172B50"/>
    <w:rsid w:val="0017482B"/>
    <w:rsid w:val="001809D2"/>
    <w:rsid w:val="00181959"/>
    <w:rsid w:val="00181EC1"/>
    <w:rsid w:val="00184D4E"/>
    <w:rsid w:val="00185B83"/>
    <w:rsid w:val="00187464"/>
    <w:rsid w:val="001910A1"/>
    <w:rsid w:val="001918C5"/>
    <w:rsid w:val="00191E4C"/>
    <w:rsid w:val="00192DF7"/>
    <w:rsid w:val="00193984"/>
    <w:rsid w:val="00193AEC"/>
    <w:rsid w:val="001946F0"/>
    <w:rsid w:val="00194EE7"/>
    <w:rsid w:val="001958DA"/>
    <w:rsid w:val="00196005"/>
    <w:rsid w:val="001967BA"/>
    <w:rsid w:val="001975C7"/>
    <w:rsid w:val="001A0615"/>
    <w:rsid w:val="001A0D2C"/>
    <w:rsid w:val="001A131D"/>
    <w:rsid w:val="001A18AB"/>
    <w:rsid w:val="001A3F6B"/>
    <w:rsid w:val="001A52AE"/>
    <w:rsid w:val="001A7191"/>
    <w:rsid w:val="001B2791"/>
    <w:rsid w:val="001B2951"/>
    <w:rsid w:val="001B321F"/>
    <w:rsid w:val="001B489A"/>
    <w:rsid w:val="001B4AA5"/>
    <w:rsid w:val="001B5C13"/>
    <w:rsid w:val="001B68FF"/>
    <w:rsid w:val="001B73BC"/>
    <w:rsid w:val="001C0150"/>
    <w:rsid w:val="001C19A3"/>
    <w:rsid w:val="001C1FCD"/>
    <w:rsid w:val="001C2126"/>
    <w:rsid w:val="001C31D5"/>
    <w:rsid w:val="001C32A1"/>
    <w:rsid w:val="001C412C"/>
    <w:rsid w:val="001C56F9"/>
    <w:rsid w:val="001C61E0"/>
    <w:rsid w:val="001C6740"/>
    <w:rsid w:val="001C7AB0"/>
    <w:rsid w:val="001D093A"/>
    <w:rsid w:val="001D2923"/>
    <w:rsid w:val="001D2C21"/>
    <w:rsid w:val="001E120F"/>
    <w:rsid w:val="001E20A9"/>
    <w:rsid w:val="001E2520"/>
    <w:rsid w:val="001E4E16"/>
    <w:rsid w:val="001E5238"/>
    <w:rsid w:val="001F1354"/>
    <w:rsid w:val="001F182A"/>
    <w:rsid w:val="001F29C4"/>
    <w:rsid w:val="001F3651"/>
    <w:rsid w:val="001F3694"/>
    <w:rsid w:val="001F4EA0"/>
    <w:rsid w:val="001F5F37"/>
    <w:rsid w:val="00200752"/>
    <w:rsid w:val="00201420"/>
    <w:rsid w:val="00202390"/>
    <w:rsid w:val="00202B4A"/>
    <w:rsid w:val="00202E90"/>
    <w:rsid w:val="002032BA"/>
    <w:rsid w:val="00203B48"/>
    <w:rsid w:val="00204846"/>
    <w:rsid w:val="00205F79"/>
    <w:rsid w:val="0020663A"/>
    <w:rsid w:val="00207A72"/>
    <w:rsid w:val="00213736"/>
    <w:rsid w:val="00213FA7"/>
    <w:rsid w:val="00215EDF"/>
    <w:rsid w:val="00216D18"/>
    <w:rsid w:val="00217075"/>
    <w:rsid w:val="00217946"/>
    <w:rsid w:val="0022130D"/>
    <w:rsid w:val="00222344"/>
    <w:rsid w:val="002229A9"/>
    <w:rsid w:val="00223ABF"/>
    <w:rsid w:val="00225A89"/>
    <w:rsid w:val="0022642C"/>
    <w:rsid w:val="002306B2"/>
    <w:rsid w:val="00231C3F"/>
    <w:rsid w:val="00232C97"/>
    <w:rsid w:val="00232CA8"/>
    <w:rsid w:val="00233AFA"/>
    <w:rsid w:val="00234905"/>
    <w:rsid w:val="00234993"/>
    <w:rsid w:val="00237A1C"/>
    <w:rsid w:val="00237F1F"/>
    <w:rsid w:val="00241278"/>
    <w:rsid w:val="002435F9"/>
    <w:rsid w:val="00244A32"/>
    <w:rsid w:val="002451AB"/>
    <w:rsid w:val="00245818"/>
    <w:rsid w:val="00246231"/>
    <w:rsid w:val="00252E09"/>
    <w:rsid w:val="00254C78"/>
    <w:rsid w:val="002553C9"/>
    <w:rsid w:val="0026081F"/>
    <w:rsid w:val="0026315B"/>
    <w:rsid w:val="0026644D"/>
    <w:rsid w:val="0026739A"/>
    <w:rsid w:val="002677B0"/>
    <w:rsid w:val="00267CB4"/>
    <w:rsid w:val="00274461"/>
    <w:rsid w:val="0027559A"/>
    <w:rsid w:val="00280119"/>
    <w:rsid w:val="002809B6"/>
    <w:rsid w:val="00280CAE"/>
    <w:rsid w:val="00282931"/>
    <w:rsid w:val="00282F79"/>
    <w:rsid w:val="00283973"/>
    <w:rsid w:val="00283BEE"/>
    <w:rsid w:val="002845CA"/>
    <w:rsid w:val="0029277F"/>
    <w:rsid w:val="00292C49"/>
    <w:rsid w:val="00293355"/>
    <w:rsid w:val="0029548D"/>
    <w:rsid w:val="002964F3"/>
    <w:rsid w:val="00297CD5"/>
    <w:rsid w:val="002A304B"/>
    <w:rsid w:val="002A43C3"/>
    <w:rsid w:val="002A64D7"/>
    <w:rsid w:val="002A7D69"/>
    <w:rsid w:val="002B0D3B"/>
    <w:rsid w:val="002B205F"/>
    <w:rsid w:val="002B28B5"/>
    <w:rsid w:val="002B2CE8"/>
    <w:rsid w:val="002B369A"/>
    <w:rsid w:val="002B4F83"/>
    <w:rsid w:val="002B55B5"/>
    <w:rsid w:val="002B74B0"/>
    <w:rsid w:val="002C0898"/>
    <w:rsid w:val="002C269C"/>
    <w:rsid w:val="002C2842"/>
    <w:rsid w:val="002C2FDD"/>
    <w:rsid w:val="002C30CD"/>
    <w:rsid w:val="002C68CD"/>
    <w:rsid w:val="002D0AA0"/>
    <w:rsid w:val="002D3ADE"/>
    <w:rsid w:val="002D56C4"/>
    <w:rsid w:val="002D5BA9"/>
    <w:rsid w:val="002D6155"/>
    <w:rsid w:val="002D6E83"/>
    <w:rsid w:val="002D74EC"/>
    <w:rsid w:val="002E0D09"/>
    <w:rsid w:val="002E1674"/>
    <w:rsid w:val="002E21D3"/>
    <w:rsid w:val="002F68AD"/>
    <w:rsid w:val="002F6B66"/>
    <w:rsid w:val="002F73B5"/>
    <w:rsid w:val="00300E0C"/>
    <w:rsid w:val="003020B1"/>
    <w:rsid w:val="00302CF5"/>
    <w:rsid w:val="00302ED1"/>
    <w:rsid w:val="00306932"/>
    <w:rsid w:val="0031109C"/>
    <w:rsid w:val="00311265"/>
    <w:rsid w:val="0031148A"/>
    <w:rsid w:val="00313451"/>
    <w:rsid w:val="00314173"/>
    <w:rsid w:val="00314933"/>
    <w:rsid w:val="00314F0A"/>
    <w:rsid w:val="00315D88"/>
    <w:rsid w:val="003167A1"/>
    <w:rsid w:val="0031766F"/>
    <w:rsid w:val="00317774"/>
    <w:rsid w:val="00317950"/>
    <w:rsid w:val="0032066D"/>
    <w:rsid w:val="00322111"/>
    <w:rsid w:val="00322F1B"/>
    <w:rsid w:val="00325ABD"/>
    <w:rsid w:val="00326441"/>
    <w:rsid w:val="00326AA0"/>
    <w:rsid w:val="003271D2"/>
    <w:rsid w:val="00330CBB"/>
    <w:rsid w:val="00332537"/>
    <w:rsid w:val="00332A60"/>
    <w:rsid w:val="003332B9"/>
    <w:rsid w:val="003362CE"/>
    <w:rsid w:val="00336F26"/>
    <w:rsid w:val="00337E87"/>
    <w:rsid w:val="0034713C"/>
    <w:rsid w:val="00347F17"/>
    <w:rsid w:val="00350B58"/>
    <w:rsid w:val="00351298"/>
    <w:rsid w:val="00351F09"/>
    <w:rsid w:val="00353670"/>
    <w:rsid w:val="00356E18"/>
    <w:rsid w:val="0036001C"/>
    <w:rsid w:val="0036240F"/>
    <w:rsid w:val="00362C1C"/>
    <w:rsid w:val="003632A4"/>
    <w:rsid w:val="003647FB"/>
    <w:rsid w:val="00364814"/>
    <w:rsid w:val="003666B7"/>
    <w:rsid w:val="00367BCC"/>
    <w:rsid w:val="00370345"/>
    <w:rsid w:val="00373C2B"/>
    <w:rsid w:val="00375472"/>
    <w:rsid w:val="00375601"/>
    <w:rsid w:val="00375ED0"/>
    <w:rsid w:val="003810DA"/>
    <w:rsid w:val="003812AD"/>
    <w:rsid w:val="0038341A"/>
    <w:rsid w:val="00384CE0"/>
    <w:rsid w:val="003858B1"/>
    <w:rsid w:val="00386BC1"/>
    <w:rsid w:val="00387260"/>
    <w:rsid w:val="003875D3"/>
    <w:rsid w:val="00392686"/>
    <w:rsid w:val="003956C0"/>
    <w:rsid w:val="00395DC0"/>
    <w:rsid w:val="003A0EA2"/>
    <w:rsid w:val="003A2928"/>
    <w:rsid w:val="003A2A80"/>
    <w:rsid w:val="003A31DC"/>
    <w:rsid w:val="003A3977"/>
    <w:rsid w:val="003A4159"/>
    <w:rsid w:val="003A52FE"/>
    <w:rsid w:val="003A68AA"/>
    <w:rsid w:val="003B124A"/>
    <w:rsid w:val="003B166B"/>
    <w:rsid w:val="003B3A1F"/>
    <w:rsid w:val="003B5190"/>
    <w:rsid w:val="003C002A"/>
    <w:rsid w:val="003C24AA"/>
    <w:rsid w:val="003C3EF7"/>
    <w:rsid w:val="003C4EF5"/>
    <w:rsid w:val="003C5C5E"/>
    <w:rsid w:val="003C69C2"/>
    <w:rsid w:val="003C7B43"/>
    <w:rsid w:val="003D28CA"/>
    <w:rsid w:val="003D4318"/>
    <w:rsid w:val="003D4901"/>
    <w:rsid w:val="003E0BD7"/>
    <w:rsid w:val="003E26E0"/>
    <w:rsid w:val="003E2F25"/>
    <w:rsid w:val="003E2F96"/>
    <w:rsid w:val="003E5360"/>
    <w:rsid w:val="003E5700"/>
    <w:rsid w:val="003E6320"/>
    <w:rsid w:val="003E677B"/>
    <w:rsid w:val="003E7FCD"/>
    <w:rsid w:val="003F51B6"/>
    <w:rsid w:val="003F5910"/>
    <w:rsid w:val="003F7196"/>
    <w:rsid w:val="003F78A4"/>
    <w:rsid w:val="00401E7C"/>
    <w:rsid w:val="00402547"/>
    <w:rsid w:val="00402B47"/>
    <w:rsid w:val="004032E9"/>
    <w:rsid w:val="0040427A"/>
    <w:rsid w:val="00404C18"/>
    <w:rsid w:val="0040639E"/>
    <w:rsid w:val="00411EFE"/>
    <w:rsid w:val="00412768"/>
    <w:rsid w:val="004139F1"/>
    <w:rsid w:val="00414430"/>
    <w:rsid w:val="00415B67"/>
    <w:rsid w:val="00416A3E"/>
    <w:rsid w:val="00417850"/>
    <w:rsid w:val="00420B8D"/>
    <w:rsid w:val="00421913"/>
    <w:rsid w:val="00422BA1"/>
    <w:rsid w:val="0042342C"/>
    <w:rsid w:val="00425F45"/>
    <w:rsid w:val="004266D4"/>
    <w:rsid w:val="0043040A"/>
    <w:rsid w:val="00430F77"/>
    <w:rsid w:val="00431792"/>
    <w:rsid w:val="00433CDB"/>
    <w:rsid w:val="00434061"/>
    <w:rsid w:val="00435274"/>
    <w:rsid w:val="0043671D"/>
    <w:rsid w:val="00436867"/>
    <w:rsid w:val="004374F0"/>
    <w:rsid w:val="00437F30"/>
    <w:rsid w:val="0044064D"/>
    <w:rsid w:val="00440F44"/>
    <w:rsid w:val="00441AED"/>
    <w:rsid w:val="00443714"/>
    <w:rsid w:val="00444DAD"/>
    <w:rsid w:val="00444F67"/>
    <w:rsid w:val="00447EC6"/>
    <w:rsid w:val="00450201"/>
    <w:rsid w:val="0045052A"/>
    <w:rsid w:val="00450BEE"/>
    <w:rsid w:val="004517AD"/>
    <w:rsid w:val="00451D2D"/>
    <w:rsid w:val="00451F0C"/>
    <w:rsid w:val="00453C9C"/>
    <w:rsid w:val="004542BA"/>
    <w:rsid w:val="004544DF"/>
    <w:rsid w:val="00455007"/>
    <w:rsid w:val="00461A0B"/>
    <w:rsid w:val="00461D37"/>
    <w:rsid w:val="0046669D"/>
    <w:rsid w:val="00466811"/>
    <w:rsid w:val="00466E14"/>
    <w:rsid w:val="00472162"/>
    <w:rsid w:val="00472340"/>
    <w:rsid w:val="0047388E"/>
    <w:rsid w:val="004740F3"/>
    <w:rsid w:val="004742B7"/>
    <w:rsid w:val="00475713"/>
    <w:rsid w:val="00475E91"/>
    <w:rsid w:val="004767D8"/>
    <w:rsid w:val="004774D6"/>
    <w:rsid w:val="0048199C"/>
    <w:rsid w:val="00481B26"/>
    <w:rsid w:val="00482EF2"/>
    <w:rsid w:val="00486373"/>
    <w:rsid w:val="0049042F"/>
    <w:rsid w:val="00490E17"/>
    <w:rsid w:val="004912DA"/>
    <w:rsid w:val="00491900"/>
    <w:rsid w:val="00491C08"/>
    <w:rsid w:val="00492936"/>
    <w:rsid w:val="00492FD8"/>
    <w:rsid w:val="00496B34"/>
    <w:rsid w:val="00496EB9"/>
    <w:rsid w:val="0049719E"/>
    <w:rsid w:val="004A1710"/>
    <w:rsid w:val="004A3128"/>
    <w:rsid w:val="004A371D"/>
    <w:rsid w:val="004A3953"/>
    <w:rsid w:val="004A5258"/>
    <w:rsid w:val="004A5342"/>
    <w:rsid w:val="004A588F"/>
    <w:rsid w:val="004B1E77"/>
    <w:rsid w:val="004B3F3B"/>
    <w:rsid w:val="004B531F"/>
    <w:rsid w:val="004B594F"/>
    <w:rsid w:val="004B5AE0"/>
    <w:rsid w:val="004B689B"/>
    <w:rsid w:val="004B7CF7"/>
    <w:rsid w:val="004C26E8"/>
    <w:rsid w:val="004C3B9C"/>
    <w:rsid w:val="004C4AAB"/>
    <w:rsid w:val="004D06CD"/>
    <w:rsid w:val="004D08BC"/>
    <w:rsid w:val="004D3C3E"/>
    <w:rsid w:val="004D4007"/>
    <w:rsid w:val="004D4C74"/>
    <w:rsid w:val="004D5A94"/>
    <w:rsid w:val="004E391B"/>
    <w:rsid w:val="004E4027"/>
    <w:rsid w:val="004E4C70"/>
    <w:rsid w:val="004E5D14"/>
    <w:rsid w:val="004E5EC4"/>
    <w:rsid w:val="004E5FCD"/>
    <w:rsid w:val="004E7543"/>
    <w:rsid w:val="004F02B9"/>
    <w:rsid w:val="004F16CE"/>
    <w:rsid w:val="004F34C2"/>
    <w:rsid w:val="004F512A"/>
    <w:rsid w:val="004F5216"/>
    <w:rsid w:val="004F6FB4"/>
    <w:rsid w:val="00501087"/>
    <w:rsid w:val="00502D96"/>
    <w:rsid w:val="005039BD"/>
    <w:rsid w:val="005112BE"/>
    <w:rsid w:val="00512CF4"/>
    <w:rsid w:val="00516281"/>
    <w:rsid w:val="00517218"/>
    <w:rsid w:val="005218CF"/>
    <w:rsid w:val="00521D6D"/>
    <w:rsid w:val="00521F0A"/>
    <w:rsid w:val="005278FE"/>
    <w:rsid w:val="00527CBB"/>
    <w:rsid w:val="0053047A"/>
    <w:rsid w:val="0053206D"/>
    <w:rsid w:val="00532F9E"/>
    <w:rsid w:val="0053313E"/>
    <w:rsid w:val="0053549C"/>
    <w:rsid w:val="005359D7"/>
    <w:rsid w:val="00537633"/>
    <w:rsid w:val="00537EF7"/>
    <w:rsid w:val="0054061E"/>
    <w:rsid w:val="00540830"/>
    <w:rsid w:val="005411D6"/>
    <w:rsid w:val="00541CEA"/>
    <w:rsid w:val="005421A9"/>
    <w:rsid w:val="005438E7"/>
    <w:rsid w:val="00543AA1"/>
    <w:rsid w:val="00543F57"/>
    <w:rsid w:val="005463ED"/>
    <w:rsid w:val="00546500"/>
    <w:rsid w:val="00546F72"/>
    <w:rsid w:val="00550E64"/>
    <w:rsid w:val="0055302B"/>
    <w:rsid w:val="0055468D"/>
    <w:rsid w:val="00555119"/>
    <w:rsid w:val="00555155"/>
    <w:rsid w:val="005562A7"/>
    <w:rsid w:val="0056190B"/>
    <w:rsid w:val="0056217F"/>
    <w:rsid w:val="005624C4"/>
    <w:rsid w:val="00563607"/>
    <w:rsid w:val="00564058"/>
    <w:rsid w:val="0056507D"/>
    <w:rsid w:val="0056662D"/>
    <w:rsid w:val="00573B47"/>
    <w:rsid w:val="00575001"/>
    <w:rsid w:val="00575F2E"/>
    <w:rsid w:val="00576478"/>
    <w:rsid w:val="00576F6B"/>
    <w:rsid w:val="00580631"/>
    <w:rsid w:val="005810FA"/>
    <w:rsid w:val="00581DA2"/>
    <w:rsid w:val="005831D7"/>
    <w:rsid w:val="00583742"/>
    <w:rsid w:val="00584435"/>
    <w:rsid w:val="00587B1B"/>
    <w:rsid w:val="00587CB0"/>
    <w:rsid w:val="00591C53"/>
    <w:rsid w:val="00592B0A"/>
    <w:rsid w:val="00595364"/>
    <w:rsid w:val="005A2146"/>
    <w:rsid w:val="005A3050"/>
    <w:rsid w:val="005A36E6"/>
    <w:rsid w:val="005A5DD3"/>
    <w:rsid w:val="005B131C"/>
    <w:rsid w:val="005B1583"/>
    <w:rsid w:val="005B217D"/>
    <w:rsid w:val="005B22B7"/>
    <w:rsid w:val="005B2A93"/>
    <w:rsid w:val="005B34E2"/>
    <w:rsid w:val="005B42E6"/>
    <w:rsid w:val="005B4C9C"/>
    <w:rsid w:val="005B772B"/>
    <w:rsid w:val="005C1FFA"/>
    <w:rsid w:val="005C65B5"/>
    <w:rsid w:val="005C6B3A"/>
    <w:rsid w:val="005C733A"/>
    <w:rsid w:val="005C7616"/>
    <w:rsid w:val="005C79CC"/>
    <w:rsid w:val="005D1E91"/>
    <w:rsid w:val="005D20B0"/>
    <w:rsid w:val="005D4284"/>
    <w:rsid w:val="005D4A8A"/>
    <w:rsid w:val="005E0AAB"/>
    <w:rsid w:val="005E17C4"/>
    <w:rsid w:val="005E1B9F"/>
    <w:rsid w:val="005E48BE"/>
    <w:rsid w:val="005E58E2"/>
    <w:rsid w:val="005E6713"/>
    <w:rsid w:val="005E6BFD"/>
    <w:rsid w:val="005F07D5"/>
    <w:rsid w:val="005F08D5"/>
    <w:rsid w:val="005F1180"/>
    <w:rsid w:val="005F1BFB"/>
    <w:rsid w:val="005F1C28"/>
    <w:rsid w:val="005F4508"/>
    <w:rsid w:val="005F7FDE"/>
    <w:rsid w:val="0060228A"/>
    <w:rsid w:val="00602865"/>
    <w:rsid w:val="0060556C"/>
    <w:rsid w:val="00605910"/>
    <w:rsid w:val="00610E84"/>
    <w:rsid w:val="00610F36"/>
    <w:rsid w:val="00612307"/>
    <w:rsid w:val="006234F5"/>
    <w:rsid w:val="0062409A"/>
    <w:rsid w:val="00627C8E"/>
    <w:rsid w:val="00633C8A"/>
    <w:rsid w:val="0063515A"/>
    <w:rsid w:val="00637DCE"/>
    <w:rsid w:val="006406B5"/>
    <w:rsid w:val="00640A16"/>
    <w:rsid w:val="00641384"/>
    <w:rsid w:val="0064169A"/>
    <w:rsid w:val="00641F87"/>
    <w:rsid w:val="00643088"/>
    <w:rsid w:val="00645CD1"/>
    <w:rsid w:val="00650057"/>
    <w:rsid w:val="00650CA1"/>
    <w:rsid w:val="006519C3"/>
    <w:rsid w:val="00651F40"/>
    <w:rsid w:val="00652172"/>
    <w:rsid w:val="00652890"/>
    <w:rsid w:val="00653F38"/>
    <w:rsid w:val="00655896"/>
    <w:rsid w:val="00655A89"/>
    <w:rsid w:val="00655D00"/>
    <w:rsid w:val="00656C3B"/>
    <w:rsid w:val="00661910"/>
    <w:rsid w:val="00661AB0"/>
    <w:rsid w:val="00661F5D"/>
    <w:rsid w:val="00662549"/>
    <w:rsid w:val="00662C34"/>
    <w:rsid w:val="0066399D"/>
    <w:rsid w:val="0066589B"/>
    <w:rsid w:val="00665C5F"/>
    <w:rsid w:val="00665FFB"/>
    <w:rsid w:val="0066617C"/>
    <w:rsid w:val="00671279"/>
    <w:rsid w:val="00671BB2"/>
    <w:rsid w:val="00672410"/>
    <w:rsid w:val="00674043"/>
    <w:rsid w:val="0067445C"/>
    <w:rsid w:val="00676FEE"/>
    <w:rsid w:val="00680FB0"/>
    <w:rsid w:val="00681871"/>
    <w:rsid w:val="00681CB8"/>
    <w:rsid w:val="00682619"/>
    <w:rsid w:val="00686508"/>
    <w:rsid w:val="00687D7E"/>
    <w:rsid w:val="0069505A"/>
    <w:rsid w:val="00695609"/>
    <w:rsid w:val="00695784"/>
    <w:rsid w:val="00695A98"/>
    <w:rsid w:val="006971CE"/>
    <w:rsid w:val="006A1D5C"/>
    <w:rsid w:val="006A3EA1"/>
    <w:rsid w:val="006A4518"/>
    <w:rsid w:val="006A4A0B"/>
    <w:rsid w:val="006A71C3"/>
    <w:rsid w:val="006B0652"/>
    <w:rsid w:val="006B3186"/>
    <w:rsid w:val="006B4A8A"/>
    <w:rsid w:val="006B4F42"/>
    <w:rsid w:val="006B5C43"/>
    <w:rsid w:val="006B6796"/>
    <w:rsid w:val="006B7505"/>
    <w:rsid w:val="006B76ED"/>
    <w:rsid w:val="006C1475"/>
    <w:rsid w:val="006C18B3"/>
    <w:rsid w:val="006C40E7"/>
    <w:rsid w:val="006C4D96"/>
    <w:rsid w:val="006C5216"/>
    <w:rsid w:val="006C52B6"/>
    <w:rsid w:val="006D5348"/>
    <w:rsid w:val="006D5358"/>
    <w:rsid w:val="006D5C1F"/>
    <w:rsid w:val="006D7A79"/>
    <w:rsid w:val="006E03E6"/>
    <w:rsid w:val="006E2D76"/>
    <w:rsid w:val="006E3513"/>
    <w:rsid w:val="006E3540"/>
    <w:rsid w:val="006E5888"/>
    <w:rsid w:val="006F16BD"/>
    <w:rsid w:val="006F35D7"/>
    <w:rsid w:val="006F6A6A"/>
    <w:rsid w:val="006F79DE"/>
    <w:rsid w:val="00701FEB"/>
    <w:rsid w:val="007038B2"/>
    <w:rsid w:val="00705752"/>
    <w:rsid w:val="00707071"/>
    <w:rsid w:val="00707CDE"/>
    <w:rsid w:val="00711245"/>
    <w:rsid w:val="00712786"/>
    <w:rsid w:val="00712F9C"/>
    <w:rsid w:val="00713877"/>
    <w:rsid w:val="00714042"/>
    <w:rsid w:val="00714B01"/>
    <w:rsid w:val="00714F04"/>
    <w:rsid w:val="00715909"/>
    <w:rsid w:val="00715BD8"/>
    <w:rsid w:val="00716E5F"/>
    <w:rsid w:val="00720FF9"/>
    <w:rsid w:val="007225F5"/>
    <w:rsid w:val="00726DEC"/>
    <w:rsid w:val="00730134"/>
    <w:rsid w:val="00731B79"/>
    <w:rsid w:val="00731EBC"/>
    <w:rsid w:val="007321DC"/>
    <w:rsid w:val="00732758"/>
    <w:rsid w:val="007336A8"/>
    <w:rsid w:val="00741DAB"/>
    <w:rsid w:val="007423DE"/>
    <w:rsid w:val="00742439"/>
    <w:rsid w:val="00744777"/>
    <w:rsid w:val="00751753"/>
    <w:rsid w:val="007519C2"/>
    <w:rsid w:val="0075228A"/>
    <w:rsid w:val="00753913"/>
    <w:rsid w:val="00754A14"/>
    <w:rsid w:val="00756041"/>
    <w:rsid w:val="00757C83"/>
    <w:rsid w:val="00757CB3"/>
    <w:rsid w:val="0076002A"/>
    <w:rsid w:val="00760CE0"/>
    <w:rsid w:val="0076488F"/>
    <w:rsid w:val="00766162"/>
    <w:rsid w:val="0076635F"/>
    <w:rsid w:val="00767892"/>
    <w:rsid w:val="00771B36"/>
    <w:rsid w:val="00771F7F"/>
    <w:rsid w:val="00772590"/>
    <w:rsid w:val="00773668"/>
    <w:rsid w:val="0077713A"/>
    <w:rsid w:val="00784A0A"/>
    <w:rsid w:val="00785D62"/>
    <w:rsid w:val="00786591"/>
    <w:rsid w:val="00786851"/>
    <w:rsid w:val="00791C25"/>
    <w:rsid w:val="00793547"/>
    <w:rsid w:val="007944E0"/>
    <w:rsid w:val="00794A49"/>
    <w:rsid w:val="00796FC6"/>
    <w:rsid w:val="007A1A37"/>
    <w:rsid w:val="007A2F83"/>
    <w:rsid w:val="007A37A5"/>
    <w:rsid w:val="007A3FD8"/>
    <w:rsid w:val="007A5A37"/>
    <w:rsid w:val="007B0C36"/>
    <w:rsid w:val="007B49FF"/>
    <w:rsid w:val="007B7C0C"/>
    <w:rsid w:val="007C1DA7"/>
    <w:rsid w:val="007C2E7D"/>
    <w:rsid w:val="007C372B"/>
    <w:rsid w:val="007C5286"/>
    <w:rsid w:val="007C60D9"/>
    <w:rsid w:val="007C7867"/>
    <w:rsid w:val="007C7F32"/>
    <w:rsid w:val="007D0040"/>
    <w:rsid w:val="007D1DF5"/>
    <w:rsid w:val="007D3498"/>
    <w:rsid w:val="007D36F9"/>
    <w:rsid w:val="007D3943"/>
    <w:rsid w:val="007D5706"/>
    <w:rsid w:val="007D5BD5"/>
    <w:rsid w:val="007D6568"/>
    <w:rsid w:val="007D67A9"/>
    <w:rsid w:val="007E140B"/>
    <w:rsid w:val="007E1878"/>
    <w:rsid w:val="007E1A7E"/>
    <w:rsid w:val="007E2698"/>
    <w:rsid w:val="007E280C"/>
    <w:rsid w:val="007E3740"/>
    <w:rsid w:val="007E469D"/>
    <w:rsid w:val="007E48A6"/>
    <w:rsid w:val="007E4E0F"/>
    <w:rsid w:val="007E4F14"/>
    <w:rsid w:val="007E541D"/>
    <w:rsid w:val="007E6BF0"/>
    <w:rsid w:val="007E7E84"/>
    <w:rsid w:val="007F0251"/>
    <w:rsid w:val="007F07E1"/>
    <w:rsid w:val="007F2E85"/>
    <w:rsid w:val="007F607E"/>
    <w:rsid w:val="007F6448"/>
    <w:rsid w:val="00800807"/>
    <w:rsid w:val="00800AA5"/>
    <w:rsid w:val="00801F8C"/>
    <w:rsid w:val="0080209C"/>
    <w:rsid w:val="0080485C"/>
    <w:rsid w:val="008059E3"/>
    <w:rsid w:val="00806853"/>
    <w:rsid w:val="008072B4"/>
    <w:rsid w:val="00810816"/>
    <w:rsid w:val="008115C6"/>
    <w:rsid w:val="00812599"/>
    <w:rsid w:val="00813D6F"/>
    <w:rsid w:val="00813DDA"/>
    <w:rsid w:val="00813E7E"/>
    <w:rsid w:val="00814826"/>
    <w:rsid w:val="00814CA7"/>
    <w:rsid w:val="00815795"/>
    <w:rsid w:val="00815EFB"/>
    <w:rsid w:val="00816530"/>
    <w:rsid w:val="00817EBE"/>
    <w:rsid w:val="00821161"/>
    <w:rsid w:val="0082203E"/>
    <w:rsid w:val="008238E9"/>
    <w:rsid w:val="00823D17"/>
    <w:rsid w:val="00824CAC"/>
    <w:rsid w:val="0082607C"/>
    <w:rsid w:val="0082669E"/>
    <w:rsid w:val="008303C7"/>
    <w:rsid w:val="00830AE4"/>
    <w:rsid w:val="00830E1C"/>
    <w:rsid w:val="00832401"/>
    <w:rsid w:val="0083590E"/>
    <w:rsid w:val="00837C8B"/>
    <w:rsid w:val="00842FEC"/>
    <w:rsid w:val="008433CA"/>
    <w:rsid w:val="00845823"/>
    <w:rsid w:val="00845E2A"/>
    <w:rsid w:val="00846F29"/>
    <w:rsid w:val="00850109"/>
    <w:rsid w:val="0085082E"/>
    <w:rsid w:val="00854D98"/>
    <w:rsid w:val="00861731"/>
    <w:rsid w:val="00862C89"/>
    <w:rsid w:val="00863D3A"/>
    <w:rsid w:val="0086678E"/>
    <w:rsid w:val="00866851"/>
    <w:rsid w:val="00870DB6"/>
    <w:rsid w:val="0087245A"/>
    <w:rsid w:val="008724DE"/>
    <w:rsid w:val="008738A6"/>
    <w:rsid w:val="00874BC7"/>
    <w:rsid w:val="00875865"/>
    <w:rsid w:val="0088042E"/>
    <w:rsid w:val="008819D2"/>
    <w:rsid w:val="00881B77"/>
    <w:rsid w:val="00885869"/>
    <w:rsid w:val="00885D02"/>
    <w:rsid w:val="0088619F"/>
    <w:rsid w:val="008866F8"/>
    <w:rsid w:val="0088679A"/>
    <w:rsid w:val="00891279"/>
    <w:rsid w:val="00891E48"/>
    <w:rsid w:val="00892C0C"/>
    <w:rsid w:val="00892E53"/>
    <w:rsid w:val="0089517E"/>
    <w:rsid w:val="00895B29"/>
    <w:rsid w:val="00896002"/>
    <w:rsid w:val="00896267"/>
    <w:rsid w:val="00896338"/>
    <w:rsid w:val="008964A0"/>
    <w:rsid w:val="00896CF7"/>
    <w:rsid w:val="008A0701"/>
    <w:rsid w:val="008A403B"/>
    <w:rsid w:val="008A57B4"/>
    <w:rsid w:val="008B2CDF"/>
    <w:rsid w:val="008B2E77"/>
    <w:rsid w:val="008B3E63"/>
    <w:rsid w:val="008B4069"/>
    <w:rsid w:val="008B41C5"/>
    <w:rsid w:val="008B771F"/>
    <w:rsid w:val="008B7DF1"/>
    <w:rsid w:val="008C23DE"/>
    <w:rsid w:val="008C28C9"/>
    <w:rsid w:val="008C4AA4"/>
    <w:rsid w:val="008D10A2"/>
    <w:rsid w:val="008D117A"/>
    <w:rsid w:val="008D350B"/>
    <w:rsid w:val="008D365C"/>
    <w:rsid w:val="008D51E2"/>
    <w:rsid w:val="008D6490"/>
    <w:rsid w:val="008D752C"/>
    <w:rsid w:val="008D760A"/>
    <w:rsid w:val="008D7C56"/>
    <w:rsid w:val="008E19C7"/>
    <w:rsid w:val="008E242D"/>
    <w:rsid w:val="008E3E23"/>
    <w:rsid w:val="008E5345"/>
    <w:rsid w:val="008F2532"/>
    <w:rsid w:val="008F26C8"/>
    <w:rsid w:val="008F3677"/>
    <w:rsid w:val="008F3BA3"/>
    <w:rsid w:val="008F53EB"/>
    <w:rsid w:val="009001A8"/>
    <w:rsid w:val="00900B6B"/>
    <w:rsid w:val="00904E80"/>
    <w:rsid w:val="00906153"/>
    <w:rsid w:val="00906774"/>
    <w:rsid w:val="00910273"/>
    <w:rsid w:val="00911355"/>
    <w:rsid w:val="00912AE8"/>
    <w:rsid w:val="00915A8A"/>
    <w:rsid w:val="00916387"/>
    <w:rsid w:val="009206A6"/>
    <w:rsid w:val="00921FF2"/>
    <w:rsid w:val="009232BE"/>
    <w:rsid w:val="00925B3A"/>
    <w:rsid w:val="00926E24"/>
    <w:rsid w:val="009275C8"/>
    <w:rsid w:val="00927A41"/>
    <w:rsid w:val="00930F29"/>
    <w:rsid w:val="00931B9B"/>
    <w:rsid w:val="009332EA"/>
    <w:rsid w:val="00934D15"/>
    <w:rsid w:val="0093534A"/>
    <w:rsid w:val="0093550D"/>
    <w:rsid w:val="00935B08"/>
    <w:rsid w:val="009375C8"/>
    <w:rsid w:val="00940713"/>
    <w:rsid w:val="009431D8"/>
    <w:rsid w:val="00944FE4"/>
    <w:rsid w:val="009451D3"/>
    <w:rsid w:val="009463FD"/>
    <w:rsid w:val="00947384"/>
    <w:rsid w:val="009500F7"/>
    <w:rsid w:val="00950722"/>
    <w:rsid w:val="00953107"/>
    <w:rsid w:val="0095554F"/>
    <w:rsid w:val="0095655B"/>
    <w:rsid w:val="00961570"/>
    <w:rsid w:val="009616C1"/>
    <w:rsid w:val="00961A60"/>
    <w:rsid w:val="00961C57"/>
    <w:rsid w:val="00962C96"/>
    <w:rsid w:val="009654D9"/>
    <w:rsid w:val="00965C2E"/>
    <w:rsid w:val="009665AA"/>
    <w:rsid w:val="009670C5"/>
    <w:rsid w:val="00970717"/>
    <w:rsid w:val="00971297"/>
    <w:rsid w:val="009737E2"/>
    <w:rsid w:val="0097708E"/>
    <w:rsid w:val="00980C95"/>
    <w:rsid w:val="00983DF2"/>
    <w:rsid w:val="0098436B"/>
    <w:rsid w:val="00984DC7"/>
    <w:rsid w:val="00984FC5"/>
    <w:rsid w:val="00985F09"/>
    <w:rsid w:val="00986025"/>
    <w:rsid w:val="0099030E"/>
    <w:rsid w:val="00996044"/>
    <w:rsid w:val="00997E8A"/>
    <w:rsid w:val="009A1549"/>
    <w:rsid w:val="009A24F5"/>
    <w:rsid w:val="009A3064"/>
    <w:rsid w:val="009A575F"/>
    <w:rsid w:val="009A7749"/>
    <w:rsid w:val="009B23F1"/>
    <w:rsid w:val="009B302D"/>
    <w:rsid w:val="009B4212"/>
    <w:rsid w:val="009B4E24"/>
    <w:rsid w:val="009B529E"/>
    <w:rsid w:val="009B66A6"/>
    <w:rsid w:val="009B6F06"/>
    <w:rsid w:val="009C11BC"/>
    <w:rsid w:val="009C1521"/>
    <w:rsid w:val="009C1674"/>
    <w:rsid w:val="009C2E49"/>
    <w:rsid w:val="009C4403"/>
    <w:rsid w:val="009C4F57"/>
    <w:rsid w:val="009C6382"/>
    <w:rsid w:val="009C6805"/>
    <w:rsid w:val="009C71B0"/>
    <w:rsid w:val="009D02D4"/>
    <w:rsid w:val="009D0B1C"/>
    <w:rsid w:val="009D5030"/>
    <w:rsid w:val="009D5D17"/>
    <w:rsid w:val="009E073A"/>
    <w:rsid w:val="009E30C1"/>
    <w:rsid w:val="009E348E"/>
    <w:rsid w:val="009E36E9"/>
    <w:rsid w:val="009E4EAA"/>
    <w:rsid w:val="009E760C"/>
    <w:rsid w:val="009E775B"/>
    <w:rsid w:val="009F06D8"/>
    <w:rsid w:val="009F0E5E"/>
    <w:rsid w:val="009F1537"/>
    <w:rsid w:val="009F2496"/>
    <w:rsid w:val="009F323E"/>
    <w:rsid w:val="009F376D"/>
    <w:rsid w:val="009F46A8"/>
    <w:rsid w:val="009F4792"/>
    <w:rsid w:val="009F6012"/>
    <w:rsid w:val="009F68CC"/>
    <w:rsid w:val="009F77EE"/>
    <w:rsid w:val="00A000B1"/>
    <w:rsid w:val="00A0136C"/>
    <w:rsid w:val="00A039C3"/>
    <w:rsid w:val="00A03BF1"/>
    <w:rsid w:val="00A05148"/>
    <w:rsid w:val="00A05B56"/>
    <w:rsid w:val="00A07777"/>
    <w:rsid w:val="00A1148F"/>
    <w:rsid w:val="00A115F2"/>
    <w:rsid w:val="00A13468"/>
    <w:rsid w:val="00A14B9C"/>
    <w:rsid w:val="00A161F7"/>
    <w:rsid w:val="00A2176D"/>
    <w:rsid w:val="00A222FB"/>
    <w:rsid w:val="00A22E4C"/>
    <w:rsid w:val="00A24358"/>
    <w:rsid w:val="00A24D7A"/>
    <w:rsid w:val="00A303AD"/>
    <w:rsid w:val="00A333EB"/>
    <w:rsid w:val="00A363A2"/>
    <w:rsid w:val="00A369EB"/>
    <w:rsid w:val="00A37EB6"/>
    <w:rsid w:val="00A425C8"/>
    <w:rsid w:val="00A4285C"/>
    <w:rsid w:val="00A46F19"/>
    <w:rsid w:val="00A520FB"/>
    <w:rsid w:val="00A54466"/>
    <w:rsid w:val="00A551BC"/>
    <w:rsid w:val="00A57727"/>
    <w:rsid w:val="00A608DB"/>
    <w:rsid w:val="00A637B5"/>
    <w:rsid w:val="00A67176"/>
    <w:rsid w:val="00A70402"/>
    <w:rsid w:val="00A73E19"/>
    <w:rsid w:val="00A74F21"/>
    <w:rsid w:val="00A75993"/>
    <w:rsid w:val="00A77B70"/>
    <w:rsid w:val="00A77CAB"/>
    <w:rsid w:val="00A80045"/>
    <w:rsid w:val="00A81104"/>
    <w:rsid w:val="00A85240"/>
    <w:rsid w:val="00A865C9"/>
    <w:rsid w:val="00A87C23"/>
    <w:rsid w:val="00A90BCF"/>
    <w:rsid w:val="00A91B97"/>
    <w:rsid w:val="00A91EE9"/>
    <w:rsid w:val="00A92522"/>
    <w:rsid w:val="00A9613D"/>
    <w:rsid w:val="00A96196"/>
    <w:rsid w:val="00AA161B"/>
    <w:rsid w:val="00AA1AB2"/>
    <w:rsid w:val="00AA304D"/>
    <w:rsid w:val="00AB4588"/>
    <w:rsid w:val="00AB56A6"/>
    <w:rsid w:val="00AC0964"/>
    <w:rsid w:val="00AC1B99"/>
    <w:rsid w:val="00AC1F74"/>
    <w:rsid w:val="00AC4283"/>
    <w:rsid w:val="00AC4939"/>
    <w:rsid w:val="00AC49D5"/>
    <w:rsid w:val="00AC53CF"/>
    <w:rsid w:val="00AC6352"/>
    <w:rsid w:val="00AD186B"/>
    <w:rsid w:val="00AD48DB"/>
    <w:rsid w:val="00AD6ABF"/>
    <w:rsid w:val="00AD7CE9"/>
    <w:rsid w:val="00AE0EA5"/>
    <w:rsid w:val="00AE15A4"/>
    <w:rsid w:val="00AE35FB"/>
    <w:rsid w:val="00AE411E"/>
    <w:rsid w:val="00AE6E4F"/>
    <w:rsid w:val="00AE74A3"/>
    <w:rsid w:val="00AE7CA5"/>
    <w:rsid w:val="00AF0D26"/>
    <w:rsid w:val="00AF3C1E"/>
    <w:rsid w:val="00AF41A2"/>
    <w:rsid w:val="00AF42A9"/>
    <w:rsid w:val="00B01323"/>
    <w:rsid w:val="00B017A4"/>
    <w:rsid w:val="00B020CC"/>
    <w:rsid w:val="00B02626"/>
    <w:rsid w:val="00B02E8C"/>
    <w:rsid w:val="00B0576B"/>
    <w:rsid w:val="00B065DC"/>
    <w:rsid w:val="00B07AAD"/>
    <w:rsid w:val="00B07D34"/>
    <w:rsid w:val="00B10A25"/>
    <w:rsid w:val="00B11884"/>
    <w:rsid w:val="00B118DC"/>
    <w:rsid w:val="00B1207B"/>
    <w:rsid w:val="00B12E68"/>
    <w:rsid w:val="00B1421B"/>
    <w:rsid w:val="00B14B88"/>
    <w:rsid w:val="00B17A41"/>
    <w:rsid w:val="00B17DAC"/>
    <w:rsid w:val="00B21D41"/>
    <w:rsid w:val="00B2231F"/>
    <w:rsid w:val="00B23B04"/>
    <w:rsid w:val="00B24028"/>
    <w:rsid w:val="00B24474"/>
    <w:rsid w:val="00B263C2"/>
    <w:rsid w:val="00B371D6"/>
    <w:rsid w:val="00B3758D"/>
    <w:rsid w:val="00B4009A"/>
    <w:rsid w:val="00B4153B"/>
    <w:rsid w:val="00B41710"/>
    <w:rsid w:val="00B43766"/>
    <w:rsid w:val="00B51073"/>
    <w:rsid w:val="00B521E9"/>
    <w:rsid w:val="00B52CB6"/>
    <w:rsid w:val="00B52ED8"/>
    <w:rsid w:val="00B567D1"/>
    <w:rsid w:val="00B640DC"/>
    <w:rsid w:val="00B648F5"/>
    <w:rsid w:val="00B65972"/>
    <w:rsid w:val="00B66A5E"/>
    <w:rsid w:val="00B6716F"/>
    <w:rsid w:val="00B70A00"/>
    <w:rsid w:val="00B70FD5"/>
    <w:rsid w:val="00B73C2F"/>
    <w:rsid w:val="00B74F26"/>
    <w:rsid w:val="00B756BC"/>
    <w:rsid w:val="00B75A7B"/>
    <w:rsid w:val="00B77A15"/>
    <w:rsid w:val="00B81396"/>
    <w:rsid w:val="00B83846"/>
    <w:rsid w:val="00B86774"/>
    <w:rsid w:val="00B86BA1"/>
    <w:rsid w:val="00B87C77"/>
    <w:rsid w:val="00B87FE5"/>
    <w:rsid w:val="00B90A00"/>
    <w:rsid w:val="00B9123E"/>
    <w:rsid w:val="00B92F6C"/>
    <w:rsid w:val="00B93209"/>
    <w:rsid w:val="00B9393A"/>
    <w:rsid w:val="00B94213"/>
    <w:rsid w:val="00B96BA5"/>
    <w:rsid w:val="00B96E6D"/>
    <w:rsid w:val="00B96ED5"/>
    <w:rsid w:val="00BA1A53"/>
    <w:rsid w:val="00BA2426"/>
    <w:rsid w:val="00BA34E4"/>
    <w:rsid w:val="00BA45AD"/>
    <w:rsid w:val="00BA5BB8"/>
    <w:rsid w:val="00BB233A"/>
    <w:rsid w:val="00BB24A8"/>
    <w:rsid w:val="00BB2E41"/>
    <w:rsid w:val="00BB3256"/>
    <w:rsid w:val="00BB32B1"/>
    <w:rsid w:val="00BB4CC9"/>
    <w:rsid w:val="00BB694D"/>
    <w:rsid w:val="00BB6C50"/>
    <w:rsid w:val="00BB71A5"/>
    <w:rsid w:val="00BC1AA6"/>
    <w:rsid w:val="00BD04CE"/>
    <w:rsid w:val="00BD1720"/>
    <w:rsid w:val="00BD1F32"/>
    <w:rsid w:val="00BD2761"/>
    <w:rsid w:val="00BD39EB"/>
    <w:rsid w:val="00BD4DFF"/>
    <w:rsid w:val="00BD6B07"/>
    <w:rsid w:val="00BE0499"/>
    <w:rsid w:val="00BE0B5C"/>
    <w:rsid w:val="00BE0B65"/>
    <w:rsid w:val="00BE11D0"/>
    <w:rsid w:val="00BE2F27"/>
    <w:rsid w:val="00BE3004"/>
    <w:rsid w:val="00BE3817"/>
    <w:rsid w:val="00BE397E"/>
    <w:rsid w:val="00BE39AF"/>
    <w:rsid w:val="00BE4494"/>
    <w:rsid w:val="00BE4D15"/>
    <w:rsid w:val="00BE65BF"/>
    <w:rsid w:val="00BF106D"/>
    <w:rsid w:val="00BF1210"/>
    <w:rsid w:val="00BF3039"/>
    <w:rsid w:val="00BF379C"/>
    <w:rsid w:val="00C0096F"/>
    <w:rsid w:val="00C0177A"/>
    <w:rsid w:val="00C027E9"/>
    <w:rsid w:val="00C06289"/>
    <w:rsid w:val="00C070E4"/>
    <w:rsid w:val="00C10216"/>
    <w:rsid w:val="00C10E15"/>
    <w:rsid w:val="00C11CD6"/>
    <w:rsid w:val="00C13823"/>
    <w:rsid w:val="00C14177"/>
    <w:rsid w:val="00C16793"/>
    <w:rsid w:val="00C17C70"/>
    <w:rsid w:val="00C23082"/>
    <w:rsid w:val="00C23202"/>
    <w:rsid w:val="00C23287"/>
    <w:rsid w:val="00C23D62"/>
    <w:rsid w:val="00C24E4B"/>
    <w:rsid w:val="00C25547"/>
    <w:rsid w:val="00C27F3B"/>
    <w:rsid w:val="00C33AD3"/>
    <w:rsid w:val="00C363A4"/>
    <w:rsid w:val="00C37759"/>
    <w:rsid w:val="00C41FF8"/>
    <w:rsid w:val="00C44C8F"/>
    <w:rsid w:val="00C502EF"/>
    <w:rsid w:val="00C503B6"/>
    <w:rsid w:val="00C503F2"/>
    <w:rsid w:val="00C50A47"/>
    <w:rsid w:val="00C5567C"/>
    <w:rsid w:val="00C56629"/>
    <w:rsid w:val="00C5696C"/>
    <w:rsid w:val="00C60214"/>
    <w:rsid w:val="00C60F3B"/>
    <w:rsid w:val="00C624BF"/>
    <w:rsid w:val="00C65A9D"/>
    <w:rsid w:val="00C6741C"/>
    <w:rsid w:val="00C70A24"/>
    <w:rsid w:val="00C71965"/>
    <w:rsid w:val="00C73A76"/>
    <w:rsid w:val="00C73EF4"/>
    <w:rsid w:val="00C75B8C"/>
    <w:rsid w:val="00C77055"/>
    <w:rsid w:val="00C80CCB"/>
    <w:rsid w:val="00C835A2"/>
    <w:rsid w:val="00C86359"/>
    <w:rsid w:val="00C906B2"/>
    <w:rsid w:val="00C93D71"/>
    <w:rsid w:val="00CA1C2E"/>
    <w:rsid w:val="00CA2327"/>
    <w:rsid w:val="00CA25EB"/>
    <w:rsid w:val="00CA6CF1"/>
    <w:rsid w:val="00CB0E22"/>
    <w:rsid w:val="00CB1529"/>
    <w:rsid w:val="00CB4C3F"/>
    <w:rsid w:val="00CB5B5C"/>
    <w:rsid w:val="00CB6A20"/>
    <w:rsid w:val="00CB73CE"/>
    <w:rsid w:val="00CC0B20"/>
    <w:rsid w:val="00CC1C3F"/>
    <w:rsid w:val="00CC2255"/>
    <w:rsid w:val="00CD1020"/>
    <w:rsid w:val="00CD27EA"/>
    <w:rsid w:val="00CD5427"/>
    <w:rsid w:val="00CD5DEA"/>
    <w:rsid w:val="00CD6334"/>
    <w:rsid w:val="00CD7864"/>
    <w:rsid w:val="00CE0F87"/>
    <w:rsid w:val="00CE709A"/>
    <w:rsid w:val="00CE77F0"/>
    <w:rsid w:val="00CF19D9"/>
    <w:rsid w:val="00CF2331"/>
    <w:rsid w:val="00CF2785"/>
    <w:rsid w:val="00CF2C5A"/>
    <w:rsid w:val="00CF3469"/>
    <w:rsid w:val="00CF51D8"/>
    <w:rsid w:val="00CF5B4B"/>
    <w:rsid w:val="00CF5C8C"/>
    <w:rsid w:val="00CF6211"/>
    <w:rsid w:val="00D01F84"/>
    <w:rsid w:val="00D028A9"/>
    <w:rsid w:val="00D03C97"/>
    <w:rsid w:val="00D07621"/>
    <w:rsid w:val="00D07EBE"/>
    <w:rsid w:val="00D139C1"/>
    <w:rsid w:val="00D146E4"/>
    <w:rsid w:val="00D14834"/>
    <w:rsid w:val="00D1624C"/>
    <w:rsid w:val="00D227AE"/>
    <w:rsid w:val="00D2401F"/>
    <w:rsid w:val="00D2411D"/>
    <w:rsid w:val="00D24622"/>
    <w:rsid w:val="00D26338"/>
    <w:rsid w:val="00D30621"/>
    <w:rsid w:val="00D33021"/>
    <w:rsid w:val="00D34B15"/>
    <w:rsid w:val="00D3523B"/>
    <w:rsid w:val="00D356DE"/>
    <w:rsid w:val="00D36442"/>
    <w:rsid w:val="00D3685D"/>
    <w:rsid w:val="00D374B3"/>
    <w:rsid w:val="00D37593"/>
    <w:rsid w:val="00D40D91"/>
    <w:rsid w:val="00D42597"/>
    <w:rsid w:val="00D4358A"/>
    <w:rsid w:val="00D441C7"/>
    <w:rsid w:val="00D4748D"/>
    <w:rsid w:val="00D475CC"/>
    <w:rsid w:val="00D477E1"/>
    <w:rsid w:val="00D514C2"/>
    <w:rsid w:val="00D52470"/>
    <w:rsid w:val="00D52C9B"/>
    <w:rsid w:val="00D52DB1"/>
    <w:rsid w:val="00D55582"/>
    <w:rsid w:val="00D55709"/>
    <w:rsid w:val="00D6022D"/>
    <w:rsid w:val="00D60572"/>
    <w:rsid w:val="00D61C0E"/>
    <w:rsid w:val="00D627E3"/>
    <w:rsid w:val="00D64085"/>
    <w:rsid w:val="00D65861"/>
    <w:rsid w:val="00D663D0"/>
    <w:rsid w:val="00D67640"/>
    <w:rsid w:val="00D70A47"/>
    <w:rsid w:val="00D71D1D"/>
    <w:rsid w:val="00D72441"/>
    <w:rsid w:val="00D727B9"/>
    <w:rsid w:val="00D74B46"/>
    <w:rsid w:val="00D77F37"/>
    <w:rsid w:val="00D80D85"/>
    <w:rsid w:val="00D8105D"/>
    <w:rsid w:val="00D8176E"/>
    <w:rsid w:val="00D81B30"/>
    <w:rsid w:val="00D822C3"/>
    <w:rsid w:val="00D8467D"/>
    <w:rsid w:val="00D84D2A"/>
    <w:rsid w:val="00D85BF9"/>
    <w:rsid w:val="00D85F0D"/>
    <w:rsid w:val="00D86D7D"/>
    <w:rsid w:val="00D87AC1"/>
    <w:rsid w:val="00D90373"/>
    <w:rsid w:val="00D907D0"/>
    <w:rsid w:val="00D9168E"/>
    <w:rsid w:val="00D92C17"/>
    <w:rsid w:val="00D93CA0"/>
    <w:rsid w:val="00D952A4"/>
    <w:rsid w:val="00D95785"/>
    <w:rsid w:val="00DA00E3"/>
    <w:rsid w:val="00DA159D"/>
    <w:rsid w:val="00DA66DF"/>
    <w:rsid w:val="00DA6EA6"/>
    <w:rsid w:val="00DA7585"/>
    <w:rsid w:val="00DB0330"/>
    <w:rsid w:val="00DB0662"/>
    <w:rsid w:val="00DB0ED4"/>
    <w:rsid w:val="00DB329D"/>
    <w:rsid w:val="00DB38F3"/>
    <w:rsid w:val="00DC1442"/>
    <w:rsid w:val="00DC1696"/>
    <w:rsid w:val="00DC394F"/>
    <w:rsid w:val="00DC48B4"/>
    <w:rsid w:val="00DC5BF4"/>
    <w:rsid w:val="00DC69E4"/>
    <w:rsid w:val="00DD7053"/>
    <w:rsid w:val="00DD7A5C"/>
    <w:rsid w:val="00DE281E"/>
    <w:rsid w:val="00DE37A3"/>
    <w:rsid w:val="00DE4F07"/>
    <w:rsid w:val="00DE6A7F"/>
    <w:rsid w:val="00DF1643"/>
    <w:rsid w:val="00DF340C"/>
    <w:rsid w:val="00DF4931"/>
    <w:rsid w:val="00DF5F48"/>
    <w:rsid w:val="00DF6AB8"/>
    <w:rsid w:val="00DF6B42"/>
    <w:rsid w:val="00DF7C13"/>
    <w:rsid w:val="00E0105C"/>
    <w:rsid w:val="00E02690"/>
    <w:rsid w:val="00E03797"/>
    <w:rsid w:val="00E053F9"/>
    <w:rsid w:val="00E0684C"/>
    <w:rsid w:val="00E07557"/>
    <w:rsid w:val="00E16DC6"/>
    <w:rsid w:val="00E2223A"/>
    <w:rsid w:val="00E2258F"/>
    <w:rsid w:val="00E2441B"/>
    <w:rsid w:val="00E2583A"/>
    <w:rsid w:val="00E26477"/>
    <w:rsid w:val="00E303BF"/>
    <w:rsid w:val="00E31189"/>
    <w:rsid w:val="00E31A37"/>
    <w:rsid w:val="00E32037"/>
    <w:rsid w:val="00E332C9"/>
    <w:rsid w:val="00E34693"/>
    <w:rsid w:val="00E34B83"/>
    <w:rsid w:val="00E37C73"/>
    <w:rsid w:val="00E40F3B"/>
    <w:rsid w:val="00E42FD7"/>
    <w:rsid w:val="00E43311"/>
    <w:rsid w:val="00E439EC"/>
    <w:rsid w:val="00E43C84"/>
    <w:rsid w:val="00E43F3C"/>
    <w:rsid w:val="00E44173"/>
    <w:rsid w:val="00E464E6"/>
    <w:rsid w:val="00E52644"/>
    <w:rsid w:val="00E53B5A"/>
    <w:rsid w:val="00E566B6"/>
    <w:rsid w:val="00E576F6"/>
    <w:rsid w:val="00E57B0D"/>
    <w:rsid w:val="00E605A6"/>
    <w:rsid w:val="00E60A3B"/>
    <w:rsid w:val="00E60CA7"/>
    <w:rsid w:val="00E6154B"/>
    <w:rsid w:val="00E6211A"/>
    <w:rsid w:val="00E6451A"/>
    <w:rsid w:val="00E65903"/>
    <w:rsid w:val="00E70A2C"/>
    <w:rsid w:val="00E720DC"/>
    <w:rsid w:val="00E725D6"/>
    <w:rsid w:val="00E73FFA"/>
    <w:rsid w:val="00E7532F"/>
    <w:rsid w:val="00E76526"/>
    <w:rsid w:val="00E76E05"/>
    <w:rsid w:val="00E77DC6"/>
    <w:rsid w:val="00E8149C"/>
    <w:rsid w:val="00E81631"/>
    <w:rsid w:val="00E83C7E"/>
    <w:rsid w:val="00E870A7"/>
    <w:rsid w:val="00E90867"/>
    <w:rsid w:val="00E920FF"/>
    <w:rsid w:val="00E942B9"/>
    <w:rsid w:val="00E96195"/>
    <w:rsid w:val="00E97555"/>
    <w:rsid w:val="00EA1A52"/>
    <w:rsid w:val="00EA1DAF"/>
    <w:rsid w:val="00EA1ED9"/>
    <w:rsid w:val="00EA2B02"/>
    <w:rsid w:val="00EA2F33"/>
    <w:rsid w:val="00EA3512"/>
    <w:rsid w:val="00EA53A0"/>
    <w:rsid w:val="00EA6E4A"/>
    <w:rsid w:val="00EB0A8B"/>
    <w:rsid w:val="00EB2E98"/>
    <w:rsid w:val="00EB39AC"/>
    <w:rsid w:val="00EC12DA"/>
    <w:rsid w:val="00EC519A"/>
    <w:rsid w:val="00EC52CB"/>
    <w:rsid w:val="00EC6BFB"/>
    <w:rsid w:val="00EC76F9"/>
    <w:rsid w:val="00EC7B23"/>
    <w:rsid w:val="00ED05D5"/>
    <w:rsid w:val="00ED0988"/>
    <w:rsid w:val="00ED18AF"/>
    <w:rsid w:val="00ED2D96"/>
    <w:rsid w:val="00ED3362"/>
    <w:rsid w:val="00ED3C3B"/>
    <w:rsid w:val="00ED4803"/>
    <w:rsid w:val="00ED6E76"/>
    <w:rsid w:val="00EE220E"/>
    <w:rsid w:val="00EE3AB8"/>
    <w:rsid w:val="00EE3F1F"/>
    <w:rsid w:val="00EE40D9"/>
    <w:rsid w:val="00EE6926"/>
    <w:rsid w:val="00EE6ACC"/>
    <w:rsid w:val="00EE6E88"/>
    <w:rsid w:val="00EF150C"/>
    <w:rsid w:val="00EF1B1B"/>
    <w:rsid w:val="00EF22CD"/>
    <w:rsid w:val="00EF46AF"/>
    <w:rsid w:val="00EF54DD"/>
    <w:rsid w:val="00EF5565"/>
    <w:rsid w:val="00EF635C"/>
    <w:rsid w:val="00EF646D"/>
    <w:rsid w:val="00EF71F5"/>
    <w:rsid w:val="00EF72A0"/>
    <w:rsid w:val="00EF76CD"/>
    <w:rsid w:val="00EF7FEF"/>
    <w:rsid w:val="00F03E6C"/>
    <w:rsid w:val="00F04F3F"/>
    <w:rsid w:val="00F06F64"/>
    <w:rsid w:val="00F07789"/>
    <w:rsid w:val="00F115C5"/>
    <w:rsid w:val="00F11911"/>
    <w:rsid w:val="00F12D44"/>
    <w:rsid w:val="00F13EA9"/>
    <w:rsid w:val="00F167F2"/>
    <w:rsid w:val="00F205F1"/>
    <w:rsid w:val="00F20B4A"/>
    <w:rsid w:val="00F2242F"/>
    <w:rsid w:val="00F23358"/>
    <w:rsid w:val="00F266AD"/>
    <w:rsid w:val="00F26A6B"/>
    <w:rsid w:val="00F2741C"/>
    <w:rsid w:val="00F3254A"/>
    <w:rsid w:val="00F32CA3"/>
    <w:rsid w:val="00F32CB4"/>
    <w:rsid w:val="00F33A16"/>
    <w:rsid w:val="00F33C44"/>
    <w:rsid w:val="00F33F75"/>
    <w:rsid w:val="00F34936"/>
    <w:rsid w:val="00F354BF"/>
    <w:rsid w:val="00F3559C"/>
    <w:rsid w:val="00F36959"/>
    <w:rsid w:val="00F37680"/>
    <w:rsid w:val="00F37DC2"/>
    <w:rsid w:val="00F41BFB"/>
    <w:rsid w:val="00F41EA0"/>
    <w:rsid w:val="00F501E1"/>
    <w:rsid w:val="00F50BD9"/>
    <w:rsid w:val="00F50D5D"/>
    <w:rsid w:val="00F518BA"/>
    <w:rsid w:val="00F51B22"/>
    <w:rsid w:val="00F53CA4"/>
    <w:rsid w:val="00F53E33"/>
    <w:rsid w:val="00F57CBF"/>
    <w:rsid w:val="00F63313"/>
    <w:rsid w:val="00F6467D"/>
    <w:rsid w:val="00F649FB"/>
    <w:rsid w:val="00F64BDB"/>
    <w:rsid w:val="00F64CBB"/>
    <w:rsid w:val="00F6670C"/>
    <w:rsid w:val="00F705B1"/>
    <w:rsid w:val="00F72914"/>
    <w:rsid w:val="00F7299D"/>
    <w:rsid w:val="00F73AD8"/>
    <w:rsid w:val="00F75BCD"/>
    <w:rsid w:val="00F76170"/>
    <w:rsid w:val="00F768C1"/>
    <w:rsid w:val="00F83FA4"/>
    <w:rsid w:val="00F852E3"/>
    <w:rsid w:val="00F86803"/>
    <w:rsid w:val="00F8690B"/>
    <w:rsid w:val="00F87049"/>
    <w:rsid w:val="00F907DA"/>
    <w:rsid w:val="00F90876"/>
    <w:rsid w:val="00F908E4"/>
    <w:rsid w:val="00F941CA"/>
    <w:rsid w:val="00F945A3"/>
    <w:rsid w:val="00F97870"/>
    <w:rsid w:val="00FA37A2"/>
    <w:rsid w:val="00FA5789"/>
    <w:rsid w:val="00FA5A92"/>
    <w:rsid w:val="00FA5BE7"/>
    <w:rsid w:val="00FA5F84"/>
    <w:rsid w:val="00FA5FD0"/>
    <w:rsid w:val="00FA6194"/>
    <w:rsid w:val="00FA6505"/>
    <w:rsid w:val="00FA7AF2"/>
    <w:rsid w:val="00FB04EE"/>
    <w:rsid w:val="00FB51EF"/>
    <w:rsid w:val="00FB5AA5"/>
    <w:rsid w:val="00FB6718"/>
    <w:rsid w:val="00FB69F8"/>
    <w:rsid w:val="00FB6AA5"/>
    <w:rsid w:val="00FB721F"/>
    <w:rsid w:val="00FB7FD3"/>
    <w:rsid w:val="00FC2790"/>
    <w:rsid w:val="00FC2C3D"/>
    <w:rsid w:val="00FC418E"/>
    <w:rsid w:val="00FC4DE7"/>
    <w:rsid w:val="00FC58EA"/>
    <w:rsid w:val="00FC6C0B"/>
    <w:rsid w:val="00FD205C"/>
    <w:rsid w:val="00FD381D"/>
    <w:rsid w:val="00FD4638"/>
    <w:rsid w:val="00FD4F08"/>
    <w:rsid w:val="00FD5D15"/>
    <w:rsid w:val="00FE22B5"/>
    <w:rsid w:val="00FE4136"/>
    <w:rsid w:val="00FE6B33"/>
    <w:rsid w:val="00FF1A3E"/>
    <w:rsid w:val="00FF65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5:chartTrackingRefBased/>
  <w15:docId w15:val="{F2131745-A6C8-4E8F-AC72-D005A5558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B9F"/>
  </w:style>
  <w:style w:type="paragraph" w:styleId="Heading1">
    <w:name w:val="heading 1"/>
    <w:basedOn w:val="Normal"/>
    <w:next w:val="Normal"/>
    <w:link w:val="Heading1Char"/>
    <w:uiPriority w:val="9"/>
    <w:qFormat/>
    <w:rsid w:val="00F7291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291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32EA"/>
    <w:pPr>
      <w:tabs>
        <w:tab w:val="center" w:pos="4153"/>
        <w:tab w:val="right" w:pos="8306"/>
      </w:tabs>
    </w:pPr>
  </w:style>
  <w:style w:type="character" w:customStyle="1" w:styleId="HeaderChar">
    <w:name w:val="Header Char"/>
    <w:basedOn w:val="DefaultParagraphFont"/>
    <w:link w:val="Header"/>
    <w:uiPriority w:val="99"/>
    <w:rsid w:val="009332EA"/>
  </w:style>
  <w:style w:type="paragraph" w:styleId="Footer">
    <w:name w:val="footer"/>
    <w:basedOn w:val="Normal"/>
    <w:link w:val="FooterChar"/>
    <w:uiPriority w:val="99"/>
    <w:unhideWhenUsed/>
    <w:rsid w:val="009332EA"/>
    <w:pPr>
      <w:tabs>
        <w:tab w:val="center" w:pos="4153"/>
        <w:tab w:val="right" w:pos="8306"/>
      </w:tabs>
    </w:pPr>
  </w:style>
  <w:style w:type="character" w:customStyle="1" w:styleId="FooterChar">
    <w:name w:val="Footer Char"/>
    <w:basedOn w:val="DefaultParagraphFont"/>
    <w:link w:val="Footer"/>
    <w:uiPriority w:val="99"/>
    <w:rsid w:val="009332EA"/>
  </w:style>
  <w:style w:type="paragraph" w:styleId="ListParagraph">
    <w:name w:val="List Paragraph"/>
    <w:basedOn w:val="Normal"/>
    <w:link w:val="ListParagraphChar"/>
    <w:uiPriority w:val="34"/>
    <w:qFormat/>
    <w:rsid w:val="00317774"/>
    <w:pPr>
      <w:ind w:left="720"/>
      <w:contextualSpacing/>
    </w:pPr>
  </w:style>
  <w:style w:type="table" w:styleId="TableGrid">
    <w:name w:val="Table Grid"/>
    <w:basedOn w:val="TableNormal"/>
    <w:rsid w:val="00CC1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96ED5"/>
    <w:rPr>
      <w:sz w:val="20"/>
      <w:szCs w:val="20"/>
    </w:rPr>
  </w:style>
  <w:style w:type="character" w:customStyle="1" w:styleId="FootnoteTextChar">
    <w:name w:val="Footnote Text Char"/>
    <w:basedOn w:val="DefaultParagraphFont"/>
    <w:link w:val="FootnoteText"/>
    <w:uiPriority w:val="99"/>
    <w:semiHidden/>
    <w:rsid w:val="00B96ED5"/>
    <w:rPr>
      <w:sz w:val="20"/>
      <w:szCs w:val="20"/>
    </w:rPr>
  </w:style>
  <w:style w:type="character" w:styleId="FootnoteReference">
    <w:name w:val="footnote reference"/>
    <w:basedOn w:val="DefaultParagraphFont"/>
    <w:uiPriority w:val="99"/>
    <w:semiHidden/>
    <w:unhideWhenUsed/>
    <w:rsid w:val="00B96ED5"/>
    <w:rPr>
      <w:vertAlign w:val="superscript"/>
    </w:rPr>
  </w:style>
  <w:style w:type="paragraph" w:styleId="BalloonText">
    <w:name w:val="Balloon Text"/>
    <w:basedOn w:val="Normal"/>
    <w:link w:val="BalloonTextChar"/>
    <w:uiPriority w:val="99"/>
    <w:semiHidden/>
    <w:unhideWhenUsed/>
    <w:rsid w:val="007E1A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A7E"/>
    <w:rPr>
      <w:rFonts w:ascii="Segoe UI" w:hAnsi="Segoe UI" w:cs="Segoe UI"/>
      <w:sz w:val="18"/>
      <w:szCs w:val="18"/>
    </w:rPr>
  </w:style>
  <w:style w:type="paragraph" w:customStyle="1" w:styleId="tv2132">
    <w:name w:val="tv2132"/>
    <w:basedOn w:val="Normal"/>
    <w:rsid w:val="00997E8A"/>
    <w:pPr>
      <w:spacing w:line="360" w:lineRule="auto"/>
      <w:ind w:firstLine="300"/>
    </w:pPr>
    <w:rPr>
      <w:rFonts w:eastAsia="Times New Roman" w:cs="Times New Roman"/>
      <w:color w:val="414142"/>
      <w:sz w:val="20"/>
      <w:szCs w:val="20"/>
      <w:lang w:eastAsia="lv-LV"/>
    </w:rPr>
  </w:style>
  <w:style w:type="paragraph" w:styleId="NoSpacing">
    <w:name w:val="No Spacing"/>
    <w:uiPriority w:val="1"/>
    <w:qFormat/>
    <w:rsid w:val="00433CDB"/>
  </w:style>
  <w:style w:type="paragraph" w:styleId="NormalWeb">
    <w:name w:val="Normal (Web)"/>
    <w:basedOn w:val="Normal"/>
    <w:uiPriority w:val="99"/>
    <w:unhideWhenUsed/>
    <w:rsid w:val="00E43F3C"/>
    <w:pPr>
      <w:spacing w:before="100" w:beforeAutospacing="1" w:after="100" w:afterAutospacing="1"/>
    </w:pPr>
    <w:rPr>
      <w:rFonts w:eastAsia="Times New Roman" w:cs="Times New Roman"/>
      <w:szCs w:val="24"/>
      <w:lang w:eastAsia="lv-LV"/>
    </w:rPr>
  </w:style>
  <w:style w:type="character" w:customStyle="1" w:styleId="Heading1Char">
    <w:name w:val="Heading 1 Char"/>
    <w:basedOn w:val="DefaultParagraphFont"/>
    <w:link w:val="Heading1"/>
    <w:uiPriority w:val="9"/>
    <w:rsid w:val="00F7291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72914"/>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EA2F33"/>
    <w:pPr>
      <w:spacing w:line="259" w:lineRule="auto"/>
      <w:outlineLvl w:val="9"/>
    </w:pPr>
    <w:rPr>
      <w:lang w:val="en-US"/>
    </w:rPr>
  </w:style>
  <w:style w:type="paragraph" w:styleId="TOC1">
    <w:name w:val="toc 1"/>
    <w:basedOn w:val="Normal"/>
    <w:next w:val="Normal"/>
    <w:autoRedefine/>
    <w:uiPriority w:val="39"/>
    <w:unhideWhenUsed/>
    <w:rsid w:val="00EA2F33"/>
    <w:pPr>
      <w:spacing w:after="100"/>
    </w:pPr>
  </w:style>
  <w:style w:type="paragraph" w:styleId="TOC2">
    <w:name w:val="toc 2"/>
    <w:basedOn w:val="Normal"/>
    <w:next w:val="Normal"/>
    <w:autoRedefine/>
    <w:uiPriority w:val="39"/>
    <w:unhideWhenUsed/>
    <w:rsid w:val="00EA2F33"/>
    <w:pPr>
      <w:spacing w:after="100"/>
      <w:ind w:left="240"/>
    </w:pPr>
  </w:style>
  <w:style w:type="character" w:styleId="Hyperlink">
    <w:name w:val="Hyperlink"/>
    <w:basedOn w:val="DefaultParagraphFont"/>
    <w:uiPriority w:val="99"/>
    <w:unhideWhenUsed/>
    <w:rsid w:val="00EA2F33"/>
    <w:rPr>
      <w:color w:val="0563C1" w:themeColor="hyperlink"/>
      <w:u w:val="single"/>
    </w:rPr>
  </w:style>
  <w:style w:type="character" w:customStyle="1" w:styleId="ListParagraphChar">
    <w:name w:val="List Paragraph Char"/>
    <w:link w:val="ListParagraph"/>
    <w:uiPriority w:val="34"/>
    <w:locked/>
    <w:rsid w:val="00906774"/>
  </w:style>
  <w:style w:type="character" w:customStyle="1" w:styleId="apple-converted-space">
    <w:name w:val="apple-converted-space"/>
    <w:basedOn w:val="DefaultParagraphFont"/>
    <w:rsid w:val="00F907DA"/>
  </w:style>
  <w:style w:type="paragraph" w:customStyle="1" w:styleId="Default">
    <w:name w:val="Default"/>
    <w:basedOn w:val="Normal"/>
    <w:rsid w:val="00DF1643"/>
    <w:pPr>
      <w:autoSpaceDE w:val="0"/>
      <w:autoSpaceDN w:val="0"/>
    </w:pPr>
    <w:rPr>
      <w:rFonts w:cs="Times New Roman"/>
      <w:color w:val="000000"/>
      <w:szCs w:val="24"/>
      <w:lang w:eastAsia="lv-LV"/>
    </w:rPr>
  </w:style>
  <w:style w:type="paragraph" w:customStyle="1" w:styleId="Standard">
    <w:name w:val="Standard"/>
    <w:rsid w:val="00726DEC"/>
    <w:pPr>
      <w:widowControl w:val="0"/>
      <w:suppressAutoHyphens/>
      <w:autoSpaceDN w:val="0"/>
      <w:textAlignment w:val="baseline"/>
    </w:pPr>
    <w:rPr>
      <w:rFonts w:ascii="Liberation Serif" w:eastAsia="Droid Sans Fallback" w:hAnsi="Liberation Serif" w:cs="FreeSans"/>
      <w:kern w:val="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96482">
      <w:bodyDiv w:val="1"/>
      <w:marLeft w:val="0"/>
      <w:marRight w:val="0"/>
      <w:marTop w:val="0"/>
      <w:marBottom w:val="0"/>
      <w:divBdr>
        <w:top w:val="none" w:sz="0" w:space="0" w:color="auto"/>
        <w:left w:val="none" w:sz="0" w:space="0" w:color="auto"/>
        <w:bottom w:val="none" w:sz="0" w:space="0" w:color="auto"/>
        <w:right w:val="none" w:sz="0" w:space="0" w:color="auto"/>
      </w:divBdr>
    </w:div>
    <w:div w:id="38868383">
      <w:bodyDiv w:val="1"/>
      <w:marLeft w:val="0"/>
      <w:marRight w:val="0"/>
      <w:marTop w:val="0"/>
      <w:marBottom w:val="0"/>
      <w:divBdr>
        <w:top w:val="none" w:sz="0" w:space="0" w:color="auto"/>
        <w:left w:val="none" w:sz="0" w:space="0" w:color="auto"/>
        <w:bottom w:val="none" w:sz="0" w:space="0" w:color="auto"/>
        <w:right w:val="none" w:sz="0" w:space="0" w:color="auto"/>
      </w:divBdr>
    </w:div>
    <w:div w:id="48892242">
      <w:bodyDiv w:val="1"/>
      <w:marLeft w:val="0"/>
      <w:marRight w:val="0"/>
      <w:marTop w:val="0"/>
      <w:marBottom w:val="0"/>
      <w:divBdr>
        <w:top w:val="none" w:sz="0" w:space="0" w:color="auto"/>
        <w:left w:val="none" w:sz="0" w:space="0" w:color="auto"/>
        <w:bottom w:val="none" w:sz="0" w:space="0" w:color="auto"/>
        <w:right w:val="none" w:sz="0" w:space="0" w:color="auto"/>
      </w:divBdr>
    </w:div>
    <w:div w:id="61105422">
      <w:bodyDiv w:val="1"/>
      <w:marLeft w:val="0"/>
      <w:marRight w:val="0"/>
      <w:marTop w:val="0"/>
      <w:marBottom w:val="0"/>
      <w:divBdr>
        <w:top w:val="none" w:sz="0" w:space="0" w:color="auto"/>
        <w:left w:val="none" w:sz="0" w:space="0" w:color="auto"/>
        <w:bottom w:val="none" w:sz="0" w:space="0" w:color="auto"/>
        <w:right w:val="none" w:sz="0" w:space="0" w:color="auto"/>
      </w:divBdr>
    </w:div>
    <w:div w:id="74128017">
      <w:bodyDiv w:val="1"/>
      <w:marLeft w:val="0"/>
      <w:marRight w:val="0"/>
      <w:marTop w:val="0"/>
      <w:marBottom w:val="0"/>
      <w:divBdr>
        <w:top w:val="none" w:sz="0" w:space="0" w:color="auto"/>
        <w:left w:val="none" w:sz="0" w:space="0" w:color="auto"/>
        <w:bottom w:val="none" w:sz="0" w:space="0" w:color="auto"/>
        <w:right w:val="none" w:sz="0" w:space="0" w:color="auto"/>
      </w:divBdr>
    </w:div>
    <w:div w:id="81922899">
      <w:bodyDiv w:val="1"/>
      <w:marLeft w:val="0"/>
      <w:marRight w:val="0"/>
      <w:marTop w:val="0"/>
      <w:marBottom w:val="0"/>
      <w:divBdr>
        <w:top w:val="none" w:sz="0" w:space="0" w:color="auto"/>
        <w:left w:val="none" w:sz="0" w:space="0" w:color="auto"/>
        <w:bottom w:val="none" w:sz="0" w:space="0" w:color="auto"/>
        <w:right w:val="none" w:sz="0" w:space="0" w:color="auto"/>
      </w:divBdr>
    </w:div>
    <w:div w:id="102846268">
      <w:bodyDiv w:val="1"/>
      <w:marLeft w:val="0"/>
      <w:marRight w:val="0"/>
      <w:marTop w:val="0"/>
      <w:marBottom w:val="0"/>
      <w:divBdr>
        <w:top w:val="none" w:sz="0" w:space="0" w:color="auto"/>
        <w:left w:val="none" w:sz="0" w:space="0" w:color="auto"/>
        <w:bottom w:val="none" w:sz="0" w:space="0" w:color="auto"/>
        <w:right w:val="none" w:sz="0" w:space="0" w:color="auto"/>
      </w:divBdr>
    </w:div>
    <w:div w:id="106586704">
      <w:bodyDiv w:val="1"/>
      <w:marLeft w:val="0"/>
      <w:marRight w:val="0"/>
      <w:marTop w:val="0"/>
      <w:marBottom w:val="0"/>
      <w:divBdr>
        <w:top w:val="none" w:sz="0" w:space="0" w:color="auto"/>
        <w:left w:val="none" w:sz="0" w:space="0" w:color="auto"/>
        <w:bottom w:val="none" w:sz="0" w:space="0" w:color="auto"/>
        <w:right w:val="none" w:sz="0" w:space="0" w:color="auto"/>
      </w:divBdr>
    </w:div>
    <w:div w:id="126779315">
      <w:bodyDiv w:val="1"/>
      <w:marLeft w:val="0"/>
      <w:marRight w:val="0"/>
      <w:marTop w:val="0"/>
      <w:marBottom w:val="0"/>
      <w:divBdr>
        <w:top w:val="none" w:sz="0" w:space="0" w:color="auto"/>
        <w:left w:val="none" w:sz="0" w:space="0" w:color="auto"/>
        <w:bottom w:val="none" w:sz="0" w:space="0" w:color="auto"/>
        <w:right w:val="none" w:sz="0" w:space="0" w:color="auto"/>
      </w:divBdr>
    </w:div>
    <w:div w:id="133984386">
      <w:bodyDiv w:val="1"/>
      <w:marLeft w:val="0"/>
      <w:marRight w:val="0"/>
      <w:marTop w:val="0"/>
      <w:marBottom w:val="0"/>
      <w:divBdr>
        <w:top w:val="none" w:sz="0" w:space="0" w:color="auto"/>
        <w:left w:val="none" w:sz="0" w:space="0" w:color="auto"/>
        <w:bottom w:val="none" w:sz="0" w:space="0" w:color="auto"/>
        <w:right w:val="none" w:sz="0" w:space="0" w:color="auto"/>
      </w:divBdr>
    </w:div>
    <w:div w:id="150295574">
      <w:bodyDiv w:val="1"/>
      <w:marLeft w:val="0"/>
      <w:marRight w:val="0"/>
      <w:marTop w:val="0"/>
      <w:marBottom w:val="0"/>
      <w:divBdr>
        <w:top w:val="none" w:sz="0" w:space="0" w:color="auto"/>
        <w:left w:val="none" w:sz="0" w:space="0" w:color="auto"/>
        <w:bottom w:val="none" w:sz="0" w:space="0" w:color="auto"/>
        <w:right w:val="none" w:sz="0" w:space="0" w:color="auto"/>
      </w:divBdr>
    </w:div>
    <w:div w:id="151800275">
      <w:bodyDiv w:val="1"/>
      <w:marLeft w:val="0"/>
      <w:marRight w:val="0"/>
      <w:marTop w:val="0"/>
      <w:marBottom w:val="0"/>
      <w:divBdr>
        <w:top w:val="none" w:sz="0" w:space="0" w:color="auto"/>
        <w:left w:val="none" w:sz="0" w:space="0" w:color="auto"/>
        <w:bottom w:val="none" w:sz="0" w:space="0" w:color="auto"/>
        <w:right w:val="none" w:sz="0" w:space="0" w:color="auto"/>
      </w:divBdr>
    </w:div>
    <w:div w:id="174072745">
      <w:bodyDiv w:val="1"/>
      <w:marLeft w:val="0"/>
      <w:marRight w:val="0"/>
      <w:marTop w:val="0"/>
      <w:marBottom w:val="0"/>
      <w:divBdr>
        <w:top w:val="none" w:sz="0" w:space="0" w:color="auto"/>
        <w:left w:val="none" w:sz="0" w:space="0" w:color="auto"/>
        <w:bottom w:val="none" w:sz="0" w:space="0" w:color="auto"/>
        <w:right w:val="none" w:sz="0" w:space="0" w:color="auto"/>
      </w:divBdr>
    </w:div>
    <w:div w:id="187531124">
      <w:bodyDiv w:val="1"/>
      <w:marLeft w:val="0"/>
      <w:marRight w:val="0"/>
      <w:marTop w:val="0"/>
      <w:marBottom w:val="0"/>
      <w:divBdr>
        <w:top w:val="none" w:sz="0" w:space="0" w:color="auto"/>
        <w:left w:val="none" w:sz="0" w:space="0" w:color="auto"/>
        <w:bottom w:val="none" w:sz="0" w:space="0" w:color="auto"/>
        <w:right w:val="none" w:sz="0" w:space="0" w:color="auto"/>
      </w:divBdr>
    </w:div>
    <w:div w:id="242834563">
      <w:bodyDiv w:val="1"/>
      <w:marLeft w:val="0"/>
      <w:marRight w:val="0"/>
      <w:marTop w:val="0"/>
      <w:marBottom w:val="0"/>
      <w:divBdr>
        <w:top w:val="none" w:sz="0" w:space="0" w:color="auto"/>
        <w:left w:val="none" w:sz="0" w:space="0" w:color="auto"/>
        <w:bottom w:val="none" w:sz="0" w:space="0" w:color="auto"/>
        <w:right w:val="none" w:sz="0" w:space="0" w:color="auto"/>
      </w:divBdr>
    </w:div>
    <w:div w:id="261837747">
      <w:bodyDiv w:val="1"/>
      <w:marLeft w:val="0"/>
      <w:marRight w:val="0"/>
      <w:marTop w:val="0"/>
      <w:marBottom w:val="0"/>
      <w:divBdr>
        <w:top w:val="none" w:sz="0" w:space="0" w:color="auto"/>
        <w:left w:val="none" w:sz="0" w:space="0" w:color="auto"/>
        <w:bottom w:val="none" w:sz="0" w:space="0" w:color="auto"/>
        <w:right w:val="none" w:sz="0" w:space="0" w:color="auto"/>
      </w:divBdr>
    </w:div>
    <w:div w:id="303170097">
      <w:bodyDiv w:val="1"/>
      <w:marLeft w:val="0"/>
      <w:marRight w:val="0"/>
      <w:marTop w:val="0"/>
      <w:marBottom w:val="0"/>
      <w:divBdr>
        <w:top w:val="none" w:sz="0" w:space="0" w:color="auto"/>
        <w:left w:val="none" w:sz="0" w:space="0" w:color="auto"/>
        <w:bottom w:val="none" w:sz="0" w:space="0" w:color="auto"/>
        <w:right w:val="none" w:sz="0" w:space="0" w:color="auto"/>
      </w:divBdr>
    </w:div>
    <w:div w:id="336662759">
      <w:bodyDiv w:val="1"/>
      <w:marLeft w:val="0"/>
      <w:marRight w:val="0"/>
      <w:marTop w:val="0"/>
      <w:marBottom w:val="0"/>
      <w:divBdr>
        <w:top w:val="none" w:sz="0" w:space="0" w:color="auto"/>
        <w:left w:val="none" w:sz="0" w:space="0" w:color="auto"/>
        <w:bottom w:val="none" w:sz="0" w:space="0" w:color="auto"/>
        <w:right w:val="none" w:sz="0" w:space="0" w:color="auto"/>
      </w:divBdr>
    </w:div>
    <w:div w:id="365132991">
      <w:bodyDiv w:val="1"/>
      <w:marLeft w:val="0"/>
      <w:marRight w:val="0"/>
      <w:marTop w:val="0"/>
      <w:marBottom w:val="0"/>
      <w:divBdr>
        <w:top w:val="none" w:sz="0" w:space="0" w:color="auto"/>
        <w:left w:val="none" w:sz="0" w:space="0" w:color="auto"/>
        <w:bottom w:val="none" w:sz="0" w:space="0" w:color="auto"/>
        <w:right w:val="none" w:sz="0" w:space="0" w:color="auto"/>
      </w:divBdr>
    </w:div>
    <w:div w:id="373699252">
      <w:bodyDiv w:val="1"/>
      <w:marLeft w:val="0"/>
      <w:marRight w:val="0"/>
      <w:marTop w:val="0"/>
      <w:marBottom w:val="0"/>
      <w:divBdr>
        <w:top w:val="none" w:sz="0" w:space="0" w:color="auto"/>
        <w:left w:val="none" w:sz="0" w:space="0" w:color="auto"/>
        <w:bottom w:val="none" w:sz="0" w:space="0" w:color="auto"/>
        <w:right w:val="none" w:sz="0" w:space="0" w:color="auto"/>
      </w:divBdr>
    </w:div>
    <w:div w:id="385760349">
      <w:bodyDiv w:val="1"/>
      <w:marLeft w:val="0"/>
      <w:marRight w:val="0"/>
      <w:marTop w:val="0"/>
      <w:marBottom w:val="0"/>
      <w:divBdr>
        <w:top w:val="none" w:sz="0" w:space="0" w:color="auto"/>
        <w:left w:val="none" w:sz="0" w:space="0" w:color="auto"/>
        <w:bottom w:val="none" w:sz="0" w:space="0" w:color="auto"/>
        <w:right w:val="none" w:sz="0" w:space="0" w:color="auto"/>
      </w:divBdr>
    </w:div>
    <w:div w:id="390351603">
      <w:bodyDiv w:val="1"/>
      <w:marLeft w:val="0"/>
      <w:marRight w:val="0"/>
      <w:marTop w:val="0"/>
      <w:marBottom w:val="0"/>
      <w:divBdr>
        <w:top w:val="none" w:sz="0" w:space="0" w:color="auto"/>
        <w:left w:val="none" w:sz="0" w:space="0" w:color="auto"/>
        <w:bottom w:val="none" w:sz="0" w:space="0" w:color="auto"/>
        <w:right w:val="none" w:sz="0" w:space="0" w:color="auto"/>
      </w:divBdr>
    </w:div>
    <w:div w:id="396049536">
      <w:bodyDiv w:val="1"/>
      <w:marLeft w:val="0"/>
      <w:marRight w:val="0"/>
      <w:marTop w:val="0"/>
      <w:marBottom w:val="0"/>
      <w:divBdr>
        <w:top w:val="none" w:sz="0" w:space="0" w:color="auto"/>
        <w:left w:val="none" w:sz="0" w:space="0" w:color="auto"/>
        <w:bottom w:val="none" w:sz="0" w:space="0" w:color="auto"/>
        <w:right w:val="none" w:sz="0" w:space="0" w:color="auto"/>
      </w:divBdr>
    </w:div>
    <w:div w:id="423654099">
      <w:bodyDiv w:val="1"/>
      <w:marLeft w:val="0"/>
      <w:marRight w:val="0"/>
      <w:marTop w:val="0"/>
      <w:marBottom w:val="0"/>
      <w:divBdr>
        <w:top w:val="none" w:sz="0" w:space="0" w:color="auto"/>
        <w:left w:val="none" w:sz="0" w:space="0" w:color="auto"/>
        <w:bottom w:val="none" w:sz="0" w:space="0" w:color="auto"/>
        <w:right w:val="none" w:sz="0" w:space="0" w:color="auto"/>
      </w:divBdr>
      <w:divsChild>
        <w:div w:id="1835995018">
          <w:marLeft w:val="547"/>
          <w:marRight w:val="0"/>
          <w:marTop w:val="82"/>
          <w:marBottom w:val="0"/>
          <w:divBdr>
            <w:top w:val="none" w:sz="0" w:space="0" w:color="auto"/>
            <w:left w:val="none" w:sz="0" w:space="0" w:color="auto"/>
            <w:bottom w:val="none" w:sz="0" w:space="0" w:color="auto"/>
            <w:right w:val="none" w:sz="0" w:space="0" w:color="auto"/>
          </w:divBdr>
        </w:div>
        <w:div w:id="1067410922">
          <w:marLeft w:val="1166"/>
          <w:marRight w:val="0"/>
          <w:marTop w:val="82"/>
          <w:marBottom w:val="0"/>
          <w:divBdr>
            <w:top w:val="none" w:sz="0" w:space="0" w:color="auto"/>
            <w:left w:val="none" w:sz="0" w:space="0" w:color="auto"/>
            <w:bottom w:val="none" w:sz="0" w:space="0" w:color="auto"/>
            <w:right w:val="none" w:sz="0" w:space="0" w:color="auto"/>
          </w:divBdr>
        </w:div>
        <w:div w:id="2094469133">
          <w:marLeft w:val="547"/>
          <w:marRight w:val="0"/>
          <w:marTop w:val="82"/>
          <w:marBottom w:val="0"/>
          <w:divBdr>
            <w:top w:val="none" w:sz="0" w:space="0" w:color="auto"/>
            <w:left w:val="none" w:sz="0" w:space="0" w:color="auto"/>
            <w:bottom w:val="none" w:sz="0" w:space="0" w:color="auto"/>
            <w:right w:val="none" w:sz="0" w:space="0" w:color="auto"/>
          </w:divBdr>
        </w:div>
        <w:div w:id="1229222417">
          <w:marLeft w:val="1166"/>
          <w:marRight w:val="0"/>
          <w:marTop w:val="82"/>
          <w:marBottom w:val="0"/>
          <w:divBdr>
            <w:top w:val="none" w:sz="0" w:space="0" w:color="auto"/>
            <w:left w:val="none" w:sz="0" w:space="0" w:color="auto"/>
            <w:bottom w:val="none" w:sz="0" w:space="0" w:color="auto"/>
            <w:right w:val="none" w:sz="0" w:space="0" w:color="auto"/>
          </w:divBdr>
        </w:div>
        <w:div w:id="895433060">
          <w:marLeft w:val="547"/>
          <w:marRight w:val="0"/>
          <w:marTop w:val="82"/>
          <w:marBottom w:val="0"/>
          <w:divBdr>
            <w:top w:val="none" w:sz="0" w:space="0" w:color="auto"/>
            <w:left w:val="none" w:sz="0" w:space="0" w:color="auto"/>
            <w:bottom w:val="none" w:sz="0" w:space="0" w:color="auto"/>
            <w:right w:val="none" w:sz="0" w:space="0" w:color="auto"/>
          </w:divBdr>
        </w:div>
        <w:div w:id="251470069">
          <w:marLeft w:val="1166"/>
          <w:marRight w:val="0"/>
          <w:marTop w:val="82"/>
          <w:marBottom w:val="0"/>
          <w:divBdr>
            <w:top w:val="none" w:sz="0" w:space="0" w:color="auto"/>
            <w:left w:val="none" w:sz="0" w:space="0" w:color="auto"/>
            <w:bottom w:val="none" w:sz="0" w:space="0" w:color="auto"/>
            <w:right w:val="none" w:sz="0" w:space="0" w:color="auto"/>
          </w:divBdr>
        </w:div>
        <w:div w:id="482163070">
          <w:marLeft w:val="547"/>
          <w:marRight w:val="0"/>
          <w:marTop w:val="82"/>
          <w:marBottom w:val="0"/>
          <w:divBdr>
            <w:top w:val="none" w:sz="0" w:space="0" w:color="auto"/>
            <w:left w:val="none" w:sz="0" w:space="0" w:color="auto"/>
            <w:bottom w:val="none" w:sz="0" w:space="0" w:color="auto"/>
            <w:right w:val="none" w:sz="0" w:space="0" w:color="auto"/>
          </w:divBdr>
        </w:div>
        <w:div w:id="426386252">
          <w:marLeft w:val="1166"/>
          <w:marRight w:val="0"/>
          <w:marTop w:val="82"/>
          <w:marBottom w:val="0"/>
          <w:divBdr>
            <w:top w:val="none" w:sz="0" w:space="0" w:color="auto"/>
            <w:left w:val="none" w:sz="0" w:space="0" w:color="auto"/>
            <w:bottom w:val="none" w:sz="0" w:space="0" w:color="auto"/>
            <w:right w:val="none" w:sz="0" w:space="0" w:color="auto"/>
          </w:divBdr>
        </w:div>
        <w:div w:id="113719824">
          <w:marLeft w:val="547"/>
          <w:marRight w:val="0"/>
          <w:marTop w:val="82"/>
          <w:marBottom w:val="0"/>
          <w:divBdr>
            <w:top w:val="none" w:sz="0" w:space="0" w:color="auto"/>
            <w:left w:val="none" w:sz="0" w:space="0" w:color="auto"/>
            <w:bottom w:val="none" w:sz="0" w:space="0" w:color="auto"/>
            <w:right w:val="none" w:sz="0" w:space="0" w:color="auto"/>
          </w:divBdr>
        </w:div>
        <w:div w:id="1218666377">
          <w:marLeft w:val="1166"/>
          <w:marRight w:val="0"/>
          <w:marTop w:val="82"/>
          <w:marBottom w:val="0"/>
          <w:divBdr>
            <w:top w:val="none" w:sz="0" w:space="0" w:color="auto"/>
            <w:left w:val="none" w:sz="0" w:space="0" w:color="auto"/>
            <w:bottom w:val="none" w:sz="0" w:space="0" w:color="auto"/>
            <w:right w:val="none" w:sz="0" w:space="0" w:color="auto"/>
          </w:divBdr>
        </w:div>
        <w:div w:id="1851092757">
          <w:marLeft w:val="547"/>
          <w:marRight w:val="0"/>
          <w:marTop w:val="82"/>
          <w:marBottom w:val="0"/>
          <w:divBdr>
            <w:top w:val="none" w:sz="0" w:space="0" w:color="auto"/>
            <w:left w:val="none" w:sz="0" w:space="0" w:color="auto"/>
            <w:bottom w:val="none" w:sz="0" w:space="0" w:color="auto"/>
            <w:right w:val="none" w:sz="0" w:space="0" w:color="auto"/>
          </w:divBdr>
        </w:div>
        <w:div w:id="2091923038">
          <w:marLeft w:val="1166"/>
          <w:marRight w:val="0"/>
          <w:marTop w:val="82"/>
          <w:marBottom w:val="0"/>
          <w:divBdr>
            <w:top w:val="none" w:sz="0" w:space="0" w:color="auto"/>
            <w:left w:val="none" w:sz="0" w:space="0" w:color="auto"/>
            <w:bottom w:val="none" w:sz="0" w:space="0" w:color="auto"/>
            <w:right w:val="none" w:sz="0" w:space="0" w:color="auto"/>
          </w:divBdr>
        </w:div>
        <w:div w:id="610628698">
          <w:marLeft w:val="547"/>
          <w:marRight w:val="0"/>
          <w:marTop w:val="82"/>
          <w:marBottom w:val="0"/>
          <w:divBdr>
            <w:top w:val="none" w:sz="0" w:space="0" w:color="auto"/>
            <w:left w:val="none" w:sz="0" w:space="0" w:color="auto"/>
            <w:bottom w:val="none" w:sz="0" w:space="0" w:color="auto"/>
            <w:right w:val="none" w:sz="0" w:space="0" w:color="auto"/>
          </w:divBdr>
        </w:div>
        <w:div w:id="1501385178">
          <w:marLeft w:val="1166"/>
          <w:marRight w:val="0"/>
          <w:marTop w:val="82"/>
          <w:marBottom w:val="0"/>
          <w:divBdr>
            <w:top w:val="none" w:sz="0" w:space="0" w:color="auto"/>
            <w:left w:val="none" w:sz="0" w:space="0" w:color="auto"/>
            <w:bottom w:val="none" w:sz="0" w:space="0" w:color="auto"/>
            <w:right w:val="none" w:sz="0" w:space="0" w:color="auto"/>
          </w:divBdr>
        </w:div>
        <w:div w:id="1203246926">
          <w:marLeft w:val="547"/>
          <w:marRight w:val="0"/>
          <w:marTop w:val="82"/>
          <w:marBottom w:val="0"/>
          <w:divBdr>
            <w:top w:val="none" w:sz="0" w:space="0" w:color="auto"/>
            <w:left w:val="none" w:sz="0" w:space="0" w:color="auto"/>
            <w:bottom w:val="none" w:sz="0" w:space="0" w:color="auto"/>
            <w:right w:val="none" w:sz="0" w:space="0" w:color="auto"/>
          </w:divBdr>
        </w:div>
        <w:div w:id="1319651971">
          <w:marLeft w:val="1166"/>
          <w:marRight w:val="0"/>
          <w:marTop w:val="82"/>
          <w:marBottom w:val="0"/>
          <w:divBdr>
            <w:top w:val="none" w:sz="0" w:space="0" w:color="auto"/>
            <w:left w:val="none" w:sz="0" w:space="0" w:color="auto"/>
            <w:bottom w:val="none" w:sz="0" w:space="0" w:color="auto"/>
            <w:right w:val="none" w:sz="0" w:space="0" w:color="auto"/>
          </w:divBdr>
        </w:div>
      </w:divsChild>
    </w:div>
    <w:div w:id="451754736">
      <w:bodyDiv w:val="1"/>
      <w:marLeft w:val="0"/>
      <w:marRight w:val="0"/>
      <w:marTop w:val="0"/>
      <w:marBottom w:val="0"/>
      <w:divBdr>
        <w:top w:val="none" w:sz="0" w:space="0" w:color="auto"/>
        <w:left w:val="none" w:sz="0" w:space="0" w:color="auto"/>
        <w:bottom w:val="none" w:sz="0" w:space="0" w:color="auto"/>
        <w:right w:val="none" w:sz="0" w:space="0" w:color="auto"/>
      </w:divBdr>
    </w:div>
    <w:div w:id="509956695">
      <w:bodyDiv w:val="1"/>
      <w:marLeft w:val="0"/>
      <w:marRight w:val="0"/>
      <w:marTop w:val="0"/>
      <w:marBottom w:val="0"/>
      <w:divBdr>
        <w:top w:val="none" w:sz="0" w:space="0" w:color="auto"/>
        <w:left w:val="none" w:sz="0" w:space="0" w:color="auto"/>
        <w:bottom w:val="none" w:sz="0" w:space="0" w:color="auto"/>
        <w:right w:val="none" w:sz="0" w:space="0" w:color="auto"/>
      </w:divBdr>
    </w:div>
    <w:div w:id="513149234">
      <w:bodyDiv w:val="1"/>
      <w:marLeft w:val="0"/>
      <w:marRight w:val="0"/>
      <w:marTop w:val="0"/>
      <w:marBottom w:val="0"/>
      <w:divBdr>
        <w:top w:val="none" w:sz="0" w:space="0" w:color="auto"/>
        <w:left w:val="none" w:sz="0" w:space="0" w:color="auto"/>
        <w:bottom w:val="none" w:sz="0" w:space="0" w:color="auto"/>
        <w:right w:val="none" w:sz="0" w:space="0" w:color="auto"/>
      </w:divBdr>
    </w:div>
    <w:div w:id="521549528">
      <w:bodyDiv w:val="1"/>
      <w:marLeft w:val="0"/>
      <w:marRight w:val="0"/>
      <w:marTop w:val="0"/>
      <w:marBottom w:val="0"/>
      <w:divBdr>
        <w:top w:val="none" w:sz="0" w:space="0" w:color="auto"/>
        <w:left w:val="none" w:sz="0" w:space="0" w:color="auto"/>
        <w:bottom w:val="none" w:sz="0" w:space="0" w:color="auto"/>
        <w:right w:val="none" w:sz="0" w:space="0" w:color="auto"/>
      </w:divBdr>
    </w:div>
    <w:div w:id="526337708">
      <w:bodyDiv w:val="1"/>
      <w:marLeft w:val="0"/>
      <w:marRight w:val="0"/>
      <w:marTop w:val="0"/>
      <w:marBottom w:val="0"/>
      <w:divBdr>
        <w:top w:val="none" w:sz="0" w:space="0" w:color="auto"/>
        <w:left w:val="none" w:sz="0" w:space="0" w:color="auto"/>
        <w:bottom w:val="none" w:sz="0" w:space="0" w:color="auto"/>
        <w:right w:val="none" w:sz="0" w:space="0" w:color="auto"/>
      </w:divBdr>
    </w:div>
    <w:div w:id="531695739">
      <w:bodyDiv w:val="1"/>
      <w:marLeft w:val="0"/>
      <w:marRight w:val="0"/>
      <w:marTop w:val="0"/>
      <w:marBottom w:val="0"/>
      <w:divBdr>
        <w:top w:val="none" w:sz="0" w:space="0" w:color="auto"/>
        <w:left w:val="none" w:sz="0" w:space="0" w:color="auto"/>
        <w:bottom w:val="none" w:sz="0" w:space="0" w:color="auto"/>
        <w:right w:val="none" w:sz="0" w:space="0" w:color="auto"/>
      </w:divBdr>
    </w:div>
    <w:div w:id="534973913">
      <w:bodyDiv w:val="1"/>
      <w:marLeft w:val="0"/>
      <w:marRight w:val="0"/>
      <w:marTop w:val="0"/>
      <w:marBottom w:val="0"/>
      <w:divBdr>
        <w:top w:val="none" w:sz="0" w:space="0" w:color="auto"/>
        <w:left w:val="none" w:sz="0" w:space="0" w:color="auto"/>
        <w:bottom w:val="none" w:sz="0" w:space="0" w:color="auto"/>
        <w:right w:val="none" w:sz="0" w:space="0" w:color="auto"/>
      </w:divBdr>
    </w:div>
    <w:div w:id="535167433">
      <w:bodyDiv w:val="1"/>
      <w:marLeft w:val="0"/>
      <w:marRight w:val="0"/>
      <w:marTop w:val="0"/>
      <w:marBottom w:val="0"/>
      <w:divBdr>
        <w:top w:val="none" w:sz="0" w:space="0" w:color="auto"/>
        <w:left w:val="none" w:sz="0" w:space="0" w:color="auto"/>
        <w:bottom w:val="none" w:sz="0" w:space="0" w:color="auto"/>
        <w:right w:val="none" w:sz="0" w:space="0" w:color="auto"/>
      </w:divBdr>
    </w:div>
    <w:div w:id="551040113">
      <w:bodyDiv w:val="1"/>
      <w:marLeft w:val="0"/>
      <w:marRight w:val="0"/>
      <w:marTop w:val="0"/>
      <w:marBottom w:val="0"/>
      <w:divBdr>
        <w:top w:val="none" w:sz="0" w:space="0" w:color="auto"/>
        <w:left w:val="none" w:sz="0" w:space="0" w:color="auto"/>
        <w:bottom w:val="none" w:sz="0" w:space="0" w:color="auto"/>
        <w:right w:val="none" w:sz="0" w:space="0" w:color="auto"/>
      </w:divBdr>
    </w:div>
    <w:div w:id="576476487">
      <w:bodyDiv w:val="1"/>
      <w:marLeft w:val="0"/>
      <w:marRight w:val="0"/>
      <w:marTop w:val="0"/>
      <w:marBottom w:val="0"/>
      <w:divBdr>
        <w:top w:val="none" w:sz="0" w:space="0" w:color="auto"/>
        <w:left w:val="none" w:sz="0" w:space="0" w:color="auto"/>
        <w:bottom w:val="none" w:sz="0" w:space="0" w:color="auto"/>
        <w:right w:val="none" w:sz="0" w:space="0" w:color="auto"/>
      </w:divBdr>
    </w:div>
    <w:div w:id="590357072">
      <w:bodyDiv w:val="1"/>
      <w:marLeft w:val="0"/>
      <w:marRight w:val="0"/>
      <w:marTop w:val="0"/>
      <w:marBottom w:val="0"/>
      <w:divBdr>
        <w:top w:val="none" w:sz="0" w:space="0" w:color="auto"/>
        <w:left w:val="none" w:sz="0" w:space="0" w:color="auto"/>
        <w:bottom w:val="none" w:sz="0" w:space="0" w:color="auto"/>
        <w:right w:val="none" w:sz="0" w:space="0" w:color="auto"/>
      </w:divBdr>
    </w:div>
    <w:div w:id="634332812">
      <w:bodyDiv w:val="1"/>
      <w:marLeft w:val="0"/>
      <w:marRight w:val="0"/>
      <w:marTop w:val="0"/>
      <w:marBottom w:val="0"/>
      <w:divBdr>
        <w:top w:val="none" w:sz="0" w:space="0" w:color="auto"/>
        <w:left w:val="none" w:sz="0" w:space="0" w:color="auto"/>
        <w:bottom w:val="none" w:sz="0" w:space="0" w:color="auto"/>
        <w:right w:val="none" w:sz="0" w:space="0" w:color="auto"/>
      </w:divBdr>
    </w:div>
    <w:div w:id="636035453">
      <w:bodyDiv w:val="1"/>
      <w:marLeft w:val="0"/>
      <w:marRight w:val="0"/>
      <w:marTop w:val="0"/>
      <w:marBottom w:val="0"/>
      <w:divBdr>
        <w:top w:val="none" w:sz="0" w:space="0" w:color="auto"/>
        <w:left w:val="none" w:sz="0" w:space="0" w:color="auto"/>
        <w:bottom w:val="none" w:sz="0" w:space="0" w:color="auto"/>
        <w:right w:val="none" w:sz="0" w:space="0" w:color="auto"/>
      </w:divBdr>
    </w:div>
    <w:div w:id="653948514">
      <w:bodyDiv w:val="1"/>
      <w:marLeft w:val="0"/>
      <w:marRight w:val="0"/>
      <w:marTop w:val="0"/>
      <w:marBottom w:val="0"/>
      <w:divBdr>
        <w:top w:val="none" w:sz="0" w:space="0" w:color="auto"/>
        <w:left w:val="none" w:sz="0" w:space="0" w:color="auto"/>
        <w:bottom w:val="none" w:sz="0" w:space="0" w:color="auto"/>
        <w:right w:val="none" w:sz="0" w:space="0" w:color="auto"/>
      </w:divBdr>
    </w:div>
    <w:div w:id="658844010">
      <w:bodyDiv w:val="1"/>
      <w:marLeft w:val="0"/>
      <w:marRight w:val="0"/>
      <w:marTop w:val="0"/>
      <w:marBottom w:val="0"/>
      <w:divBdr>
        <w:top w:val="none" w:sz="0" w:space="0" w:color="auto"/>
        <w:left w:val="none" w:sz="0" w:space="0" w:color="auto"/>
        <w:bottom w:val="none" w:sz="0" w:space="0" w:color="auto"/>
        <w:right w:val="none" w:sz="0" w:space="0" w:color="auto"/>
      </w:divBdr>
    </w:div>
    <w:div w:id="742027404">
      <w:bodyDiv w:val="1"/>
      <w:marLeft w:val="0"/>
      <w:marRight w:val="0"/>
      <w:marTop w:val="0"/>
      <w:marBottom w:val="0"/>
      <w:divBdr>
        <w:top w:val="none" w:sz="0" w:space="0" w:color="auto"/>
        <w:left w:val="none" w:sz="0" w:space="0" w:color="auto"/>
        <w:bottom w:val="none" w:sz="0" w:space="0" w:color="auto"/>
        <w:right w:val="none" w:sz="0" w:space="0" w:color="auto"/>
      </w:divBdr>
    </w:div>
    <w:div w:id="787435071">
      <w:bodyDiv w:val="1"/>
      <w:marLeft w:val="0"/>
      <w:marRight w:val="0"/>
      <w:marTop w:val="0"/>
      <w:marBottom w:val="0"/>
      <w:divBdr>
        <w:top w:val="none" w:sz="0" w:space="0" w:color="auto"/>
        <w:left w:val="none" w:sz="0" w:space="0" w:color="auto"/>
        <w:bottom w:val="none" w:sz="0" w:space="0" w:color="auto"/>
        <w:right w:val="none" w:sz="0" w:space="0" w:color="auto"/>
      </w:divBdr>
    </w:div>
    <w:div w:id="837767995">
      <w:bodyDiv w:val="1"/>
      <w:marLeft w:val="0"/>
      <w:marRight w:val="0"/>
      <w:marTop w:val="0"/>
      <w:marBottom w:val="0"/>
      <w:divBdr>
        <w:top w:val="none" w:sz="0" w:space="0" w:color="auto"/>
        <w:left w:val="none" w:sz="0" w:space="0" w:color="auto"/>
        <w:bottom w:val="none" w:sz="0" w:space="0" w:color="auto"/>
        <w:right w:val="none" w:sz="0" w:space="0" w:color="auto"/>
      </w:divBdr>
    </w:div>
    <w:div w:id="838497984">
      <w:bodyDiv w:val="1"/>
      <w:marLeft w:val="0"/>
      <w:marRight w:val="0"/>
      <w:marTop w:val="0"/>
      <w:marBottom w:val="0"/>
      <w:divBdr>
        <w:top w:val="none" w:sz="0" w:space="0" w:color="auto"/>
        <w:left w:val="none" w:sz="0" w:space="0" w:color="auto"/>
        <w:bottom w:val="none" w:sz="0" w:space="0" w:color="auto"/>
        <w:right w:val="none" w:sz="0" w:space="0" w:color="auto"/>
      </w:divBdr>
    </w:div>
    <w:div w:id="840045973">
      <w:bodyDiv w:val="1"/>
      <w:marLeft w:val="0"/>
      <w:marRight w:val="0"/>
      <w:marTop w:val="0"/>
      <w:marBottom w:val="0"/>
      <w:divBdr>
        <w:top w:val="none" w:sz="0" w:space="0" w:color="auto"/>
        <w:left w:val="none" w:sz="0" w:space="0" w:color="auto"/>
        <w:bottom w:val="none" w:sz="0" w:space="0" w:color="auto"/>
        <w:right w:val="none" w:sz="0" w:space="0" w:color="auto"/>
      </w:divBdr>
    </w:div>
    <w:div w:id="856390991">
      <w:bodyDiv w:val="1"/>
      <w:marLeft w:val="0"/>
      <w:marRight w:val="0"/>
      <w:marTop w:val="0"/>
      <w:marBottom w:val="0"/>
      <w:divBdr>
        <w:top w:val="none" w:sz="0" w:space="0" w:color="auto"/>
        <w:left w:val="none" w:sz="0" w:space="0" w:color="auto"/>
        <w:bottom w:val="none" w:sz="0" w:space="0" w:color="auto"/>
        <w:right w:val="none" w:sz="0" w:space="0" w:color="auto"/>
      </w:divBdr>
    </w:div>
    <w:div w:id="863250920">
      <w:bodyDiv w:val="1"/>
      <w:marLeft w:val="0"/>
      <w:marRight w:val="0"/>
      <w:marTop w:val="0"/>
      <w:marBottom w:val="0"/>
      <w:divBdr>
        <w:top w:val="none" w:sz="0" w:space="0" w:color="auto"/>
        <w:left w:val="none" w:sz="0" w:space="0" w:color="auto"/>
        <w:bottom w:val="none" w:sz="0" w:space="0" w:color="auto"/>
        <w:right w:val="none" w:sz="0" w:space="0" w:color="auto"/>
      </w:divBdr>
    </w:div>
    <w:div w:id="867327563">
      <w:bodyDiv w:val="1"/>
      <w:marLeft w:val="0"/>
      <w:marRight w:val="0"/>
      <w:marTop w:val="0"/>
      <w:marBottom w:val="0"/>
      <w:divBdr>
        <w:top w:val="none" w:sz="0" w:space="0" w:color="auto"/>
        <w:left w:val="none" w:sz="0" w:space="0" w:color="auto"/>
        <w:bottom w:val="none" w:sz="0" w:space="0" w:color="auto"/>
        <w:right w:val="none" w:sz="0" w:space="0" w:color="auto"/>
      </w:divBdr>
    </w:div>
    <w:div w:id="874539784">
      <w:bodyDiv w:val="1"/>
      <w:marLeft w:val="0"/>
      <w:marRight w:val="0"/>
      <w:marTop w:val="0"/>
      <w:marBottom w:val="0"/>
      <w:divBdr>
        <w:top w:val="none" w:sz="0" w:space="0" w:color="auto"/>
        <w:left w:val="none" w:sz="0" w:space="0" w:color="auto"/>
        <w:bottom w:val="none" w:sz="0" w:space="0" w:color="auto"/>
        <w:right w:val="none" w:sz="0" w:space="0" w:color="auto"/>
      </w:divBdr>
    </w:div>
    <w:div w:id="899629435">
      <w:bodyDiv w:val="1"/>
      <w:marLeft w:val="0"/>
      <w:marRight w:val="0"/>
      <w:marTop w:val="0"/>
      <w:marBottom w:val="0"/>
      <w:divBdr>
        <w:top w:val="none" w:sz="0" w:space="0" w:color="auto"/>
        <w:left w:val="none" w:sz="0" w:space="0" w:color="auto"/>
        <w:bottom w:val="none" w:sz="0" w:space="0" w:color="auto"/>
        <w:right w:val="none" w:sz="0" w:space="0" w:color="auto"/>
      </w:divBdr>
    </w:div>
    <w:div w:id="900946862">
      <w:bodyDiv w:val="1"/>
      <w:marLeft w:val="0"/>
      <w:marRight w:val="0"/>
      <w:marTop w:val="0"/>
      <w:marBottom w:val="0"/>
      <w:divBdr>
        <w:top w:val="none" w:sz="0" w:space="0" w:color="auto"/>
        <w:left w:val="none" w:sz="0" w:space="0" w:color="auto"/>
        <w:bottom w:val="none" w:sz="0" w:space="0" w:color="auto"/>
        <w:right w:val="none" w:sz="0" w:space="0" w:color="auto"/>
      </w:divBdr>
    </w:div>
    <w:div w:id="916087749">
      <w:bodyDiv w:val="1"/>
      <w:marLeft w:val="0"/>
      <w:marRight w:val="0"/>
      <w:marTop w:val="0"/>
      <w:marBottom w:val="0"/>
      <w:divBdr>
        <w:top w:val="none" w:sz="0" w:space="0" w:color="auto"/>
        <w:left w:val="none" w:sz="0" w:space="0" w:color="auto"/>
        <w:bottom w:val="none" w:sz="0" w:space="0" w:color="auto"/>
        <w:right w:val="none" w:sz="0" w:space="0" w:color="auto"/>
      </w:divBdr>
    </w:div>
    <w:div w:id="928387273">
      <w:bodyDiv w:val="1"/>
      <w:marLeft w:val="0"/>
      <w:marRight w:val="0"/>
      <w:marTop w:val="0"/>
      <w:marBottom w:val="0"/>
      <w:divBdr>
        <w:top w:val="none" w:sz="0" w:space="0" w:color="auto"/>
        <w:left w:val="none" w:sz="0" w:space="0" w:color="auto"/>
        <w:bottom w:val="none" w:sz="0" w:space="0" w:color="auto"/>
        <w:right w:val="none" w:sz="0" w:space="0" w:color="auto"/>
      </w:divBdr>
    </w:div>
    <w:div w:id="933174118">
      <w:bodyDiv w:val="1"/>
      <w:marLeft w:val="0"/>
      <w:marRight w:val="0"/>
      <w:marTop w:val="0"/>
      <w:marBottom w:val="0"/>
      <w:divBdr>
        <w:top w:val="none" w:sz="0" w:space="0" w:color="auto"/>
        <w:left w:val="none" w:sz="0" w:space="0" w:color="auto"/>
        <w:bottom w:val="none" w:sz="0" w:space="0" w:color="auto"/>
        <w:right w:val="none" w:sz="0" w:space="0" w:color="auto"/>
      </w:divBdr>
    </w:div>
    <w:div w:id="947396169">
      <w:bodyDiv w:val="1"/>
      <w:marLeft w:val="0"/>
      <w:marRight w:val="0"/>
      <w:marTop w:val="0"/>
      <w:marBottom w:val="0"/>
      <w:divBdr>
        <w:top w:val="none" w:sz="0" w:space="0" w:color="auto"/>
        <w:left w:val="none" w:sz="0" w:space="0" w:color="auto"/>
        <w:bottom w:val="none" w:sz="0" w:space="0" w:color="auto"/>
        <w:right w:val="none" w:sz="0" w:space="0" w:color="auto"/>
      </w:divBdr>
    </w:div>
    <w:div w:id="962537185">
      <w:bodyDiv w:val="1"/>
      <w:marLeft w:val="0"/>
      <w:marRight w:val="0"/>
      <w:marTop w:val="0"/>
      <w:marBottom w:val="0"/>
      <w:divBdr>
        <w:top w:val="none" w:sz="0" w:space="0" w:color="auto"/>
        <w:left w:val="none" w:sz="0" w:space="0" w:color="auto"/>
        <w:bottom w:val="none" w:sz="0" w:space="0" w:color="auto"/>
        <w:right w:val="none" w:sz="0" w:space="0" w:color="auto"/>
      </w:divBdr>
    </w:div>
    <w:div w:id="974214984">
      <w:bodyDiv w:val="1"/>
      <w:marLeft w:val="0"/>
      <w:marRight w:val="0"/>
      <w:marTop w:val="0"/>
      <w:marBottom w:val="0"/>
      <w:divBdr>
        <w:top w:val="none" w:sz="0" w:space="0" w:color="auto"/>
        <w:left w:val="none" w:sz="0" w:space="0" w:color="auto"/>
        <w:bottom w:val="none" w:sz="0" w:space="0" w:color="auto"/>
        <w:right w:val="none" w:sz="0" w:space="0" w:color="auto"/>
      </w:divBdr>
    </w:div>
    <w:div w:id="1068188329">
      <w:bodyDiv w:val="1"/>
      <w:marLeft w:val="0"/>
      <w:marRight w:val="0"/>
      <w:marTop w:val="0"/>
      <w:marBottom w:val="0"/>
      <w:divBdr>
        <w:top w:val="none" w:sz="0" w:space="0" w:color="auto"/>
        <w:left w:val="none" w:sz="0" w:space="0" w:color="auto"/>
        <w:bottom w:val="none" w:sz="0" w:space="0" w:color="auto"/>
        <w:right w:val="none" w:sz="0" w:space="0" w:color="auto"/>
      </w:divBdr>
    </w:div>
    <w:div w:id="1077559214">
      <w:bodyDiv w:val="1"/>
      <w:marLeft w:val="0"/>
      <w:marRight w:val="0"/>
      <w:marTop w:val="0"/>
      <w:marBottom w:val="0"/>
      <w:divBdr>
        <w:top w:val="none" w:sz="0" w:space="0" w:color="auto"/>
        <w:left w:val="none" w:sz="0" w:space="0" w:color="auto"/>
        <w:bottom w:val="none" w:sz="0" w:space="0" w:color="auto"/>
        <w:right w:val="none" w:sz="0" w:space="0" w:color="auto"/>
      </w:divBdr>
    </w:div>
    <w:div w:id="1093815838">
      <w:bodyDiv w:val="1"/>
      <w:marLeft w:val="0"/>
      <w:marRight w:val="0"/>
      <w:marTop w:val="0"/>
      <w:marBottom w:val="0"/>
      <w:divBdr>
        <w:top w:val="none" w:sz="0" w:space="0" w:color="auto"/>
        <w:left w:val="none" w:sz="0" w:space="0" w:color="auto"/>
        <w:bottom w:val="none" w:sz="0" w:space="0" w:color="auto"/>
        <w:right w:val="none" w:sz="0" w:space="0" w:color="auto"/>
      </w:divBdr>
    </w:div>
    <w:div w:id="1094590575">
      <w:bodyDiv w:val="1"/>
      <w:marLeft w:val="0"/>
      <w:marRight w:val="0"/>
      <w:marTop w:val="0"/>
      <w:marBottom w:val="0"/>
      <w:divBdr>
        <w:top w:val="none" w:sz="0" w:space="0" w:color="auto"/>
        <w:left w:val="none" w:sz="0" w:space="0" w:color="auto"/>
        <w:bottom w:val="none" w:sz="0" w:space="0" w:color="auto"/>
        <w:right w:val="none" w:sz="0" w:space="0" w:color="auto"/>
      </w:divBdr>
    </w:div>
    <w:div w:id="1115753255">
      <w:bodyDiv w:val="1"/>
      <w:marLeft w:val="0"/>
      <w:marRight w:val="0"/>
      <w:marTop w:val="0"/>
      <w:marBottom w:val="0"/>
      <w:divBdr>
        <w:top w:val="none" w:sz="0" w:space="0" w:color="auto"/>
        <w:left w:val="none" w:sz="0" w:space="0" w:color="auto"/>
        <w:bottom w:val="none" w:sz="0" w:space="0" w:color="auto"/>
        <w:right w:val="none" w:sz="0" w:space="0" w:color="auto"/>
      </w:divBdr>
    </w:div>
    <w:div w:id="1147013754">
      <w:bodyDiv w:val="1"/>
      <w:marLeft w:val="0"/>
      <w:marRight w:val="0"/>
      <w:marTop w:val="0"/>
      <w:marBottom w:val="0"/>
      <w:divBdr>
        <w:top w:val="none" w:sz="0" w:space="0" w:color="auto"/>
        <w:left w:val="none" w:sz="0" w:space="0" w:color="auto"/>
        <w:bottom w:val="none" w:sz="0" w:space="0" w:color="auto"/>
        <w:right w:val="none" w:sz="0" w:space="0" w:color="auto"/>
      </w:divBdr>
    </w:div>
    <w:div w:id="1162433711">
      <w:bodyDiv w:val="1"/>
      <w:marLeft w:val="0"/>
      <w:marRight w:val="0"/>
      <w:marTop w:val="0"/>
      <w:marBottom w:val="0"/>
      <w:divBdr>
        <w:top w:val="none" w:sz="0" w:space="0" w:color="auto"/>
        <w:left w:val="none" w:sz="0" w:space="0" w:color="auto"/>
        <w:bottom w:val="none" w:sz="0" w:space="0" w:color="auto"/>
        <w:right w:val="none" w:sz="0" w:space="0" w:color="auto"/>
      </w:divBdr>
    </w:div>
    <w:div w:id="1234043304">
      <w:bodyDiv w:val="1"/>
      <w:marLeft w:val="0"/>
      <w:marRight w:val="0"/>
      <w:marTop w:val="0"/>
      <w:marBottom w:val="0"/>
      <w:divBdr>
        <w:top w:val="none" w:sz="0" w:space="0" w:color="auto"/>
        <w:left w:val="none" w:sz="0" w:space="0" w:color="auto"/>
        <w:bottom w:val="none" w:sz="0" w:space="0" w:color="auto"/>
        <w:right w:val="none" w:sz="0" w:space="0" w:color="auto"/>
      </w:divBdr>
    </w:div>
    <w:div w:id="1316228221">
      <w:bodyDiv w:val="1"/>
      <w:marLeft w:val="0"/>
      <w:marRight w:val="0"/>
      <w:marTop w:val="0"/>
      <w:marBottom w:val="0"/>
      <w:divBdr>
        <w:top w:val="none" w:sz="0" w:space="0" w:color="auto"/>
        <w:left w:val="none" w:sz="0" w:space="0" w:color="auto"/>
        <w:bottom w:val="none" w:sz="0" w:space="0" w:color="auto"/>
        <w:right w:val="none" w:sz="0" w:space="0" w:color="auto"/>
      </w:divBdr>
    </w:div>
    <w:div w:id="1324047675">
      <w:bodyDiv w:val="1"/>
      <w:marLeft w:val="0"/>
      <w:marRight w:val="0"/>
      <w:marTop w:val="0"/>
      <w:marBottom w:val="0"/>
      <w:divBdr>
        <w:top w:val="none" w:sz="0" w:space="0" w:color="auto"/>
        <w:left w:val="none" w:sz="0" w:space="0" w:color="auto"/>
        <w:bottom w:val="none" w:sz="0" w:space="0" w:color="auto"/>
        <w:right w:val="none" w:sz="0" w:space="0" w:color="auto"/>
      </w:divBdr>
    </w:div>
    <w:div w:id="1340810641">
      <w:bodyDiv w:val="1"/>
      <w:marLeft w:val="0"/>
      <w:marRight w:val="0"/>
      <w:marTop w:val="0"/>
      <w:marBottom w:val="0"/>
      <w:divBdr>
        <w:top w:val="none" w:sz="0" w:space="0" w:color="auto"/>
        <w:left w:val="none" w:sz="0" w:space="0" w:color="auto"/>
        <w:bottom w:val="none" w:sz="0" w:space="0" w:color="auto"/>
        <w:right w:val="none" w:sz="0" w:space="0" w:color="auto"/>
      </w:divBdr>
    </w:div>
    <w:div w:id="1348562966">
      <w:bodyDiv w:val="1"/>
      <w:marLeft w:val="0"/>
      <w:marRight w:val="0"/>
      <w:marTop w:val="0"/>
      <w:marBottom w:val="0"/>
      <w:divBdr>
        <w:top w:val="none" w:sz="0" w:space="0" w:color="auto"/>
        <w:left w:val="none" w:sz="0" w:space="0" w:color="auto"/>
        <w:bottom w:val="none" w:sz="0" w:space="0" w:color="auto"/>
        <w:right w:val="none" w:sz="0" w:space="0" w:color="auto"/>
      </w:divBdr>
    </w:div>
    <w:div w:id="1362046245">
      <w:bodyDiv w:val="1"/>
      <w:marLeft w:val="0"/>
      <w:marRight w:val="0"/>
      <w:marTop w:val="0"/>
      <w:marBottom w:val="0"/>
      <w:divBdr>
        <w:top w:val="none" w:sz="0" w:space="0" w:color="auto"/>
        <w:left w:val="none" w:sz="0" w:space="0" w:color="auto"/>
        <w:bottom w:val="none" w:sz="0" w:space="0" w:color="auto"/>
        <w:right w:val="none" w:sz="0" w:space="0" w:color="auto"/>
      </w:divBdr>
    </w:div>
    <w:div w:id="1370254083">
      <w:bodyDiv w:val="1"/>
      <w:marLeft w:val="0"/>
      <w:marRight w:val="0"/>
      <w:marTop w:val="0"/>
      <w:marBottom w:val="0"/>
      <w:divBdr>
        <w:top w:val="none" w:sz="0" w:space="0" w:color="auto"/>
        <w:left w:val="none" w:sz="0" w:space="0" w:color="auto"/>
        <w:bottom w:val="none" w:sz="0" w:space="0" w:color="auto"/>
        <w:right w:val="none" w:sz="0" w:space="0" w:color="auto"/>
      </w:divBdr>
    </w:div>
    <w:div w:id="1375083972">
      <w:bodyDiv w:val="1"/>
      <w:marLeft w:val="0"/>
      <w:marRight w:val="0"/>
      <w:marTop w:val="0"/>
      <w:marBottom w:val="0"/>
      <w:divBdr>
        <w:top w:val="none" w:sz="0" w:space="0" w:color="auto"/>
        <w:left w:val="none" w:sz="0" w:space="0" w:color="auto"/>
        <w:bottom w:val="none" w:sz="0" w:space="0" w:color="auto"/>
        <w:right w:val="none" w:sz="0" w:space="0" w:color="auto"/>
      </w:divBdr>
    </w:div>
    <w:div w:id="1382291620">
      <w:bodyDiv w:val="1"/>
      <w:marLeft w:val="0"/>
      <w:marRight w:val="0"/>
      <w:marTop w:val="0"/>
      <w:marBottom w:val="0"/>
      <w:divBdr>
        <w:top w:val="none" w:sz="0" w:space="0" w:color="auto"/>
        <w:left w:val="none" w:sz="0" w:space="0" w:color="auto"/>
        <w:bottom w:val="none" w:sz="0" w:space="0" w:color="auto"/>
        <w:right w:val="none" w:sz="0" w:space="0" w:color="auto"/>
      </w:divBdr>
    </w:div>
    <w:div w:id="1423600700">
      <w:bodyDiv w:val="1"/>
      <w:marLeft w:val="0"/>
      <w:marRight w:val="0"/>
      <w:marTop w:val="0"/>
      <w:marBottom w:val="0"/>
      <w:divBdr>
        <w:top w:val="none" w:sz="0" w:space="0" w:color="auto"/>
        <w:left w:val="none" w:sz="0" w:space="0" w:color="auto"/>
        <w:bottom w:val="none" w:sz="0" w:space="0" w:color="auto"/>
        <w:right w:val="none" w:sz="0" w:space="0" w:color="auto"/>
      </w:divBdr>
    </w:div>
    <w:div w:id="1460341831">
      <w:bodyDiv w:val="1"/>
      <w:marLeft w:val="0"/>
      <w:marRight w:val="0"/>
      <w:marTop w:val="0"/>
      <w:marBottom w:val="0"/>
      <w:divBdr>
        <w:top w:val="none" w:sz="0" w:space="0" w:color="auto"/>
        <w:left w:val="none" w:sz="0" w:space="0" w:color="auto"/>
        <w:bottom w:val="none" w:sz="0" w:space="0" w:color="auto"/>
        <w:right w:val="none" w:sz="0" w:space="0" w:color="auto"/>
      </w:divBdr>
    </w:div>
    <w:div w:id="1497723385">
      <w:bodyDiv w:val="1"/>
      <w:marLeft w:val="0"/>
      <w:marRight w:val="0"/>
      <w:marTop w:val="0"/>
      <w:marBottom w:val="0"/>
      <w:divBdr>
        <w:top w:val="none" w:sz="0" w:space="0" w:color="auto"/>
        <w:left w:val="none" w:sz="0" w:space="0" w:color="auto"/>
        <w:bottom w:val="none" w:sz="0" w:space="0" w:color="auto"/>
        <w:right w:val="none" w:sz="0" w:space="0" w:color="auto"/>
      </w:divBdr>
    </w:div>
    <w:div w:id="1516189887">
      <w:bodyDiv w:val="1"/>
      <w:marLeft w:val="0"/>
      <w:marRight w:val="0"/>
      <w:marTop w:val="0"/>
      <w:marBottom w:val="0"/>
      <w:divBdr>
        <w:top w:val="none" w:sz="0" w:space="0" w:color="auto"/>
        <w:left w:val="none" w:sz="0" w:space="0" w:color="auto"/>
        <w:bottom w:val="none" w:sz="0" w:space="0" w:color="auto"/>
        <w:right w:val="none" w:sz="0" w:space="0" w:color="auto"/>
      </w:divBdr>
    </w:div>
    <w:div w:id="1530486167">
      <w:bodyDiv w:val="1"/>
      <w:marLeft w:val="0"/>
      <w:marRight w:val="0"/>
      <w:marTop w:val="0"/>
      <w:marBottom w:val="0"/>
      <w:divBdr>
        <w:top w:val="none" w:sz="0" w:space="0" w:color="auto"/>
        <w:left w:val="none" w:sz="0" w:space="0" w:color="auto"/>
        <w:bottom w:val="none" w:sz="0" w:space="0" w:color="auto"/>
        <w:right w:val="none" w:sz="0" w:space="0" w:color="auto"/>
      </w:divBdr>
    </w:div>
    <w:div w:id="1530875966">
      <w:bodyDiv w:val="1"/>
      <w:marLeft w:val="0"/>
      <w:marRight w:val="0"/>
      <w:marTop w:val="0"/>
      <w:marBottom w:val="0"/>
      <w:divBdr>
        <w:top w:val="none" w:sz="0" w:space="0" w:color="auto"/>
        <w:left w:val="none" w:sz="0" w:space="0" w:color="auto"/>
        <w:bottom w:val="none" w:sz="0" w:space="0" w:color="auto"/>
        <w:right w:val="none" w:sz="0" w:space="0" w:color="auto"/>
      </w:divBdr>
    </w:div>
    <w:div w:id="1531608844">
      <w:bodyDiv w:val="1"/>
      <w:marLeft w:val="0"/>
      <w:marRight w:val="0"/>
      <w:marTop w:val="0"/>
      <w:marBottom w:val="0"/>
      <w:divBdr>
        <w:top w:val="none" w:sz="0" w:space="0" w:color="auto"/>
        <w:left w:val="none" w:sz="0" w:space="0" w:color="auto"/>
        <w:bottom w:val="none" w:sz="0" w:space="0" w:color="auto"/>
        <w:right w:val="none" w:sz="0" w:space="0" w:color="auto"/>
      </w:divBdr>
    </w:div>
    <w:div w:id="1542133888">
      <w:bodyDiv w:val="1"/>
      <w:marLeft w:val="0"/>
      <w:marRight w:val="0"/>
      <w:marTop w:val="0"/>
      <w:marBottom w:val="0"/>
      <w:divBdr>
        <w:top w:val="none" w:sz="0" w:space="0" w:color="auto"/>
        <w:left w:val="none" w:sz="0" w:space="0" w:color="auto"/>
        <w:bottom w:val="none" w:sz="0" w:space="0" w:color="auto"/>
        <w:right w:val="none" w:sz="0" w:space="0" w:color="auto"/>
      </w:divBdr>
    </w:div>
    <w:div w:id="1544369337">
      <w:bodyDiv w:val="1"/>
      <w:marLeft w:val="0"/>
      <w:marRight w:val="0"/>
      <w:marTop w:val="0"/>
      <w:marBottom w:val="0"/>
      <w:divBdr>
        <w:top w:val="none" w:sz="0" w:space="0" w:color="auto"/>
        <w:left w:val="none" w:sz="0" w:space="0" w:color="auto"/>
        <w:bottom w:val="none" w:sz="0" w:space="0" w:color="auto"/>
        <w:right w:val="none" w:sz="0" w:space="0" w:color="auto"/>
      </w:divBdr>
    </w:div>
    <w:div w:id="1562256323">
      <w:bodyDiv w:val="1"/>
      <w:marLeft w:val="0"/>
      <w:marRight w:val="0"/>
      <w:marTop w:val="0"/>
      <w:marBottom w:val="0"/>
      <w:divBdr>
        <w:top w:val="none" w:sz="0" w:space="0" w:color="auto"/>
        <w:left w:val="none" w:sz="0" w:space="0" w:color="auto"/>
        <w:bottom w:val="none" w:sz="0" w:space="0" w:color="auto"/>
        <w:right w:val="none" w:sz="0" w:space="0" w:color="auto"/>
      </w:divBdr>
    </w:div>
    <w:div w:id="1570920730">
      <w:bodyDiv w:val="1"/>
      <w:marLeft w:val="0"/>
      <w:marRight w:val="0"/>
      <w:marTop w:val="0"/>
      <w:marBottom w:val="0"/>
      <w:divBdr>
        <w:top w:val="none" w:sz="0" w:space="0" w:color="auto"/>
        <w:left w:val="none" w:sz="0" w:space="0" w:color="auto"/>
        <w:bottom w:val="none" w:sz="0" w:space="0" w:color="auto"/>
        <w:right w:val="none" w:sz="0" w:space="0" w:color="auto"/>
      </w:divBdr>
    </w:div>
    <w:div w:id="1593854854">
      <w:bodyDiv w:val="1"/>
      <w:marLeft w:val="0"/>
      <w:marRight w:val="0"/>
      <w:marTop w:val="0"/>
      <w:marBottom w:val="0"/>
      <w:divBdr>
        <w:top w:val="none" w:sz="0" w:space="0" w:color="auto"/>
        <w:left w:val="none" w:sz="0" w:space="0" w:color="auto"/>
        <w:bottom w:val="none" w:sz="0" w:space="0" w:color="auto"/>
        <w:right w:val="none" w:sz="0" w:space="0" w:color="auto"/>
      </w:divBdr>
    </w:div>
    <w:div w:id="1600020654">
      <w:bodyDiv w:val="1"/>
      <w:marLeft w:val="0"/>
      <w:marRight w:val="0"/>
      <w:marTop w:val="0"/>
      <w:marBottom w:val="0"/>
      <w:divBdr>
        <w:top w:val="none" w:sz="0" w:space="0" w:color="auto"/>
        <w:left w:val="none" w:sz="0" w:space="0" w:color="auto"/>
        <w:bottom w:val="none" w:sz="0" w:space="0" w:color="auto"/>
        <w:right w:val="none" w:sz="0" w:space="0" w:color="auto"/>
      </w:divBdr>
    </w:div>
    <w:div w:id="1609190452">
      <w:bodyDiv w:val="1"/>
      <w:marLeft w:val="0"/>
      <w:marRight w:val="0"/>
      <w:marTop w:val="0"/>
      <w:marBottom w:val="0"/>
      <w:divBdr>
        <w:top w:val="none" w:sz="0" w:space="0" w:color="auto"/>
        <w:left w:val="none" w:sz="0" w:space="0" w:color="auto"/>
        <w:bottom w:val="none" w:sz="0" w:space="0" w:color="auto"/>
        <w:right w:val="none" w:sz="0" w:space="0" w:color="auto"/>
      </w:divBdr>
    </w:div>
    <w:div w:id="1648246827">
      <w:bodyDiv w:val="1"/>
      <w:marLeft w:val="0"/>
      <w:marRight w:val="0"/>
      <w:marTop w:val="0"/>
      <w:marBottom w:val="0"/>
      <w:divBdr>
        <w:top w:val="none" w:sz="0" w:space="0" w:color="auto"/>
        <w:left w:val="none" w:sz="0" w:space="0" w:color="auto"/>
        <w:bottom w:val="none" w:sz="0" w:space="0" w:color="auto"/>
        <w:right w:val="none" w:sz="0" w:space="0" w:color="auto"/>
      </w:divBdr>
    </w:div>
    <w:div w:id="1658531246">
      <w:bodyDiv w:val="1"/>
      <w:marLeft w:val="0"/>
      <w:marRight w:val="0"/>
      <w:marTop w:val="0"/>
      <w:marBottom w:val="0"/>
      <w:divBdr>
        <w:top w:val="none" w:sz="0" w:space="0" w:color="auto"/>
        <w:left w:val="none" w:sz="0" w:space="0" w:color="auto"/>
        <w:bottom w:val="none" w:sz="0" w:space="0" w:color="auto"/>
        <w:right w:val="none" w:sz="0" w:space="0" w:color="auto"/>
      </w:divBdr>
    </w:div>
    <w:div w:id="1778284012">
      <w:bodyDiv w:val="1"/>
      <w:marLeft w:val="0"/>
      <w:marRight w:val="0"/>
      <w:marTop w:val="0"/>
      <w:marBottom w:val="0"/>
      <w:divBdr>
        <w:top w:val="none" w:sz="0" w:space="0" w:color="auto"/>
        <w:left w:val="none" w:sz="0" w:space="0" w:color="auto"/>
        <w:bottom w:val="none" w:sz="0" w:space="0" w:color="auto"/>
        <w:right w:val="none" w:sz="0" w:space="0" w:color="auto"/>
      </w:divBdr>
    </w:div>
    <w:div w:id="1816993990">
      <w:bodyDiv w:val="1"/>
      <w:marLeft w:val="0"/>
      <w:marRight w:val="0"/>
      <w:marTop w:val="0"/>
      <w:marBottom w:val="0"/>
      <w:divBdr>
        <w:top w:val="none" w:sz="0" w:space="0" w:color="auto"/>
        <w:left w:val="none" w:sz="0" w:space="0" w:color="auto"/>
        <w:bottom w:val="none" w:sz="0" w:space="0" w:color="auto"/>
        <w:right w:val="none" w:sz="0" w:space="0" w:color="auto"/>
      </w:divBdr>
    </w:div>
    <w:div w:id="1821774949">
      <w:bodyDiv w:val="1"/>
      <w:marLeft w:val="0"/>
      <w:marRight w:val="0"/>
      <w:marTop w:val="0"/>
      <w:marBottom w:val="0"/>
      <w:divBdr>
        <w:top w:val="none" w:sz="0" w:space="0" w:color="auto"/>
        <w:left w:val="none" w:sz="0" w:space="0" w:color="auto"/>
        <w:bottom w:val="none" w:sz="0" w:space="0" w:color="auto"/>
        <w:right w:val="none" w:sz="0" w:space="0" w:color="auto"/>
      </w:divBdr>
    </w:div>
    <w:div w:id="1867331905">
      <w:bodyDiv w:val="1"/>
      <w:marLeft w:val="0"/>
      <w:marRight w:val="0"/>
      <w:marTop w:val="0"/>
      <w:marBottom w:val="0"/>
      <w:divBdr>
        <w:top w:val="none" w:sz="0" w:space="0" w:color="auto"/>
        <w:left w:val="none" w:sz="0" w:space="0" w:color="auto"/>
        <w:bottom w:val="none" w:sz="0" w:space="0" w:color="auto"/>
        <w:right w:val="none" w:sz="0" w:space="0" w:color="auto"/>
      </w:divBdr>
    </w:div>
    <w:div w:id="1867714771">
      <w:bodyDiv w:val="1"/>
      <w:marLeft w:val="0"/>
      <w:marRight w:val="0"/>
      <w:marTop w:val="0"/>
      <w:marBottom w:val="0"/>
      <w:divBdr>
        <w:top w:val="none" w:sz="0" w:space="0" w:color="auto"/>
        <w:left w:val="none" w:sz="0" w:space="0" w:color="auto"/>
        <w:bottom w:val="none" w:sz="0" w:space="0" w:color="auto"/>
        <w:right w:val="none" w:sz="0" w:space="0" w:color="auto"/>
      </w:divBdr>
    </w:div>
    <w:div w:id="1914197669">
      <w:bodyDiv w:val="1"/>
      <w:marLeft w:val="0"/>
      <w:marRight w:val="0"/>
      <w:marTop w:val="0"/>
      <w:marBottom w:val="0"/>
      <w:divBdr>
        <w:top w:val="none" w:sz="0" w:space="0" w:color="auto"/>
        <w:left w:val="none" w:sz="0" w:space="0" w:color="auto"/>
        <w:bottom w:val="none" w:sz="0" w:space="0" w:color="auto"/>
        <w:right w:val="none" w:sz="0" w:space="0" w:color="auto"/>
      </w:divBdr>
    </w:div>
    <w:div w:id="1940605279">
      <w:bodyDiv w:val="1"/>
      <w:marLeft w:val="0"/>
      <w:marRight w:val="0"/>
      <w:marTop w:val="0"/>
      <w:marBottom w:val="0"/>
      <w:divBdr>
        <w:top w:val="none" w:sz="0" w:space="0" w:color="auto"/>
        <w:left w:val="none" w:sz="0" w:space="0" w:color="auto"/>
        <w:bottom w:val="none" w:sz="0" w:space="0" w:color="auto"/>
        <w:right w:val="none" w:sz="0" w:space="0" w:color="auto"/>
      </w:divBdr>
    </w:div>
    <w:div w:id="1948586923">
      <w:bodyDiv w:val="1"/>
      <w:marLeft w:val="0"/>
      <w:marRight w:val="0"/>
      <w:marTop w:val="0"/>
      <w:marBottom w:val="0"/>
      <w:divBdr>
        <w:top w:val="none" w:sz="0" w:space="0" w:color="auto"/>
        <w:left w:val="none" w:sz="0" w:space="0" w:color="auto"/>
        <w:bottom w:val="none" w:sz="0" w:space="0" w:color="auto"/>
        <w:right w:val="none" w:sz="0" w:space="0" w:color="auto"/>
      </w:divBdr>
    </w:div>
    <w:div w:id="1950892051">
      <w:bodyDiv w:val="1"/>
      <w:marLeft w:val="0"/>
      <w:marRight w:val="0"/>
      <w:marTop w:val="0"/>
      <w:marBottom w:val="0"/>
      <w:divBdr>
        <w:top w:val="none" w:sz="0" w:space="0" w:color="auto"/>
        <w:left w:val="none" w:sz="0" w:space="0" w:color="auto"/>
        <w:bottom w:val="none" w:sz="0" w:space="0" w:color="auto"/>
        <w:right w:val="none" w:sz="0" w:space="0" w:color="auto"/>
      </w:divBdr>
    </w:div>
    <w:div w:id="1978340235">
      <w:bodyDiv w:val="1"/>
      <w:marLeft w:val="0"/>
      <w:marRight w:val="0"/>
      <w:marTop w:val="0"/>
      <w:marBottom w:val="0"/>
      <w:divBdr>
        <w:top w:val="none" w:sz="0" w:space="0" w:color="auto"/>
        <w:left w:val="none" w:sz="0" w:space="0" w:color="auto"/>
        <w:bottom w:val="none" w:sz="0" w:space="0" w:color="auto"/>
        <w:right w:val="none" w:sz="0" w:space="0" w:color="auto"/>
      </w:divBdr>
    </w:div>
    <w:div w:id="1978752488">
      <w:bodyDiv w:val="1"/>
      <w:marLeft w:val="0"/>
      <w:marRight w:val="0"/>
      <w:marTop w:val="0"/>
      <w:marBottom w:val="0"/>
      <w:divBdr>
        <w:top w:val="none" w:sz="0" w:space="0" w:color="auto"/>
        <w:left w:val="none" w:sz="0" w:space="0" w:color="auto"/>
        <w:bottom w:val="none" w:sz="0" w:space="0" w:color="auto"/>
        <w:right w:val="none" w:sz="0" w:space="0" w:color="auto"/>
      </w:divBdr>
    </w:div>
    <w:div w:id="1990667090">
      <w:bodyDiv w:val="1"/>
      <w:marLeft w:val="0"/>
      <w:marRight w:val="0"/>
      <w:marTop w:val="0"/>
      <w:marBottom w:val="0"/>
      <w:divBdr>
        <w:top w:val="none" w:sz="0" w:space="0" w:color="auto"/>
        <w:left w:val="none" w:sz="0" w:space="0" w:color="auto"/>
        <w:bottom w:val="none" w:sz="0" w:space="0" w:color="auto"/>
        <w:right w:val="none" w:sz="0" w:space="0" w:color="auto"/>
      </w:divBdr>
    </w:div>
    <w:div w:id="2016767404">
      <w:bodyDiv w:val="1"/>
      <w:marLeft w:val="0"/>
      <w:marRight w:val="0"/>
      <w:marTop w:val="0"/>
      <w:marBottom w:val="0"/>
      <w:divBdr>
        <w:top w:val="none" w:sz="0" w:space="0" w:color="auto"/>
        <w:left w:val="none" w:sz="0" w:space="0" w:color="auto"/>
        <w:bottom w:val="none" w:sz="0" w:space="0" w:color="auto"/>
        <w:right w:val="none" w:sz="0" w:space="0" w:color="auto"/>
      </w:divBdr>
    </w:div>
    <w:div w:id="2040857915">
      <w:bodyDiv w:val="1"/>
      <w:marLeft w:val="0"/>
      <w:marRight w:val="0"/>
      <w:marTop w:val="0"/>
      <w:marBottom w:val="0"/>
      <w:divBdr>
        <w:top w:val="none" w:sz="0" w:space="0" w:color="auto"/>
        <w:left w:val="none" w:sz="0" w:space="0" w:color="auto"/>
        <w:bottom w:val="none" w:sz="0" w:space="0" w:color="auto"/>
        <w:right w:val="none" w:sz="0" w:space="0" w:color="auto"/>
      </w:divBdr>
    </w:div>
    <w:div w:id="2045984929">
      <w:bodyDiv w:val="1"/>
      <w:marLeft w:val="0"/>
      <w:marRight w:val="0"/>
      <w:marTop w:val="0"/>
      <w:marBottom w:val="0"/>
      <w:divBdr>
        <w:top w:val="none" w:sz="0" w:space="0" w:color="auto"/>
        <w:left w:val="none" w:sz="0" w:space="0" w:color="auto"/>
        <w:bottom w:val="none" w:sz="0" w:space="0" w:color="auto"/>
        <w:right w:val="none" w:sz="0" w:space="0" w:color="auto"/>
      </w:divBdr>
    </w:div>
    <w:div w:id="2103138818">
      <w:bodyDiv w:val="1"/>
      <w:marLeft w:val="0"/>
      <w:marRight w:val="0"/>
      <w:marTop w:val="0"/>
      <w:marBottom w:val="0"/>
      <w:divBdr>
        <w:top w:val="none" w:sz="0" w:space="0" w:color="auto"/>
        <w:left w:val="none" w:sz="0" w:space="0" w:color="auto"/>
        <w:bottom w:val="none" w:sz="0" w:space="0" w:color="auto"/>
        <w:right w:val="none" w:sz="0" w:space="0" w:color="auto"/>
      </w:divBdr>
    </w:div>
    <w:div w:id="212842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image" Target="media/image14.png"/><Relationship Id="rId39" Type="http://schemas.openxmlformats.org/officeDocument/2006/relationships/chart" Target="charts/chart12.xml"/><Relationship Id="rId21" Type="http://schemas.openxmlformats.org/officeDocument/2006/relationships/image" Target="media/image12.png"/><Relationship Id="rId34" Type="http://schemas.openxmlformats.org/officeDocument/2006/relationships/chart" Target="charts/chart7.xml"/><Relationship Id="rId42" Type="http://schemas.openxmlformats.org/officeDocument/2006/relationships/chart" Target="charts/chart15.xml"/><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image" Target="media/image30.png"/><Relationship Id="rId63" Type="http://schemas.openxmlformats.org/officeDocument/2006/relationships/image" Target="media/image38.png"/><Relationship Id="rId68" Type="http://schemas.openxmlformats.org/officeDocument/2006/relationships/chart" Target="charts/chart18.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likumi.lv/ta/id/279830-emisijas-kvotu-izsolisanas-instrumenta-finanseto-projektu-atklata-konkursa-siltumnicefekta-gazu-emisiju-samazinasana-valsts" TargetMode="External"/><Relationship Id="rId29" Type="http://schemas.openxmlformats.org/officeDocument/2006/relationships/image" Target="media/image17.png"/><Relationship Id="rId11" Type="http://schemas.openxmlformats.org/officeDocument/2006/relationships/image" Target="media/image4.png"/><Relationship Id="rId24" Type="http://schemas.openxmlformats.org/officeDocument/2006/relationships/chart" Target="charts/chart3.xml"/><Relationship Id="rId32" Type="http://schemas.openxmlformats.org/officeDocument/2006/relationships/chart" Target="charts/chart5.xml"/><Relationship Id="rId37" Type="http://schemas.openxmlformats.org/officeDocument/2006/relationships/chart" Target="charts/chart10.xml"/><Relationship Id="rId40" Type="http://schemas.openxmlformats.org/officeDocument/2006/relationships/chart" Target="charts/chart13.xml"/><Relationship Id="rId45" Type="http://schemas.openxmlformats.org/officeDocument/2006/relationships/image" Target="media/image20.png"/><Relationship Id="rId53" Type="http://schemas.openxmlformats.org/officeDocument/2006/relationships/image" Target="media/image28.png"/><Relationship Id="rId58" Type="http://schemas.openxmlformats.org/officeDocument/2006/relationships/image" Target="media/image33.png"/><Relationship Id="rId66" Type="http://schemas.openxmlformats.org/officeDocument/2006/relationships/image" Target="media/image41.png"/><Relationship Id="rId7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2.xml"/><Relationship Id="rId28" Type="http://schemas.openxmlformats.org/officeDocument/2006/relationships/image" Target="media/image16.png"/><Relationship Id="rId36" Type="http://schemas.openxmlformats.org/officeDocument/2006/relationships/chart" Target="charts/chart9.xml"/><Relationship Id="rId49" Type="http://schemas.openxmlformats.org/officeDocument/2006/relationships/image" Target="media/image24.png"/><Relationship Id="rId57" Type="http://schemas.openxmlformats.org/officeDocument/2006/relationships/image" Target="media/image32.png"/><Relationship Id="rId61" Type="http://schemas.openxmlformats.org/officeDocument/2006/relationships/image" Target="media/image36.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chart" Target="charts/chart4.xml"/><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1.xml"/><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chart" Target="charts/chart8.xml"/><Relationship Id="rId43" Type="http://schemas.openxmlformats.org/officeDocument/2006/relationships/chart" Target="charts/chart16.xml"/><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image" Target="media/image39.png"/><Relationship Id="rId69" Type="http://schemas.openxmlformats.org/officeDocument/2006/relationships/hyperlink" Target="mailto:Klinta.Stafecka@fm.gov.lv"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6.png"/><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likumi.lv/ta/id/280234-emisijas-kvotu-izsolisanas-instrumenta-finanseto-projektu-atklata-konkursa-siltumnicefekta-gazu-emisiju-samazinasana-zema" TargetMode="External"/><Relationship Id="rId25" Type="http://schemas.openxmlformats.org/officeDocument/2006/relationships/image" Target="media/image13.png"/><Relationship Id="rId33" Type="http://schemas.openxmlformats.org/officeDocument/2006/relationships/chart" Target="charts/chart6.xml"/><Relationship Id="rId38" Type="http://schemas.openxmlformats.org/officeDocument/2006/relationships/chart" Target="charts/chart11.xml"/><Relationship Id="rId46" Type="http://schemas.openxmlformats.org/officeDocument/2006/relationships/image" Target="media/image21.png"/><Relationship Id="rId59" Type="http://schemas.openxmlformats.org/officeDocument/2006/relationships/image" Target="media/image34.png"/><Relationship Id="rId67" Type="http://schemas.openxmlformats.org/officeDocument/2006/relationships/chart" Target="charts/chart17.xml"/><Relationship Id="rId20" Type="http://schemas.openxmlformats.org/officeDocument/2006/relationships/image" Target="media/image11.png"/><Relationship Id="rId41" Type="http://schemas.openxmlformats.org/officeDocument/2006/relationships/chart" Target="charts/chart14.xml"/><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www.csb.gov.lv/dati/statistikas-datubazes-28270.html" TargetMode="External"/><Relationship Id="rId13" Type="http://schemas.openxmlformats.org/officeDocument/2006/relationships/hyperlink" Target="http://www.viis.lv" TargetMode="External"/><Relationship Id="rId18" Type="http://schemas.openxmlformats.org/officeDocument/2006/relationships/hyperlink" Target="http://www.csb.gov.lv/dati/statistikas-datubazes-28270.html" TargetMode="External"/><Relationship Id="rId3" Type="http://schemas.openxmlformats.org/officeDocument/2006/relationships/hyperlink" Target="http://www.aic.lv/portal/izglitiba-latvija" TargetMode="External"/><Relationship Id="rId21" Type="http://schemas.openxmlformats.org/officeDocument/2006/relationships/hyperlink" Target="http://www.csb.gov.lv/dati/statistikas-datubazes-28270.html" TargetMode="External"/><Relationship Id="rId7" Type="http://schemas.openxmlformats.org/officeDocument/2006/relationships/hyperlink" Target="http://ec.europa.eu/eurostat/data/database" TargetMode="External"/><Relationship Id="rId12" Type="http://schemas.openxmlformats.org/officeDocument/2006/relationships/hyperlink" Target="http://www.izm.gov.lv/lv/publikacijas-un-statistika" TargetMode="External"/><Relationship Id="rId17" Type="http://schemas.openxmlformats.org/officeDocument/2006/relationships/hyperlink" Target="http://www.csb.gov.lv/dati/statistikas-datubazes-28270.html" TargetMode="External"/><Relationship Id="rId2" Type="http://schemas.openxmlformats.org/officeDocument/2006/relationships/hyperlink" Target="https://www.makroekonomika.lv/nulles-budzeta-anatomija" TargetMode="External"/><Relationship Id="rId16" Type="http://schemas.openxmlformats.org/officeDocument/2006/relationships/hyperlink" Target="http://www.izm.gov.lv/lv/publikacijas-un-statistika" TargetMode="External"/><Relationship Id="rId20" Type="http://schemas.openxmlformats.org/officeDocument/2006/relationships/hyperlink" Target="http://www.izm.gov.lv/lv/publikacijas-un-statistika" TargetMode="External"/><Relationship Id="rId1" Type="http://schemas.openxmlformats.org/officeDocument/2006/relationships/hyperlink" Target="https://www.makroekonomika.lv/nulles-budzeta-anatomija" TargetMode="External"/><Relationship Id="rId6" Type="http://schemas.openxmlformats.org/officeDocument/2006/relationships/hyperlink" Target="http://ec.europa.eu/eurostat/data/database" TargetMode="External"/><Relationship Id="rId11" Type="http://schemas.openxmlformats.org/officeDocument/2006/relationships/hyperlink" Target="http://www.izm.gov.lv/lv/publikacijas-un-statistika" TargetMode="External"/><Relationship Id="rId5" Type="http://schemas.openxmlformats.org/officeDocument/2006/relationships/hyperlink" Target="http://ec.europa.eu/eurostat/data/database" TargetMode="External"/><Relationship Id="rId15" Type="http://schemas.openxmlformats.org/officeDocument/2006/relationships/hyperlink" Target="http://www.csb.gov.lv/dati/statistikas-datubazes-28270.html" TargetMode="External"/><Relationship Id="rId10" Type="http://schemas.openxmlformats.org/officeDocument/2006/relationships/hyperlink" Target="http://www.csb.gov.lv/dati/statistikas-datubazes-28270.html" TargetMode="External"/><Relationship Id="rId19" Type="http://schemas.openxmlformats.org/officeDocument/2006/relationships/hyperlink" Target="http://www.csb.gov.lv/dati/statistikas-datubazes-28270.html" TargetMode="External"/><Relationship Id="rId4" Type="http://schemas.openxmlformats.org/officeDocument/2006/relationships/hyperlink" Target="http://www.csb.gov.lv/dati/statistikas-datubazes-28270.html" TargetMode="External"/><Relationship Id="rId9" Type="http://schemas.openxmlformats.org/officeDocument/2006/relationships/hyperlink" Target="http://www.csb.gov.lv/dati/statistikas-datubazes-28270.html" TargetMode="External"/><Relationship Id="rId14" Type="http://schemas.openxmlformats.org/officeDocument/2006/relationships/hyperlink" Target="http://www.csb.gov.lv/dati/statistikas-datubazes-28270.htm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0.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1.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2.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3.xml"/></Relationships>
</file>

<file path=word/charts/_rels/chart1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_rels/chart1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bd-cable\Desktop\Reprezent&#257;cijas%20izdevumi\Kop&#275;jais%20fails_grafiki_apr&#275;&#311;in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89646242037583"/>
          <c:y val="5.0125313283208017E-2"/>
          <c:w val="0.84527305054610113"/>
          <c:h val="0.75587286039005885"/>
        </c:manualLayout>
      </c:layout>
      <c:barChart>
        <c:barDir val="col"/>
        <c:grouping val="clustered"/>
        <c:varyColors val="0"/>
        <c:ser>
          <c:idx val="0"/>
          <c:order val="0"/>
          <c:tx>
            <c:strRef>
              <c:f>GRAFIKI!$C$103</c:f>
              <c:strCache>
                <c:ptCount val="1"/>
                <c:pt idx="0">
                  <c:v>2013.gads (i)</c:v>
                </c:pt>
              </c:strCache>
            </c:strRef>
          </c:tx>
          <c:spPr>
            <a:solidFill>
              <a:schemeClr val="accent2"/>
            </a:solidFill>
            <a:ln>
              <a:noFill/>
            </a:ln>
            <a:effectLst/>
          </c:spPr>
          <c:invertIfNegative val="0"/>
          <c:cat>
            <c:strRef>
              <c:f>GRAFIKI!$B$104:$B$116</c:f>
              <c:strCache>
                <c:ptCount val="13"/>
                <c:pt idx="0">
                  <c:v>AiM</c:v>
                </c:pt>
                <c:pt idx="1">
                  <c:v>ĀM</c:v>
                </c:pt>
                <c:pt idx="2">
                  <c:v>EM</c:v>
                </c:pt>
                <c:pt idx="3">
                  <c:v>FM</c:v>
                </c:pt>
                <c:pt idx="4">
                  <c:v>IeM</c:v>
                </c:pt>
                <c:pt idx="5">
                  <c:v>IZM</c:v>
                </c:pt>
                <c:pt idx="6">
                  <c:v>ZM</c:v>
                </c:pt>
                <c:pt idx="7">
                  <c:v>SM</c:v>
                </c:pt>
                <c:pt idx="8">
                  <c:v>LM</c:v>
                </c:pt>
                <c:pt idx="9">
                  <c:v>TM</c:v>
                </c:pt>
                <c:pt idx="10">
                  <c:v>VARAM</c:v>
                </c:pt>
                <c:pt idx="11">
                  <c:v>KM</c:v>
                </c:pt>
                <c:pt idx="12">
                  <c:v>VM</c:v>
                </c:pt>
              </c:strCache>
            </c:strRef>
          </c:cat>
          <c:val>
            <c:numRef>
              <c:f>GRAFIKI!$C$104:$C$116</c:f>
              <c:numCache>
                <c:formatCode>General</c:formatCode>
                <c:ptCount val="13"/>
                <c:pt idx="0">
                  <c:v>494885</c:v>
                </c:pt>
                <c:pt idx="1">
                  <c:v>677504</c:v>
                </c:pt>
                <c:pt idx="2">
                  <c:v>471815</c:v>
                </c:pt>
                <c:pt idx="3">
                  <c:v>68090</c:v>
                </c:pt>
                <c:pt idx="4">
                  <c:v>258127</c:v>
                </c:pt>
                <c:pt idx="5">
                  <c:v>306112</c:v>
                </c:pt>
                <c:pt idx="6">
                  <c:v>68829</c:v>
                </c:pt>
                <c:pt idx="7">
                  <c:v>22922</c:v>
                </c:pt>
                <c:pt idx="8">
                  <c:v>61244</c:v>
                </c:pt>
                <c:pt idx="9">
                  <c:v>364234</c:v>
                </c:pt>
                <c:pt idx="10">
                  <c:v>98924</c:v>
                </c:pt>
                <c:pt idx="11">
                  <c:v>1405637</c:v>
                </c:pt>
                <c:pt idx="12">
                  <c:v>52238</c:v>
                </c:pt>
              </c:numCache>
            </c:numRef>
          </c:val>
          <c:extLst>
            <c:ext xmlns:c16="http://schemas.microsoft.com/office/drawing/2014/chart" uri="{C3380CC4-5D6E-409C-BE32-E72D297353CC}">
              <c16:uniqueId val="{00000000-2631-4399-ACB3-E995B2725B1C}"/>
            </c:ext>
          </c:extLst>
        </c:ser>
        <c:ser>
          <c:idx val="1"/>
          <c:order val="1"/>
          <c:tx>
            <c:strRef>
              <c:f>GRAFIKI!$D$103</c:f>
              <c:strCache>
                <c:ptCount val="1"/>
                <c:pt idx="0">
                  <c:v>2014.gads (i)</c:v>
                </c:pt>
              </c:strCache>
            </c:strRef>
          </c:tx>
          <c:spPr>
            <a:solidFill>
              <a:schemeClr val="accent4"/>
            </a:solidFill>
            <a:ln>
              <a:noFill/>
            </a:ln>
            <a:effectLst/>
          </c:spPr>
          <c:invertIfNegative val="0"/>
          <c:cat>
            <c:strRef>
              <c:f>GRAFIKI!$B$104:$B$116</c:f>
              <c:strCache>
                <c:ptCount val="13"/>
                <c:pt idx="0">
                  <c:v>AiM</c:v>
                </c:pt>
                <c:pt idx="1">
                  <c:v>ĀM</c:v>
                </c:pt>
                <c:pt idx="2">
                  <c:v>EM</c:v>
                </c:pt>
                <c:pt idx="3">
                  <c:v>FM</c:v>
                </c:pt>
                <c:pt idx="4">
                  <c:v>IeM</c:v>
                </c:pt>
                <c:pt idx="5">
                  <c:v>IZM</c:v>
                </c:pt>
                <c:pt idx="6">
                  <c:v>ZM</c:v>
                </c:pt>
                <c:pt idx="7">
                  <c:v>SM</c:v>
                </c:pt>
                <c:pt idx="8">
                  <c:v>LM</c:v>
                </c:pt>
                <c:pt idx="9">
                  <c:v>TM</c:v>
                </c:pt>
                <c:pt idx="10">
                  <c:v>VARAM</c:v>
                </c:pt>
                <c:pt idx="11">
                  <c:v>KM</c:v>
                </c:pt>
                <c:pt idx="12">
                  <c:v>VM</c:v>
                </c:pt>
              </c:strCache>
            </c:strRef>
          </c:cat>
          <c:val>
            <c:numRef>
              <c:f>GRAFIKI!$D$104:$D$116</c:f>
              <c:numCache>
                <c:formatCode>General</c:formatCode>
                <c:ptCount val="13"/>
                <c:pt idx="0">
                  <c:v>540682</c:v>
                </c:pt>
                <c:pt idx="1">
                  <c:v>1046446</c:v>
                </c:pt>
                <c:pt idx="2">
                  <c:v>418014</c:v>
                </c:pt>
                <c:pt idx="3">
                  <c:v>165121</c:v>
                </c:pt>
                <c:pt idx="4">
                  <c:v>117821</c:v>
                </c:pt>
                <c:pt idx="5">
                  <c:v>595475</c:v>
                </c:pt>
                <c:pt idx="6">
                  <c:v>48517</c:v>
                </c:pt>
                <c:pt idx="7">
                  <c:v>20027</c:v>
                </c:pt>
                <c:pt idx="8">
                  <c:v>59026</c:v>
                </c:pt>
                <c:pt idx="9">
                  <c:v>388930</c:v>
                </c:pt>
                <c:pt idx="10">
                  <c:v>102290</c:v>
                </c:pt>
                <c:pt idx="11">
                  <c:v>1282390</c:v>
                </c:pt>
                <c:pt idx="12">
                  <c:v>98459</c:v>
                </c:pt>
              </c:numCache>
            </c:numRef>
          </c:val>
          <c:extLst>
            <c:ext xmlns:c16="http://schemas.microsoft.com/office/drawing/2014/chart" uri="{C3380CC4-5D6E-409C-BE32-E72D297353CC}">
              <c16:uniqueId val="{00000001-2631-4399-ACB3-E995B2725B1C}"/>
            </c:ext>
          </c:extLst>
        </c:ser>
        <c:ser>
          <c:idx val="2"/>
          <c:order val="2"/>
          <c:tx>
            <c:strRef>
              <c:f>GRAFIKI!$E$103</c:f>
              <c:strCache>
                <c:ptCount val="1"/>
                <c:pt idx="0">
                  <c:v>2015.gads (i)</c:v>
                </c:pt>
              </c:strCache>
            </c:strRef>
          </c:tx>
          <c:spPr>
            <a:solidFill>
              <a:schemeClr val="accent6"/>
            </a:solidFill>
            <a:ln>
              <a:noFill/>
            </a:ln>
            <a:effectLst/>
          </c:spPr>
          <c:invertIfNegative val="0"/>
          <c:cat>
            <c:strRef>
              <c:f>GRAFIKI!$B$104:$B$116</c:f>
              <c:strCache>
                <c:ptCount val="13"/>
                <c:pt idx="0">
                  <c:v>AiM</c:v>
                </c:pt>
                <c:pt idx="1">
                  <c:v>ĀM</c:v>
                </c:pt>
                <c:pt idx="2">
                  <c:v>EM</c:v>
                </c:pt>
                <c:pt idx="3">
                  <c:v>FM</c:v>
                </c:pt>
                <c:pt idx="4">
                  <c:v>IeM</c:v>
                </c:pt>
                <c:pt idx="5">
                  <c:v>IZM</c:v>
                </c:pt>
                <c:pt idx="6">
                  <c:v>ZM</c:v>
                </c:pt>
                <c:pt idx="7">
                  <c:v>SM</c:v>
                </c:pt>
                <c:pt idx="8">
                  <c:v>LM</c:v>
                </c:pt>
                <c:pt idx="9">
                  <c:v>TM</c:v>
                </c:pt>
                <c:pt idx="10">
                  <c:v>VARAM</c:v>
                </c:pt>
                <c:pt idx="11">
                  <c:v>KM</c:v>
                </c:pt>
                <c:pt idx="12">
                  <c:v>VM</c:v>
                </c:pt>
              </c:strCache>
            </c:strRef>
          </c:cat>
          <c:val>
            <c:numRef>
              <c:f>GRAFIKI!$E$104:$E$116</c:f>
              <c:numCache>
                <c:formatCode>General</c:formatCode>
                <c:ptCount val="13"/>
                <c:pt idx="0">
                  <c:v>958732</c:v>
                </c:pt>
                <c:pt idx="1">
                  <c:v>855484</c:v>
                </c:pt>
                <c:pt idx="2">
                  <c:v>541904</c:v>
                </c:pt>
                <c:pt idx="3">
                  <c:v>267750</c:v>
                </c:pt>
                <c:pt idx="4">
                  <c:v>493114</c:v>
                </c:pt>
                <c:pt idx="5">
                  <c:v>3854045</c:v>
                </c:pt>
                <c:pt idx="6">
                  <c:v>102728</c:v>
                </c:pt>
                <c:pt idx="7">
                  <c:v>16135</c:v>
                </c:pt>
                <c:pt idx="8">
                  <c:v>135491</c:v>
                </c:pt>
                <c:pt idx="9">
                  <c:v>224760</c:v>
                </c:pt>
                <c:pt idx="10">
                  <c:v>116741</c:v>
                </c:pt>
                <c:pt idx="11">
                  <c:v>876687</c:v>
                </c:pt>
                <c:pt idx="12">
                  <c:v>131454</c:v>
                </c:pt>
              </c:numCache>
            </c:numRef>
          </c:val>
          <c:extLst>
            <c:ext xmlns:c16="http://schemas.microsoft.com/office/drawing/2014/chart" uri="{C3380CC4-5D6E-409C-BE32-E72D297353CC}">
              <c16:uniqueId val="{00000002-2631-4399-ACB3-E995B2725B1C}"/>
            </c:ext>
          </c:extLst>
        </c:ser>
        <c:ser>
          <c:idx val="3"/>
          <c:order val="3"/>
          <c:tx>
            <c:strRef>
              <c:f>GRAFIKI!$F$103</c:f>
              <c:strCache>
                <c:ptCount val="1"/>
                <c:pt idx="0">
                  <c:v>2016.gads (p)</c:v>
                </c:pt>
              </c:strCache>
            </c:strRef>
          </c:tx>
          <c:spPr>
            <a:solidFill>
              <a:schemeClr val="accent2">
                <a:lumMod val="60000"/>
              </a:schemeClr>
            </a:solidFill>
            <a:ln>
              <a:noFill/>
            </a:ln>
            <a:effectLst/>
          </c:spPr>
          <c:invertIfNegative val="0"/>
          <c:cat>
            <c:strRef>
              <c:f>GRAFIKI!$B$104:$B$116</c:f>
              <c:strCache>
                <c:ptCount val="13"/>
                <c:pt idx="0">
                  <c:v>AiM</c:v>
                </c:pt>
                <c:pt idx="1">
                  <c:v>ĀM</c:v>
                </c:pt>
                <c:pt idx="2">
                  <c:v>EM</c:v>
                </c:pt>
                <c:pt idx="3">
                  <c:v>FM</c:v>
                </c:pt>
                <c:pt idx="4">
                  <c:v>IeM</c:v>
                </c:pt>
                <c:pt idx="5">
                  <c:v>IZM</c:v>
                </c:pt>
                <c:pt idx="6">
                  <c:v>ZM</c:v>
                </c:pt>
                <c:pt idx="7">
                  <c:v>SM</c:v>
                </c:pt>
                <c:pt idx="8">
                  <c:v>LM</c:v>
                </c:pt>
                <c:pt idx="9">
                  <c:v>TM</c:v>
                </c:pt>
                <c:pt idx="10">
                  <c:v>VARAM</c:v>
                </c:pt>
                <c:pt idx="11">
                  <c:v>KM</c:v>
                </c:pt>
                <c:pt idx="12">
                  <c:v>VM</c:v>
                </c:pt>
              </c:strCache>
            </c:strRef>
          </c:cat>
          <c:val>
            <c:numRef>
              <c:f>GRAFIKI!$F$104:$F$116</c:f>
              <c:numCache>
                <c:formatCode>General</c:formatCode>
                <c:ptCount val="13"/>
                <c:pt idx="0">
                  <c:v>1096740</c:v>
                </c:pt>
                <c:pt idx="1">
                  <c:v>1005851</c:v>
                </c:pt>
                <c:pt idx="2">
                  <c:v>627277</c:v>
                </c:pt>
                <c:pt idx="3">
                  <c:v>647965</c:v>
                </c:pt>
                <c:pt idx="4">
                  <c:v>358004</c:v>
                </c:pt>
                <c:pt idx="5">
                  <c:v>1579320</c:v>
                </c:pt>
                <c:pt idx="6">
                  <c:v>71234</c:v>
                </c:pt>
                <c:pt idx="7">
                  <c:v>19075</c:v>
                </c:pt>
                <c:pt idx="8">
                  <c:v>153899</c:v>
                </c:pt>
                <c:pt idx="9">
                  <c:v>140163</c:v>
                </c:pt>
                <c:pt idx="10">
                  <c:v>242513</c:v>
                </c:pt>
                <c:pt idx="11">
                  <c:v>634517</c:v>
                </c:pt>
                <c:pt idx="12">
                  <c:v>158041</c:v>
                </c:pt>
              </c:numCache>
            </c:numRef>
          </c:val>
          <c:extLst>
            <c:ext xmlns:c16="http://schemas.microsoft.com/office/drawing/2014/chart" uri="{C3380CC4-5D6E-409C-BE32-E72D297353CC}">
              <c16:uniqueId val="{00000003-2631-4399-ACB3-E995B2725B1C}"/>
            </c:ext>
          </c:extLst>
        </c:ser>
        <c:ser>
          <c:idx val="4"/>
          <c:order val="4"/>
          <c:tx>
            <c:strRef>
              <c:f>GRAFIKI!$G$103</c:f>
              <c:strCache>
                <c:ptCount val="1"/>
                <c:pt idx="0">
                  <c:v>2017.gads (p)</c:v>
                </c:pt>
              </c:strCache>
            </c:strRef>
          </c:tx>
          <c:spPr>
            <a:solidFill>
              <a:schemeClr val="accent4">
                <a:lumMod val="60000"/>
              </a:schemeClr>
            </a:solidFill>
            <a:ln>
              <a:noFill/>
            </a:ln>
            <a:effectLst/>
          </c:spPr>
          <c:invertIfNegative val="0"/>
          <c:cat>
            <c:strRef>
              <c:f>GRAFIKI!$B$104:$B$116</c:f>
              <c:strCache>
                <c:ptCount val="13"/>
                <c:pt idx="0">
                  <c:v>AiM</c:v>
                </c:pt>
                <c:pt idx="1">
                  <c:v>ĀM</c:v>
                </c:pt>
                <c:pt idx="2">
                  <c:v>EM</c:v>
                </c:pt>
                <c:pt idx="3">
                  <c:v>FM</c:v>
                </c:pt>
                <c:pt idx="4">
                  <c:v>IeM</c:v>
                </c:pt>
                <c:pt idx="5">
                  <c:v>IZM</c:v>
                </c:pt>
                <c:pt idx="6">
                  <c:v>ZM</c:v>
                </c:pt>
                <c:pt idx="7">
                  <c:v>SM</c:v>
                </c:pt>
                <c:pt idx="8">
                  <c:v>LM</c:v>
                </c:pt>
                <c:pt idx="9">
                  <c:v>TM</c:v>
                </c:pt>
                <c:pt idx="10">
                  <c:v>VARAM</c:v>
                </c:pt>
                <c:pt idx="11">
                  <c:v>KM</c:v>
                </c:pt>
                <c:pt idx="12">
                  <c:v>VM</c:v>
                </c:pt>
              </c:strCache>
            </c:strRef>
          </c:cat>
          <c:val>
            <c:numRef>
              <c:f>GRAFIKI!$G$104:$G$116</c:f>
              <c:numCache>
                <c:formatCode>General</c:formatCode>
                <c:ptCount val="13"/>
                <c:pt idx="0">
                  <c:v>1428148</c:v>
                </c:pt>
                <c:pt idx="1">
                  <c:v>1141556</c:v>
                </c:pt>
                <c:pt idx="2">
                  <c:v>656566</c:v>
                </c:pt>
                <c:pt idx="3">
                  <c:v>428531</c:v>
                </c:pt>
                <c:pt idx="4">
                  <c:v>228458</c:v>
                </c:pt>
                <c:pt idx="5">
                  <c:v>1581024</c:v>
                </c:pt>
                <c:pt idx="6">
                  <c:v>71234</c:v>
                </c:pt>
                <c:pt idx="7">
                  <c:v>19075</c:v>
                </c:pt>
                <c:pt idx="8">
                  <c:v>151326</c:v>
                </c:pt>
                <c:pt idx="9">
                  <c:v>115966</c:v>
                </c:pt>
                <c:pt idx="10">
                  <c:v>246087</c:v>
                </c:pt>
                <c:pt idx="11">
                  <c:v>720690</c:v>
                </c:pt>
                <c:pt idx="12">
                  <c:v>158041</c:v>
                </c:pt>
              </c:numCache>
            </c:numRef>
          </c:val>
          <c:extLst>
            <c:ext xmlns:c16="http://schemas.microsoft.com/office/drawing/2014/chart" uri="{C3380CC4-5D6E-409C-BE32-E72D297353CC}">
              <c16:uniqueId val="{00000004-2631-4399-ACB3-E995B2725B1C}"/>
            </c:ext>
          </c:extLst>
        </c:ser>
        <c:ser>
          <c:idx val="5"/>
          <c:order val="5"/>
          <c:tx>
            <c:strRef>
              <c:f>GRAFIKI!$H$103</c:f>
              <c:strCache>
                <c:ptCount val="1"/>
                <c:pt idx="0">
                  <c:v>2018.gads (p)</c:v>
                </c:pt>
              </c:strCache>
            </c:strRef>
          </c:tx>
          <c:spPr>
            <a:solidFill>
              <a:schemeClr val="accent6">
                <a:lumMod val="60000"/>
              </a:schemeClr>
            </a:solidFill>
            <a:ln>
              <a:noFill/>
            </a:ln>
            <a:effectLst/>
          </c:spPr>
          <c:invertIfNegative val="0"/>
          <c:cat>
            <c:strRef>
              <c:f>GRAFIKI!$B$104:$B$116</c:f>
              <c:strCache>
                <c:ptCount val="13"/>
                <c:pt idx="0">
                  <c:v>AiM</c:v>
                </c:pt>
                <c:pt idx="1">
                  <c:v>ĀM</c:v>
                </c:pt>
                <c:pt idx="2">
                  <c:v>EM</c:v>
                </c:pt>
                <c:pt idx="3">
                  <c:v>FM</c:v>
                </c:pt>
                <c:pt idx="4">
                  <c:v>IeM</c:v>
                </c:pt>
                <c:pt idx="5">
                  <c:v>IZM</c:v>
                </c:pt>
                <c:pt idx="6">
                  <c:v>ZM</c:v>
                </c:pt>
                <c:pt idx="7">
                  <c:v>SM</c:v>
                </c:pt>
                <c:pt idx="8">
                  <c:v>LM</c:v>
                </c:pt>
                <c:pt idx="9">
                  <c:v>TM</c:v>
                </c:pt>
                <c:pt idx="10">
                  <c:v>VARAM</c:v>
                </c:pt>
                <c:pt idx="11">
                  <c:v>KM</c:v>
                </c:pt>
                <c:pt idx="12">
                  <c:v>VM</c:v>
                </c:pt>
              </c:strCache>
            </c:strRef>
          </c:cat>
          <c:val>
            <c:numRef>
              <c:f>GRAFIKI!$H$104:$H$116</c:f>
              <c:numCache>
                <c:formatCode>General</c:formatCode>
                <c:ptCount val="13"/>
                <c:pt idx="0">
                  <c:v>1616543</c:v>
                </c:pt>
                <c:pt idx="1">
                  <c:v>1141556</c:v>
                </c:pt>
                <c:pt idx="2">
                  <c:v>656566</c:v>
                </c:pt>
                <c:pt idx="3">
                  <c:v>429831</c:v>
                </c:pt>
                <c:pt idx="4">
                  <c:v>228458</c:v>
                </c:pt>
                <c:pt idx="5">
                  <c:v>1602252</c:v>
                </c:pt>
                <c:pt idx="6">
                  <c:v>71234</c:v>
                </c:pt>
                <c:pt idx="7">
                  <c:v>19075</c:v>
                </c:pt>
                <c:pt idx="8">
                  <c:v>151326</c:v>
                </c:pt>
                <c:pt idx="9">
                  <c:v>110469</c:v>
                </c:pt>
                <c:pt idx="10">
                  <c:v>305544</c:v>
                </c:pt>
                <c:pt idx="11">
                  <c:v>1287358</c:v>
                </c:pt>
                <c:pt idx="12">
                  <c:v>158041</c:v>
                </c:pt>
              </c:numCache>
            </c:numRef>
          </c:val>
          <c:extLst>
            <c:ext xmlns:c16="http://schemas.microsoft.com/office/drawing/2014/chart" uri="{C3380CC4-5D6E-409C-BE32-E72D297353CC}">
              <c16:uniqueId val="{00000005-2631-4399-ACB3-E995B2725B1C}"/>
            </c:ext>
          </c:extLst>
        </c:ser>
        <c:dLbls>
          <c:showLegendKey val="0"/>
          <c:showVal val="0"/>
          <c:showCatName val="0"/>
          <c:showSerName val="0"/>
          <c:showPercent val="0"/>
          <c:showBubbleSize val="0"/>
        </c:dLbls>
        <c:gapWidth val="219"/>
        <c:overlap val="-27"/>
        <c:axId val="431764304"/>
        <c:axId val="342596424"/>
      </c:barChart>
      <c:catAx>
        <c:axId val="43176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42596424"/>
        <c:crosses val="autoZero"/>
        <c:auto val="1"/>
        <c:lblAlgn val="ctr"/>
        <c:lblOffset val="100"/>
        <c:noMultiLvlLbl val="0"/>
      </c:catAx>
      <c:valAx>
        <c:axId val="342596424"/>
        <c:scaling>
          <c:orientation val="minMax"/>
          <c:max val="4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317643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Ārstu skaits uz tūkst.iedz.</c:v>
                </c:pt>
              </c:strCache>
            </c:strRef>
          </c:tx>
          <c:spPr>
            <a:solidFill>
              <a:srgbClr val="4472C4">
                <a:lumMod val="75000"/>
              </a:srgbClr>
            </a:solidFill>
          </c:spPr>
          <c:invertIfNegative val="0"/>
          <c:dPt>
            <c:idx val="21"/>
            <c:invertIfNegative val="0"/>
            <c:bubble3D val="0"/>
            <c:spPr>
              <a:solidFill>
                <a:srgbClr val="ED7D31">
                  <a:lumMod val="75000"/>
                </a:srgbClr>
              </a:solidFill>
            </c:spPr>
            <c:extLst>
              <c:ext xmlns:c16="http://schemas.microsoft.com/office/drawing/2014/chart" uri="{C3380CC4-5D6E-409C-BE32-E72D297353CC}">
                <c16:uniqueId val="{00000001-004E-4DFC-B90D-9988BA4CB3D8}"/>
              </c:ext>
            </c:extLst>
          </c:dPt>
          <c:cat>
            <c:strRef>
              <c:f>Sheet1!$A$2:$A$38</c:f>
              <c:strCache>
                <c:ptCount val="37"/>
                <c:pt idx="0">
                  <c:v>Grieķija</c:v>
                </c:pt>
                <c:pt idx="1">
                  <c:v>Austrija</c:v>
                </c:pt>
                <c:pt idx="2">
                  <c:v>Norvēģija</c:v>
                </c:pt>
                <c:pt idx="3">
                  <c:v>Lietuva</c:v>
                </c:pt>
                <c:pt idx="4">
                  <c:v>Portugāle</c:v>
                </c:pt>
                <c:pt idx="5">
                  <c:v>Vācija</c:v>
                </c:pt>
                <c:pt idx="6">
                  <c:v>Šveice</c:v>
                </c:pt>
                <c:pt idx="7">
                  <c:v>Zviedrija</c:v>
                </c:pt>
                <c:pt idx="8">
                  <c:v>Itālija</c:v>
                </c:pt>
                <c:pt idx="9">
                  <c:v>Spānija</c:v>
                </c:pt>
                <c:pt idx="10">
                  <c:v>Čehijas Rep.</c:v>
                </c:pt>
                <c:pt idx="11">
                  <c:v>Dānija</c:v>
                </c:pt>
                <c:pt idx="12">
                  <c:v>Islande</c:v>
                </c:pt>
                <c:pt idx="13">
                  <c:v>Izraēla</c:v>
                </c:pt>
                <c:pt idx="14">
                  <c:v>Austrālija</c:v>
                </c:pt>
                <c:pt idx="15">
                  <c:v>Slovākijas Rep.</c:v>
                </c:pt>
                <c:pt idx="16">
                  <c:v>Francija</c:v>
                </c:pt>
                <c:pt idx="17">
                  <c:v>Nīderlande</c:v>
                </c:pt>
                <c:pt idx="18">
                  <c:v>Igaunija</c:v>
                </c:pt>
                <c:pt idx="19">
                  <c:v>OECD vidējais</c:v>
                </c:pt>
                <c:pt idx="20">
                  <c:v>Ungārija</c:v>
                </c:pt>
                <c:pt idx="21">
                  <c:v>Latvija</c:v>
                </c:pt>
                <c:pt idx="22">
                  <c:v>Somija</c:v>
                </c:pt>
                <c:pt idx="23">
                  <c:v>Beļģija</c:v>
                </c:pt>
                <c:pt idx="24">
                  <c:v>Luksemburga</c:v>
                </c:pt>
                <c:pt idx="25">
                  <c:v>Jaunzēlande</c:v>
                </c:pt>
                <c:pt idx="26">
                  <c:v>Lielbritānija</c:v>
                </c:pt>
                <c:pt idx="27">
                  <c:v>Īrija</c:v>
                </c:pt>
                <c:pt idx="28">
                  <c:v>Slovēnija</c:v>
                </c:pt>
                <c:pt idx="29">
                  <c:v>ASV</c:v>
                </c:pt>
                <c:pt idx="30">
                  <c:v>Kanāda</c:v>
                </c:pt>
                <c:pt idx="31">
                  <c:v>Japāna</c:v>
                </c:pt>
                <c:pt idx="32">
                  <c:v>Polija</c:v>
                </c:pt>
                <c:pt idx="33">
                  <c:v>Koreja</c:v>
                </c:pt>
                <c:pt idx="34">
                  <c:v>Meksika</c:v>
                </c:pt>
                <c:pt idx="35">
                  <c:v>Čīle</c:v>
                </c:pt>
                <c:pt idx="36">
                  <c:v>Turcija</c:v>
                </c:pt>
              </c:strCache>
            </c:strRef>
          </c:cat>
          <c:val>
            <c:numRef>
              <c:f>Sheet1!$B$2:$B$38</c:f>
              <c:numCache>
                <c:formatCode>0.0</c:formatCode>
                <c:ptCount val="37"/>
                <c:pt idx="0">
                  <c:v>6.29</c:v>
                </c:pt>
                <c:pt idx="1">
                  <c:v>4.99</c:v>
                </c:pt>
                <c:pt idx="2">
                  <c:v>4.3099999999999996</c:v>
                </c:pt>
                <c:pt idx="3">
                  <c:v>4.28</c:v>
                </c:pt>
                <c:pt idx="4">
                  <c:v>4.26</c:v>
                </c:pt>
                <c:pt idx="5">
                  <c:v>4.05</c:v>
                </c:pt>
                <c:pt idx="6">
                  <c:v>4.04</c:v>
                </c:pt>
                <c:pt idx="7">
                  <c:v>4.01</c:v>
                </c:pt>
                <c:pt idx="8">
                  <c:v>3.9</c:v>
                </c:pt>
                <c:pt idx="9">
                  <c:v>3.81</c:v>
                </c:pt>
                <c:pt idx="10">
                  <c:v>3.69</c:v>
                </c:pt>
                <c:pt idx="11">
                  <c:v>3.62</c:v>
                </c:pt>
                <c:pt idx="12">
                  <c:v>3.62</c:v>
                </c:pt>
                <c:pt idx="13">
                  <c:v>3.43</c:v>
                </c:pt>
                <c:pt idx="14">
                  <c:v>3.39</c:v>
                </c:pt>
                <c:pt idx="15">
                  <c:v>3.39</c:v>
                </c:pt>
                <c:pt idx="16">
                  <c:v>3.33</c:v>
                </c:pt>
                <c:pt idx="17">
                  <c:v>3.29</c:v>
                </c:pt>
                <c:pt idx="18">
                  <c:v>3.28</c:v>
                </c:pt>
                <c:pt idx="19">
                  <c:v>3.270588235294118</c:v>
                </c:pt>
                <c:pt idx="20">
                  <c:v>3.21</c:v>
                </c:pt>
                <c:pt idx="21">
                  <c:v>3.19</c:v>
                </c:pt>
                <c:pt idx="22">
                  <c:v>3.02</c:v>
                </c:pt>
                <c:pt idx="23">
                  <c:v>2.95</c:v>
                </c:pt>
                <c:pt idx="24">
                  <c:v>2.81</c:v>
                </c:pt>
                <c:pt idx="25">
                  <c:v>2.81</c:v>
                </c:pt>
                <c:pt idx="26">
                  <c:v>2.77</c:v>
                </c:pt>
                <c:pt idx="27">
                  <c:v>2.69</c:v>
                </c:pt>
                <c:pt idx="28">
                  <c:v>2.63</c:v>
                </c:pt>
                <c:pt idx="29">
                  <c:v>2.56</c:v>
                </c:pt>
                <c:pt idx="30">
                  <c:v>2.5499999999999998</c:v>
                </c:pt>
                <c:pt idx="31">
                  <c:v>2.29</c:v>
                </c:pt>
                <c:pt idx="32">
                  <c:v>2.2400000000000002</c:v>
                </c:pt>
                <c:pt idx="33">
                  <c:v>2.17</c:v>
                </c:pt>
                <c:pt idx="34">
                  <c:v>2.16</c:v>
                </c:pt>
                <c:pt idx="35">
                  <c:v>1.88</c:v>
                </c:pt>
                <c:pt idx="36">
                  <c:v>1.76</c:v>
                </c:pt>
              </c:numCache>
            </c:numRef>
          </c:val>
          <c:extLst>
            <c:ext xmlns:c16="http://schemas.microsoft.com/office/drawing/2014/chart" uri="{C3380CC4-5D6E-409C-BE32-E72D297353CC}">
              <c16:uniqueId val="{00000002-004E-4DFC-B90D-9988BA4CB3D8}"/>
            </c:ext>
          </c:extLst>
        </c:ser>
        <c:dLbls>
          <c:showLegendKey val="0"/>
          <c:showVal val="0"/>
          <c:showCatName val="0"/>
          <c:showSerName val="0"/>
          <c:showPercent val="0"/>
          <c:showBubbleSize val="0"/>
        </c:dLbls>
        <c:gapWidth val="70"/>
        <c:axId val="7791320"/>
        <c:axId val="7791712"/>
      </c:barChart>
      <c:catAx>
        <c:axId val="7791320"/>
        <c:scaling>
          <c:orientation val="minMax"/>
        </c:scaling>
        <c:delete val="0"/>
        <c:axPos val="b"/>
        <c:numFmt formatCode="General" sourceLinked="0"/>
        <c:majorTickMark val="out"/>
        <c:minorTickMark val="none"/>
        <c:tickLblPos val="nextTo"/>
        <c:crossAx val="7791712"/>
        <c:crosses val="autoZero"/>
        <c:auto val="1"/>
        <c:lblAlgn val="ctr"/>
        <c:lblOffset val="100"/>
        <c:tickLblSkip val="1"/>
        <c:noMultiLvlLbl val="0"/>
      </c:catAx>
      <c:valAx>
        <c:axId val="7791712"/>
        <c:scaling>
          <c:orientation val="minMax"/>
          <c:max val="7"/>
          <c:min val="0"/>
        </c:scaling>
        <c:delete val="0"/>
        <c:axPos val="l"/>
        <c:majorGridlines>
          <c:spPr>
            <a:ln>
              <a:prstDash val="sysDot"/>
            </a:ln>
          </c:spPr>
        </c:majorGridlines>
        <c:numFmt formatCode="0" sourceLinked="0"/>
        <c:majorTickMark val="out"/>
        <c:minorTickMark val="none"/>
        <c:tickLblPos val="nextTo"/>
        <c:crossAx val="7791320"/>
        <c:crosses val="autoZero"/>
        <c:crossBetween val="between"/>
        <c:majorUnit val="1"/>
      </c:valAx>
    </c:plotArea>
    <c:plotVisOnly val="1"/>
    <c:dispBlanksAs val="gap"/>
    <c:showDLblsOverMax val="0"/>
  </c:chart>
  <c:txPr>
    <a:bodyPr/>
    <a:lstStyle/>
    <a:p>
      <a:pPr>
        <a:defRPr sz="1000" b="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793784013099946E-2"/>
          <c:y val="3.0520669291338485E-2"/>
          <c:w val="0.88800717686541752"/>
          <c:h val="0.582674212598428"/>
        </c:manualLayout>
      </c:layout>
      <c:barChart>
        <c:barDir val="col"/>
        <c:grouping val="clustered"/>
        <c:varyColors val="0"/>
        <c:ser>
          <c:idx val="0"/>
          <c:order val="0"/>
          <c:tx>
            <c:strRef>
              <c:f>Sheet1!$B$1</c:f>
              <c:strCache>
                <c:ptCount val="1"/>
                <c:pt idx="0">
                  <c:v>Nurses per 1000 pop.</c:v>
                </c:pt>
              </c:strCache>
            </c:strRef>
          </c:tx>
          <c:spPr>
            <a:solidFill>
              <a:srgbClr val="4472C4">
                <a:lumMod val="75000"/>
              </a:srgbClr>
            </a:solidFill>
          </c:spPr>
          <c:invertIfNegative val="0"/>
          <c:dPt>
            <c:idx val="32"/>
            <c:invertIfNegative val="0"/>
            <c:bubble3D val="0"/>
            <c:spPr>
              <a:solidFill>
                <a:srgbClr val="ED7D31">
                  <a:lumMod val="75000"/>
                </a:srgbClr>
              </a:solidFill>
            </c:spPr>
            <c:extLst>
              <c:ext xmlns:c16="http://schemas.microsoft.com/office/drawing/2014/chart" uri="{C3380CC4-5D6E-409C-BE32-E72D297353CC}">
                <c16:uniqueId val="{00000001-453C-423F-83AC-A81013A660D8}"/>
              </c:ext>
            </c:extLst>
          </c:dPt>
          <c:cat>
            <c:strRef>
              <c:f>Sheet1!$A$2:$A$37</c:f>
              <c:strCache>
                <c:ptCount val="36"/>
                <c:pt idx="0">
                  <c:v>Šveice</c:v>
                </c:pt>
                <c:pt idx="1">
                  <c:v>Norvēģija</c:v>
                </c:pt>
                <c:pt idx="2">
                  <c:v>Dānija</c:v>
                </c:pt>
                <c:pt idx="3">
                  <c:v>Islande</c:v>
                </c:pt>
                <c:pt idx="4">
                  <c:v>Somija</c:v>
                </c:pt>
                <c:pt idx="5">
                  <c:v>Vācija</c:v>
                </c:pt>
                <c:pt idx="6">
                  <c:v>Īrija</c:v>
                </c:pt>
                <c:pt idx="7">
                  <c:v>Nīderlande</c:v>
                </c:pt>
                <c:pt idx="8">
                  <c:v>Luksemburga</c:v>
                </c:pt>
                <c:pt idx="9">
                  <c:v>Austrālija</c:v>
                </c:pt>
                <c:pt idx="10">
                  <c:v>Zviedrija</c:v>
                </c:pt>
                <c:pt idx="11">
                  <c:v>ASV</c:v>
                </c:pt>
                <c:pt idx="12">
                  <c:v>Japāna</c:v>
                </c:pt>
                <c:pt idx="13">
                  <c:v>Jaunzēlande</c:v>
                </c:pt>
                <c:pt idx="14">
                  <c:v>Beļģija</c:v>
                </c:pt>
                <c:pt idx="15">
                  <c:v>Kanāda</c:v>
                </c:pt>
                <c:pt idx="16">
                  <c:v>Francija</c:v>
                </c:pt>
                <c:pt idx="17">
                  <c:v>OECD vidējais</c:v>
                </c:pt>
                <c:pt idx="18">
                  <c:v>Slovēnija</c:v>
                </c:pt>
                <c:pt idx="19">
                  <c:v>Lielbritānija</c:v>
                </c:pt>
                <c:pt idx="20">
                  <c:v>Čehijas Rep.</c:v>
                </c:pt>
                <c:pt idx="21">
                  <c:v>Austrija</c:v>
                </c:pt>
                <c:pt idx="22">
                  <c:v>Lietuva</c:v>
                </c:pt>
                <c:pt idx="23">
                  <c:v>Ungārija</c:v>
                </c:pt>
                <c:pt idx="24">
                  <c:v>Igaunija</c:v>
                </c:pt>
                <c:pt idx="25">
                  <c:v>Itālija</c:v>
                </c:pt>
                <c:pt idx="26">
                  <c:v>Portugāle</c:v>
                </c:pt>
                <c:pt idx="27">
                  <c:v>Slovākijas Rep.</c:v>
                </c:pt>
                <c:pt idx="28">
                  <c:v>Čīle</c:v>
                </c:pt>
                <c:pt idx="29">
                  <c:v>Polija</c:v>
                </c:pt>
                <c:pt idx="30">
                  <c:v>Koreja</c:v>
                </c:pt>
                <c:pt idx="31">
                  <c:v>Spānija</c:v>
                </c:pt>
                <c:pt idx="32">
                  <c:v>Latvija</c:v>
                </c:pt>
                <c:pt idx="33">
                  <c:v>Izraēla</c:v>
                </c:pt>
                <c:pt idx="34">
                  <c:v>Grieķija</c:v>
                </c:pt>
                <c:pt idx="35">
                  <c:v>Meksika</c:v>
                </c:pt>
              </c:strCache>
            </c:strRef>
          </c:cat>
          <c:val>
            <c:numRef>
              <c:f>Sheet1!$B$2:$B$37</c:f>
              <c:numCache>
                <c:formatCode>0.0</c:formatCode>
                <c:ptCount val="36"/>
                <c:pt idx="0">
                  <c:v>17.36</c:v>
                </c:pt>
                <c:pt idx="1">
                  <c:v>16.670000000000002</c:v>
                </c:pt>
                <c:pt idx="2">
                  <c:v>16.3</c:v>
                </c:pt>
                <c:pt idx="3">
                  <c:v>15.45</c:v>
                </c:pt>
                <c:pt idx="4">
                  <c:v>14.12</c:v>
                </c:pt>
                <c:pt idx="5">
                  <c:v>12.96</c:v>
                </c:pt>
                <c:pt idx="6">
                  <c:v>12.35</c:v>
                </c:pt>
                <c:pt idx="7">
                  <c:v>12.13</c:v>
                </c:pt>
                <c:pt idx="8">
                  <c:v>11.93</c:v>
                </c:pt>
                <c:pt idx="9">
                  <c:v>11.52</c:v>
                </c:pt>
                <c:pt idx="10">
                  <c:v>11.15</c:v>
                </c:pt>
                <c:pt idx="11">
                  <c:v>11.14</c:v>
                </c:pt>
                <c:pt idx="12">
                  <c:v>10.54</c:v>
                </c:pt>
                <c:pt idx="13">
                  <c:v>10</c:v>
                </c:pt>
                <c:pt idx="14">
                  <c:v>9.51</c:v>
                </c:pt>
                <c:pt idx="15">
                  <c:v>9.48</c:v>
                </c:pt>
                <c:pt idx="16">
                  <c:v>9.39</c:v>
                </c:pt>
                <c:pt idx="17">
                  <c:v>9.0885294117647053</c:v>
                </c:pt>
                <c:pt idx="18">
                  <c:v>8.27</c:v>
                </c:pt>
                <c:pt idx="19">
                  <c:v>8.18</c:v>
                </c:pt>
                <c:pt idx="20">
                  <c:v>7.99</c:v>
                </c:pt>
                <c:pt idx="21">
                  <c:v>7.83</c:v>
                </c:pt>
                <c:pt idx="22">
                  <c:v>7.55</c:v>
                </c:pt>
                <c:pt idx="23">
                  <c:v>6.43</c:v>
                </c:pt>
                <c:pt idx="24">
                  <c:v>6.17</c:v>
                </c:pt>
                <c:pt idx="25">
                  <c:v>6.14</c:v>
                </c:pt>
                <c:pt idx="26">
                  <c:v>6.05</c:v>
                </c:pt>
                <c:pt idx="27">
                  <c:v>5.75</c:v>
                </c:pt>
                <c:pt idx="28">
                  <c:v>5.63</c:v>
                </c:pt>
                <c:pt idx="29">
                  <c:v>5.27</c:v>
                </c:pt>
                <c:pt idx="30">
                  <c:v>5.22</c:v>
                </c:pt>
                <c:pt idx="31">
                  <c:v>5.14</c:v>
                </c:pt>
                <c:pt idx="32">
                  <c:v>4.88</c:v>
                </c:pt>
                <c:pt idx="33">
                  <c:v>4.87</c:v>
                </c:pt>
                <c:pt idx="34">
                  <c:v>3.62</c:v>
                </c:pt>
                <c:pt idx="35">
                  <c:v>2.62</c:v>
                </c:pt>
              </c:numCache>
            </c:numRef>
          </c:val>
          <c:extLst>
            <c:ext xmlns:c16="http://schemas.microsoft.com/office/drawing/2014/chart" uri="{C3380CC4-5D6E-409C-BE32-E72D297353CC}">
              <c16:uniqueId val="{00000002-453C-423F-83AC-A81013A660D8}"/>
            </c:ext>
          </c:extLst>
        </c:ser>
        <c:dLbls>
          <c:showLegendKey val="0"/>
          <c:showVal val="0"/>
          <c:showCatName val="0"/>
          <c:showSerName val="0"/>
          <c:showPercent val="0"/>
          <c:showBubbleSize val="0"/>
        </c:dLbls>
        <c:gapWidth val="70"/>
        <c:axId val="7792104"/>
        <c:axId val="234933352"/>
      </c:barChart>
      <c:catAx>
        <c:axId val="7792104"/>
        <c:scaling>
          <c:orientation val="minMax"/>
        </c:scaling>
        <c:delete val="0"/>
        <c:axPos val="b"/>
        <c:numFmt formatCode="General" sourceLinked="1"/>
        <c:majorTickMark val="out"/>
        <c:minorTickMark val="none"/>
        <c:tickLblPos val="nextTo"/>
        <c:crossAx val="234933352"/>
        <c:crosses val="autoZero"/>
        <c:auto val="1"/>
        <c:lblAlgn val="ctr"/>
        <c:lblOffset val="100"/>
        <c:tickLblSkip val="1"/>
        <c:noMultiLvlLbl val="0"/>
      </c:catAx>
      <c:valAx>
        <c:axId val="234933352"/>
        <c:scaling>
          <c:orientation val="minMax"/>
          <c:max val="18"/>
          <c:min val="0"/>
        </c:scaling>
        <c:delete val="0"/>
        <c:axPos val="l"/>
        <c:majorGridlines>
          <c:spPr>
            <a:ln>
              <a:prstDash val="sysDot"/>
            </a:ln>
          </c:spPr>
        </c:majorGridlines>
        <c:numFmt formatCode="0" sourceLinked="0"/>
        <c:majorTickMark val="out"/>
        <c:minorTickMark val="none"/>
        <c:tickLblPos val="nextTo"/>
        <c:crossAx val="7792104"/>
        <c:crosses val="autoZero"/>
        <c:crossBetween val="between"/>
        <c:majorUnit val="5"/>
      </c:valAx>
    </c:plotArea>
    <c:plotVisOnly val="1"/>
    <c:dispBlanksAs val="gap"/>
    <c:showDLblsOverMax val="0"/>
  </c:chart>
  <c:txPr>
    <a:bodyPr/>
    <a:lstStyle/>
    <a:p>
      <a:pPr>
        <a:defRPr sz="999" b="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Computed Tomography scanners, total, Per million population (2013 or nearest year)</c:v>
                </c:pt>
              </c:strCache>
            </c:strRef>
          </c:tx>
          <c:spPr>
            <a:solidFill>
              <a:srgbClr val="4472C4">
                <a:lumMod val="75000"/>
              </a:srgbClr>
            </a:solidFill>
          </c:spPr>
          <c:invertIfNegative val="0"/>
          <c:dPt>
            <c:idx val="8"/>
            <c:invertIfNegative val="0"/>
            <c:bubble3D val="0"/>
            <c:spPr>
              <a:solidFill>
                <a:srgbClr val="ED7D31">
                  <a:lumMod val="75000"/>
                </a:srgbClr>
              </a:solidFill>
            </c:spPr>
            <c:extLst>
              <c:ext xmlns:c16="http://schemas.microsoft.com/office/drawing/2014/chart" uri="{C3380CC4-5D6E-409C-BE32-E72D297353CC}">
                <c16:uniqueId val="{00000001-C0C7-4E46-87B6-1427C9B6CE09}"/>
              </c:ext>
            </c:extLst>
          </c:dPt>
          <c:cat>
            <c:strRef>
              <c:f>Sheet1!$A$2:$A$35</c:f>
              <c:strCache>
                <c:ptCount val="34"/>
                <c:pt idx="0">
                  <c:v>Japāna</c:v>
                </c:pt>
                <c:pt idx="1">
                  <c:v>Austrālija</c:v>
                </c:pt>
                <c:pt idx="2">
                  <c:v>ASV</c:v>
                </c:pt>
                <c:pt idx="3">
                  <c:v>Islande</c:v>
                </c:pt>
                <c:pt idx="4">
                  <c:v>Dānija</c:v>
                </c:pt>
                <c:pt idx="5">
                  <c:v>Koreja</c:v>
                </c:pt>
                <c:pt idx="6">
                  <c:v>Šveice</c:v>
                </c:pt>
                <c:pt idx="7">
                  <c:v>Grieķija</c:v>
                </c:pt>
                <c:pt idx="8">
                  <c:v>Latvija</c:v>
                </c:pt>
                <c:pt idx="9">
                  <c:v>Itālija</c:v>
                </c:pt>
                <c:pt idx="10">
                  <c:v>Austrija</c:v>
                </c:pt>
                <c:pt idx="11">
                  <c:v>Portugāle</c:v>
                </c:pt>
                <c:pt idx="12">
                  <c:v>Lietuva</c:v>
                </c:pt>
                <c:pt idx="13">
                  <c:v>Beļģija</c:v>
                </c:pt>
                <c:pt idx="14">
                  <c:v>Luksemburga</c:v>
                </c:pt>
                <c:pt idx="15">
                  <c:v>Somija</c:v>
                </c:pt>
                <c:pt idx="16">
                  <c:v>Igaunija</c:v>
                </c:pt>
                <c:pt idx="17">
                  <c:v>Vācija</c:v>
                </c:pt>
                <c:pt idx="18">
                  <c:v>Īrija</c:v>
                </c:pt>
                <c:pt idx="19">
                  <c:v>Spānija</c:v>
                </c:pt>
                <c:pt idx="20">
                  <c:v>Polija</c:v>
                </c:pt>
                <c:pt idx="21">
                  <c:v>Jaunzēlande</c:v>
                </c:pt>
                <c:pt idx="22">
                  <c:v>Slovākijas Rep.</c:v>
                </c:pt>
                <c:pt idx="23">
                  <c:v>Čehijas Rep.</c:v>
                </c:pt>
                <c:pt idx="24">
                  <c:v>Kanāda</c:v>
                </c:pt>
                <c:pt idx="25">
                  <c:v>Francija</c:v>
                </c:pt>
                <c:pt idx="26">
                  <c:v>Turcija</c:v>
                </c:pt>
                <c:pt idx="27">
                  <c:v>Čīle</c:v>
                </c:pt>
                <c:pt idx="28">
                  <c:v>Slovēnija</c:v>
                </c:pt>
                <c:pt idx="29">
                  <c:v>Nīderlande</c:v>
                </c:pt>
                <c:pt idx="30">
                  <c:v>Izraēla</c:v>
                </c:pt>
                <c:pt idx="31">
                  <c:v>Lielbritānija</c:v>
                </c:pt>
                <c:pt idx="32">
                  <c:v>Ungārija</c:v>
                </c:pt>
                <c:pt idx="33">
                  <c:v>Meksika</c:v>
                </c:pt>
              </c:strCache>
            </c:strRef>
          </c:cat>
          <c:val>
            <c:numRef>
              <c:f>Sheet1!$B$2:$B$35</c:f>
              <c:numCache>
                <c:formatCode>0</c:formatCode>
                <c:ptCount val="34"/>
                <c:pt idx="0">
                  <c:v>101.28</c:v>
                </c:pt>
                <c:pt idx="1">
                  <c:v>53.65</c:v>
                </c:pt>
                <c:pt idx="2">
                  <c:v>43.48</c:v>
                </c:pt>
                <c:pt idx="3">
                  <c:v>40.53</c:v>
                </c:pt>
                <c:pt idx="4">
                  <c:v>37.76</c:v>
                </c:pt>
                <c:pt idx="5">
                  <c:v>37.65</c:v>
                </c:pt>
                <c:pt idx="6">
                  <c:v>36.590000000000003</c:v>
                </c:pt>
                <c:pt idx="7">
                  <c:v>35.17</c:v>
                </c:pt>
                <c:pt idx="8">
                  <c:v>34.78</c:v>
                </c:pt>
                <c:pt idx="9">
                  <c:v>33.29</c:v>
                </c:pt>
                <c:pt idx="10">
                  <c:v>29.6</c:v>
                </c:pt>
                <c:pt idx="11">
                  <c:v>27.56</c:v>
                </c:pt>
                <c:pt idx="12">
                  <c:v>23.67</c:v>
                </c:pt>
                <c:pt idx="13">
                  <c:v>22.18</c:v>
                </c:pt>
                <c:pt idx="14">
                  <c:v>22.08</c:v>
                </c:pt>
                <c:pt idx="15">
                  <c:v>21.7</c:v>
                </c:pt>
                <c:pt idx="16">
                  <c:v>18.97</c:v>
                </c:pt>
                <c:pt idx="17">
                  <c:v>18.72</c:v>
                </c:pt>
                <c:pt idx="18">
                  <c:v>17.829999999999998</c:v>
                </c:pt>
                <c:pt idx="19">
                  <c:v>17.59</c:v>
                </c:pt>
                <c:pt idx="20">
                  <c:v>17.170000000000002</c:v>
                </c:pt>
                <c:pt idx="21">
                  <c:v>16.55</c:v>
                </c:pt>
                <c:pt idx="22">
                  <c:v>15.33</c:v>
                </c:pt>
                <c:pt idx="23">
                  <c:v>15.03</c:v>
                </c:pt>
                <c:pt idx="24">
                  <c:v>14.67</c:v>
                </c:pt>
                <c:pt idx="25">
                  <c:v>14.51</c:v>
                </c:pt>
                <c:pt idx="26">
                  <c:v>14.18</c:v>
                </c:pt>
                <c:pt idx="27">
                  <c:v>12.3</c:v>
                </c:pt>
                <c:pt idx="28">
                  <c:v>12.14</c:v>
                </c:pt>
                <c:pt idx="29">
                  <c:v>11.54</c:v>
                </c:pt>
                <c:pt idx="30">
                  <c:v>8.94</c:v>
                </c:pt>
                <c:pt idx="31">
                  <c:v>7.89</c:v>
                </c:pt>
                <c:pt idx="32">
                  <c:v>7.88</c:v>
                </c:pt>
                <c:pt idx="33">
                  <c:v>5.31</c:v>
                </c:pt>
              </c:numCache>
            </c:numRef>
          </c:val>
          <c:extLst>
            <c:ext xmlns:c16="http://schemas.microsoft.com/office/drawing/2014/chart" uri="{C3380CC4-5D6E-409C-BE32-E72D297353CC}">
              <c16:uniqueId val="{00000002-C0C7-4E46-87B6-1427C9B6CE09}"/>
            </c:ext>
          </c:extLst>
        </c:ser>
        <c:dLbls>
          <c:showLegendKey val="0"/>
          <c:showVal val="0"/>
          <c:showCatName val="0"/>
          <c:showSerName val="0"/>
          <c:showPercent val="0"/>
          <c:showBubbleSize val="0"/>
        </c:dLbls>
        <c:gapWidth val="65"/>
        <c:axId val="234934528"/>
        <c:axId val="234934920"/>
      </c:barChart>
      <c:catAx>
        <c:axId val="234934528"/>
        <c:scaling>
          <c:orientation val="minMax"/>
        </c:scaling>
        <c:delete val="0"/>
        <c:axPos val="b"/>
        <c:numFmt formatCode="General" sourceLinked="0"/>
        <c:majorTickMark val="out"/>
        <c:minorTickMark val="none"/>
        <c:tickLblPos val="nextTo"/>
        <c:crossAx val="234934920"/>
        <c:crosses val="autoZero"/>
        <c:auto val="1"/>
        <c:lblAlgn val="ctr"/>
        <c:lblOffset val="100"/>
        <c:tickLblSkip val="1"/>
        <c:noMultiLvlLbl val="0"/>
      </c:catAx>
      <c:valAx>
        <c:axId val="234934920"/>
        <c:scaling>
          <c:orientation val="minMax"/>
          <c:max val="105"/>
          <c:min val="0"/>
        </c:scaling>
        <c:delete val="0"/>
        <c:axPos val="l"/>
        <c:majorGridlines>
          <c:spPr>
            <a:ln>
              <a:prstDash val="sysDot"/>
            </a:ln>
          </c:spPr>
        </c:majorGridlines>
        <c:numFmt formatCode="#,##0" sourceLinked="0"/>
        <c:majorTickMark val="out"/>
        <c:minorTickMark val="none"/>
        <c:tickLblPos val="nextTo"/>
        <c:crossAx val="234934528"/>
        <c:crosses val="autoZero"/>
        <c:crossBetween val="between"/>
        <c:majorUnit val="20"/>
      </c:valAx>
    </c:plotArea>
    <c:plotVisOnly val="1"/>
    <c:dispBlanksAs val="gap"/>
    <c:showDLblsOverMax val="0"/>
  </c:chart>
  <c:txPr>
    <a:bodyPr/>
    <a:lstStyle/>
    <a:p>
      <a:pPr>
        <a:defRPr sz="999">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CT exams per scanner</c:v>
                </c:pt>
              </c:strCache>
            </c:strRef>
          </c:tx>
          <c:spPr>
            <a:solidFill>
              <a:srgbClr val="4472C4">
                <a:lumMod val="75000"/>
              </a:srgbClr>
            </a:solidFill>
          </c:spPr>
          <c:invertIfNegative val="0"/>
          <c:dPt>
            <c:idx val="18"/>
            <c:invertIfNegative val="0"/>
            <c:bubble3D val="0"/>
            <c:spPr>
              <a:solidFill>
                <a:srgbClr val="ED7D31">
                  <a:lumMod val="75000"/>
                </a:srgbClr>
              </a:solidFill>
            </c:spPr>
            <c:extLst>
              <c:ext xmlns:c16="http://schemas.microsoft.com/office/drawing/2014/chart" uri="{C3380CC4-5D6E-409C-BE32-E72D297353CC}">
                <c16:uniqueId val="{00000001-A8FA-4FD8-B4D1-29E115A515E5}"/>
              </c:ext>
            </c:extLst>
          </c:dPt>
          <c:cat>
            <c:strRef>
              <c:f>Sheet1!$A$2:$A$31</c:f>
              <c:strCache>
                <c:ptCount val="30"/>
                <c:pt idx="0">
                  <c:v>Igaunija*</c:v>
                </c:pt>
                <c:pt idx="1">
                  <c:v>Izraēla</c:v>
                </c:pt>
                <c:pt idx="2">
                  <c:v>Francija</c:v>
                </c:pt>
                <c:pt idx="3">
                  <c:v>Ungārija</c:v>
                </c:pt>
                <c:pt idx="4">
                  <c:v>Turcija</c:v>
                </c:pt>
                <c:pt idx="5">
                  <c:v>Lielbritānija</c:v>
                </c:pt>
                <c:pt idx="6">
                  <c:v>Luksemburga</c:v>
                </c:pt>
                <c:pt idx="7">
                  <c:v>Kanāda</c:v>
                </c:pt>
                <c:pt idx="8">
                  <c:v>Beļģija</c:v>
                </c:pt>
                <c:pt idx="9">
                  <c:v>Slovākijas Rep.</c:v>
                </c:pt>
                <c:pt idx="10">
                  <c:v>Čehijas Rep.</c:v>
                </c:pt>
                <c:pt idx="11">
                  <c:v>Vācija</c:v>
                </c:pt>
                <c:pt idx="12">
                  <c:v>Nīderlande</c:v>
                </c:pt>
                <c:pt idx="13">
                  <c:v>Čīle</c:v>
                </c:pt>
                <c:pt idx="14">
                  <c:v>ASV</c:v>
                </c:pt>
                <c:pt idx="15">
                  <c:v>Spānija</c:v>
                </c:pt>
                <c:pt idx="16">
                  <c:v>Grieķija</c:v>
                </c:pt>
                <c:pt idx="17">
                  <c:v>Portugāle</c:v>
                </c:pt>
                <c:pt idx="18">
                  <c:v>Latvija</c:v>
                </c:pt>
                <c:pt idx="19">
                  <c:v>Slovēnija</c:v>
                </c:pt>
                <c:pt idx="20">
                  <c:v>Austrija</c:v>
                </c:pt>
                <c:pt idx="21">
                  <c:v>Islande</c:v>
                </c:pt>
                <c:pt idx="22">
                  <c:v>Koreja</c:v>
                </c:pt>
                <c:pt idx="23">
                  <c:v>Dānija</c:v>
                </c:pt>
                <c:pt idx="24">
                  <c:v>Lietuva</c:v>
                </c:pt>
                <c:pt idx="25">
                  <c:v>Īrija</c:v>
                </c:pt>
                <c:pt idx="26">
                  <c:v>Polija</c:v>
                </c:pt>
                <c:pt idx="27">
                  <c:v>Austrālija</c:v>
                </c:pt>
                <c:pt idx="28">
                  <c:v>Jaunzēlande</c:v>
                </c:pt>
                <c:pt idx="29">
                  <c:v>Somija</c:v>
                </c:pt>
              </c:strCache>
            </c:strRef>
          </c:cat>
          <c:val>
            <c:numRef>
              <c:f>Sheet1!$B$2:$B$31</c:f>
              <c:numCache>
                <c:formatCode>0</c:formatCode>
                <c:ptCount val="30"/>
                <c:pt idx="0">
                  <c:v>26072.746441750132</c:v>
                </c:pt>
                <c:pt idx="1">
                  <c:v>15805.36912751678</c:v>
                </c:pt>
                <c:pt idx="2">
                  <c:v>13287.38800827016</c:v>
                </c:pt>
                <c:pt idx="3">
                  <c:v>11675.126903553301</c:v>
                </c:pt>
                <c:pt idx="4">
                  <c:v>10225.669957686883</c:v>
                </c:pt>
                <c:pt idx="5">
                  <c:v>9594.4233206590634</c:v>
                </c:pt>
                <c:pt idx="6">
                  <c:v>9153.079710144928</c:v>
                </c:pt>
                <c:pt idx="7">
                  <c:v>8963.8718473074314</c:v>
                </c:pt>
                <c:pt idx="8">
                  <c:v>8047.790802524798</c:v>
                </c:pt>
                <c:pt idx="9">
                  <c:v>8010.437051532941</c:v>
                </c:pt>
                <c:pt idx="10">
                  <c:v>6373.9188290086495</c:v>
                </c:pt>
                <c:pt idx="11">
                  <c:v>6255.3418803418808</c:v>
                </c:pt>
                <c:pt idx="12">
                  <c:v>6135.1819757365693</c:v>
                </c:pt>
                <c:pt idx="13">
                  <c:v>5731.7073170731701</c:v>
                </c:pt>
                <c:pt idx="14">
                  <c:v>5528.9788408463664</c:v>
                </c:pt>
                <c:pt idx="15">
                  <c:v>5469.0164866401374</c:v>
                </c:pt>
                <c:pt idx="16">
                  <c:v>5152.1182826272388</c:v>
                </c:pt>
                <c:pt idx="17">
                  <c:v>5108.8534107402038</c:v>
                </c:pt>
                <c:pt idx="18">
                  <c:v>4557.216791259345</c:v>
                </c:pt>
                <c:pt idx="19">
                  <c:v>4538.7149917627676</c:v>
                </c:pt>
                <c:pt idx="20">
                  <c:v>4506.7567567567567</c:v>
                </c:pt>
                <c:pt idx="21">
                  <c:v>4270.9104367135451</c:v>
                </c:pt>
                <c:pt idx="22">
                  <c:v>3859.2297476759636</c:v>
                </c:pt>
                <c:pt idx="23">
                  <c:v>3757.9449152542375</c:v>
                </c:pt>
                <c:pt idx="24">
                  <c:v>3683.9881706801857</c:v>
                </c:pt>
                <c:pt idx="25">
                  <c:v>3314.6382501402136</c:v>
                </c:pt>
                <c:pt idx="26">
                  <c:v>3214.9097262667442</c:v>
                </c:pt>
                <c:pt idx="27">
                  <c:v>1940.3541472506988</c:v>
                </c:pt>
                <c:pt idx="28">
                  <c:v>1722.0543806646524</c:v>
                </c:pt>
                <c:pt idx="29">
                  <c:v>1460.8294930875577</c:v>
                </c:pt>
              </c:numCache>
            </c:numRef>
          </c:val>
          <c:extLst>
            <c:ext xmlns:c16="http://schemas.microsoft.com/office/drawing/2014/chart" uri="{C3380CC4-5D6E-409C-BE32-E72D297353CC}">
              <c16:uniqueId val="{00000002-A8FA-4FD8-B4D1-29E115A515E5}"/>
            </c:ext>
          </c:extLst>
        </c:ser>
        <c:dLbls>
          <c:showLegendKey val="0"/>
          <c:showVal val="0"/>
          <c:showCatName val="0"/>
          <c:showSerName val="0"/>
          <c:showPercent val="0"/>
          <c:showBubbleSize val="0"/>
        </c:dLbls>
        <c:gapWidth val="65"/>
        <c:axId val="342983744"/>
        <c:axId val="342984136"/>
      </c:barChart>
      <c:catAx>
        <c:axId val="342983744"/>
        <c:scaling>
          <c:orientation val="minMax"/>
        </c:scaling>
        <c:delete val="0"/>
        <c:axPos val="b"/>
        <c:numFmt formatCode="General" sourceLinked="0"/>
        <c:majorTickMark val="out"/>
        <c:minorTickMark val="none"/>
        <c:tickLblPos val="nextTo"/>
        <c:crossAx val="342984136"/>
        <c:crosses val="autoZero"/>
        <c:auto val="1"/>
        <c:lblAlgn val="ctr"/>
        <c:lblOffset val="100"/>
        <c:tickLblSkip val="1"/>
        <c:noMultiLvlLbl val="0"/>
      </c:catAx>
      <c:valAx>
        <c:axId val="342984136"/>
        <c:scaling>
          <c:orientation val="minMax"/>
          <c:max val="27000"/>
          <c:min val="0"/>
        </c:scaling>
        <c:delete val="0"/>
        <c:axPos val="l"/>
        <c:majorGridlines>
          <c:spPr>
            <a:ln>
              <a:prstDash val="sysDot"/>
            </a:ln>
          </c:spPr>
        </c:majorGridlines>
        <c:numFmt formatCode="0" sourceLinked="0"/>
        <c:majorTickMark val="out"/>
        <c:minorTickMark val="none"/>
        <c:tickLblPos val="nextTo"/>
        <c:crossAx val="342983744"/>
        <c:crosses val="autoZero"/>
        <c:crossBetween val="between"/>
        <c:majorUnit val="5000"/>
      </c:valAx>
    </c:plotArea>
    <c:plotVisOnly val="1"/>
    <c:dispBlanksAs val="gap"/>
    <c:showDLblsOverMax val="0"/>
  </c:chart>
  <c:txPr>
    <a:bodyPr/>
    <a:lstStyle/>
    <a:p>
      <a:pPr>
        <a:defRPr sz="100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Magnetic Resonance Imaging units, total, Per million population</c:v>
                </c:pt>
              </c:strCache>
            </c:strRef>
          </c:tx>
          <c:spPr>
            <a:solidFill>
              <a:srgbClr val="4472C4">
                <a:lumMod val="75000"/>
              </a:srgbClr>
            </a:solidFill>
          </c:spPr>
          <c:invertIfNegative val="0"/>
          <c:dPt>
            <c:idx val="15"/>
            <c:invertIfNegative val="0"/>
            <c:bubble3D val="0"/>
            <c:extLst>
              <c:ext xmlns:c16="http://schemas.microsoft.com/office/drawing/2014/chart" uri="{C3380CC4-5D6E-409C-BE32-E72D297353CC}">
                <c16:uniqueId val="{00000001-15DD-42DC-9CDC-2FEBDF4C951D}"/>
              </c:ext>
            </c:extLst>
          </c:dPt>
          <c:dPt>
            <c:idx val="16"/>
            <c:invertIfNegative val="0"/>
            <c:bubble3D val="0"/>
            <c:extLst>
              <c:ext xmlns:c16="http://schemas.microsoft.com/office/drawing/2014/chart" uri="{C3380CC4-5D6E-409C-BE32-E72D297353CC}">
                <c16:uniqueId val="{00000003-15DD-42DC-9CDC-2FEBDF4C951D}"/>
              </c:ext>
            </c:extLst>
          </c:dPt>
          <c:dPt>
            <c:idx val="20"/>
            <c:invertIfNegative val="0"/>
            <c:bubble3D val="0"/>
            <c:extLst>
              <c:ext xmlns:c16="http://schemas.microsoft.com/office/drawing/2014/chart" uri="{C3380CC4-5D6E-409C-BE32-E72D297353CC}">
                <c16:uniqueId val="{00000005-15DD-42DC-9CDC-2FEBDF4C951D}"/>
              </c:ext>
            </c:extLst>
          </c:dPt>
          <c:dPt>
            <c:idx val="21"/>
            <c:invertIfNegative val="0"/>
            <c:bubble3D val="0"/>
            <c:spPr>
              <a:solidFill>
                <a:srgbClr val="ED7D31">
                  <a:lumMod val="75000"/>
                </a:srgbClr>
              </a:solidFill>
            </c:spPr>
            <c:extLst>
              <c:ext xmlns:c16="http://schemas.microsoft.com/office/drawing/2014/chart" uri="{C3380CC4-5D6E-409C-BE32-E72D297353CC}">
                <c16:uniqueId val="{00000007-15DD-42DC-9CDC-2FEBDF4C951D}"/>
              </c:ext>
            </c:extLst>
          </c:dPt>
          <c:cat>
            <c:strRef>
              <c:f>Sheet1!$A$2:$A$35</c:f>
              <c:strCache>
                <c:ptCount val="34"/>
                <c:pt idx="0">
                  <c:v>Japāna</c:v>
                </c:pt>
                <c:pt idx="1">
                  <c:v>ASV</c:v>
                </c:pt>
                <c:pt idx="2">
                  <c:v>Itālija</c:v>
                </c:pt>
                <c:pt idx="3">
                  <c:v>Koreja</c:v>
                </c:pt>
                <c:pt idx="4">
                  <c:v>Grieķija</c:v>
                </c:pt>
                <c:pt idx="5">
                  <c:v>Somija</c:v>
                </c:pt>
                <c:pt idx="6">
                  <c:v>Islande</c:v>
                </c:pt>
                <c:pt idx="7">
                  <c:v>Šveice</c:v>
                </c:pt>
                <c:pt idx="8">
                  <c:v>Austrija</c:v>
                </c:pt>
                <c:pt idx="9">
                  <c:v>Dānija</c:v>
                </c:pt>
                <c:pt idx="10">
                  <c:v>Spānija</c:v>
                </c:pt>
                <c:pt idx="11">
                  <c:v>Austrālija</c:v>
                </c:pt>
                <c:pt idx="12">
                  <c:v>Īrija</c:v>
                </c:pt>
                <c:pt idx="13">
                  <c:v>Luksemburga</c:v>
                </c:pt>
                <c:pt idx="14">
                  <c:v>Vācija</c:v>
                </c:pt>
                <c:pt idx="15">
                  <c:v>Nīderlande</c:v>
                </c:pt>
                <c:pt idx="16">
                  <c:v>Igaunija</c:v>
                </c:pt>
                <c:pt idx="17">
                  <c:v>Jaunzēlande</c:v>
                </c:pt>
                <c:pt idx="18">
                  <c:v>Beļģija</c:v>
                </c:pt>
                <c:pt idx="19">
                  <c:v>Turcija</c:v>
                </c:pt>
                <c:pt idx="20">
                  <c:v>Lietuva</c:v>
                </c:pt>
                <c:pt idx="21">
                  <c:v>Latvija</c:v>
                </c:pt>
                <c:pt idx="22">
                  <c:v>Francija</c:v>
                </c:pt>
                <c:pt idx="23">
                  <c:v>Portugāle</c:v>
                </c:pt>
                <c:pt idx="24">
                  <c:v>Kanāda</c:v>
                </c:pt>
                <c:pt idx="25">
                  <c:v>Slovēnija</c:v>
                </c:pt>
                <c:pt idx="26">
                  <c:v>Čehijas Rep.</c:v>
                </c:pt>
                <c:pt idx="27">
                  <c:v>Slovākijas Rep.</c:v>
                </c:pt>
                <c:pt idx="28">
                  <c:v>Čīle</c:v>
                </c:pt>
                <c:pt idx="29">
                  <c:v>Polija</c:v>
                </c:pt>
                <c:pt idx="30">
                  <c:v>Lielbritānija</c:v>
                </c:pt>
                <c:pt idx="31">
                  <c:v>Izraēla</c:v>
                </c:pt>
                <c:pt idx="32">
                  <c:v>Ungārija</c:v>
                </c:pt>
                <c:pt idx="33">
                  <c:v>Meksika</c:v>
                </c:pt>
              </c:strCache>
            </c:strRef>
          </c:cat>
          <c:val>
            <c:numRef>
              <c:f>Sheet1!$B$2:$B$35</c:f>
              <c:numCache>
                <c:formatCode>General</c:formatCode>
                <c:ptCount val="34"/>
                <c:pt idx="0">
                  <c:v>46.87</c:v>
                </c:pt>
                <c:pt idx="1">
                  <c:v>35.49</c:v>
                </c:pt>
                <c:pt idx="2">
                  <c:v>24.62</c:v>
                </c:pt>
                <c:pt idx="3">
                  <c:v>24.45</c:v>
                </c:pt>
                <c:pt idx="4">
                  <c:v>24.3</c:v>
                </c:pt>
                <c:pt idx="5">
                  <c:v>22.06</c:v>
                </c:pt>
                <c:pt idx="6">
                  <c:v>21.83</c:v>
                </c:pt>
                <c:pt idx="7">
                  <c:v>19.899999999999999</c:v>
                </c:pt>
                <c:pt idx="8">
                  <c:v>19.22</c:v>
                </c:pt>
                <c:pt idx="9">
                  <c:v>15.39</c:v>
                </c:pt>
                <c:pt idx="10">
                  <c:v>15.34</c:v>
                </c:pt>
                <c:pt idx="11">
                  <c:v>13.44</c:v>
                </c:pt>
                <c:pt idx="12">
                  <c:v>13.27</c:v>
                </c:pt>
                <c:pt idx="13">
                  <c:v>12.88</c:v>
                </c:pt>
                <c:pt idx="14">
                  <c:v>11.59</c:v>
                </c:pt>
                <c:pt idx="15">
                  <c:v>11.49</c:v>
                </c:pt>
                <c:pt idx="16">
                  <c:v>11.38</c:v>
                </c:pt>
                <c:pt idx="17">
                  <c:v>11.18</c:v>
                </c:pt>
                <c:pt idx="18">
                  <c:v>10.82</c:v>
                </c:pt>
                <c:pt idx="19">
                  <c:v>10.48</c:v>
                </c:pt>
                <c:pt idx="20">
                  <c:v>10.48</c:v>
                </c:pt>
                <c:pt idx="21">
                  <c:v>10.43</c:v>
                </c:pt>
                <c:pt idx="22">
                  <c:v>9.41</c:v>
                </c:pt>
                <c:pt idx="23">
                  <c:v>9.2799999999999994</c:v>
                </c:pt>
                <c:pt idx="24">
                  <c:v>8.83</c:v>
                </c:pt>
                <c:pt idx="25">
                  <c:v>8.74</c:v>
                </c:pt>
                <c:pt idx="26">
                  <c:v>7.42</c:v>
                </c:pt>
                <c:pt idx="27">
                  <c:v>6.65</c:v>
                </c:pt>
                <c:pt idx="28">
                  <c:v>6.61</c:v>
                </c:pt>
                <c:pt idx="29">
                  <c:v>6.44</c:v>
                </c:pt>
                <c:pt idx="30">
                  <c:v>6.08</c:v>
                </c:pt>
                <c:pt idx="31">
                  <c:v>3.1</c:v>
                </c:pt>
                <c:pt idx="32">
                  <c:v>3.03</c:v>
                </c:pt>
                <c:pt idx="33">
                  <c:v>2.06</c:v>
                </c:pt>
              </c:numCache>
            </c:numRef>
          </c:val>
          <c:extLst>
            <c:ext xmlns:c16="http://schemas.microsoft.com/office/drawing/2014/chart" uri="{C3380CC4-5D6E-409C-BE32-E72D297353CC}">
              <c16:uniqueId val="{00000008-15DD-42DC-9CDC-2FEBDF4C951D}"/>
            </c:ext>
          </c:extLst>
        </c:ser>
        <c:dLbls>
          <c:showLegendKey val="0"/>
          <c:showVal val="0"/>
          <c:showCatName val="0"/>
          <c:showSerName val="0"/>
          <c:showPercent val="0"/>
          <c:showBubbleSize val="0"/>
        </c:dLbls>
        <c:gapWidth val="70"/>
        <c:axId val="438062224"/>
        <c:axId val="438062616"/>
      </c:barChart>
      <c:catAx>
        <c:axId val="438062224"/>
        <c:scaling>
          <c:orientation val="minMax"/>
        </c:scaling>
        <c:delete val="0"/>
        <c:axPos val="b"/>
        <c:numFmt formatCode="General" sourceLinked="0"/>
        <c:majorTickMark val="out"/>
        <c:minorTickMark val="none"/>
        <c:tickLblPos val="nextTo"/>
        <c:crossAx val="438062616"/>
        <c:crosses val="autoZero"/>
        <c:auto val="1"/>
        <c:lblAlgn val="ctr"/>
        <c:lblOffset val="100"/>
        <c:tickLblSkip val="1"/>
        <c:noMultiLvlLbl val="0"/>
      </c:catAx>
      <c:valAx>
        <c:axId val="438062616"/>
        <c:scaling>
          <c:orientation val="minMax"/>
        </c:scaling>
        <c:delete val="0"/>
        <c:axPos val="l"/>
        <c:majorGridlines>
          <c:spPr>
            <a:ln>
              <a:prstDash val="sysDot"/>
            </a:ln>
          </c:spPr>
        </c:majorGridlines>
        <c:numFmt formatCode="General" sourceLinked="1"/>
        <c:majorTickMark val="out"/>
        <c:minorTickMark val="none"/>
        <c:tickLblPos val="nextTo"/>
        <c:crossAx val="438062224"/>
        <c:crosses val="autoZero"/>
        <c:crossBetween val="between"/>
      </c:valAx>
    </c:plotArea>
    <c:plotVisOnly val="1"/>
    <c:dispBlanksAs val="gap"/>
    <c:showDLblsOverMax val="0"/>
  </c:chart>
  <c:txPr>
    <a:bodyPr/>
    <a:lstStyle/>
    <a:p>
      <a:pPr>
        <a:defRPr sz="1000" b="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MRI exams per scanner</c:v>
                </c:pt>
              </c:strCache>
            </c:strRef>
          </c:tx>
          <c:spPr>
            <a:solidFill>
              <a:srgbClr val="4472C4">
                <a:lumMod val="75000"/>
              </a:srgbClr>
            </a:solidFill>
          </c:spPr>
          <c:invertIfNegative val="0"/>
          <c:dPt>
            <c:idx val="20"/>
            <c:invertIfNegative val="0"/>
            <c:bubble3D val="0"/>
            <c:spPr>
              <a:solidFill>
                <a:srgbClr val="ED7D31">
                  <a:lumMod val="75000"/>
                </a:srgbClr>
              </a:solidFill>
            </c:spPr>
            <c:extLst>
              <c:ext xmlns:c16="http://schemas.microsoft.com/office/drawing/2014/chart" uri="{C3380CC4-5D6E-409C-BE32-E72D297353CC}">
                <c16:uniqueId val="{00000000-8D0D-477D-A1CF-35582107E761}"/>
              </c:ext>
            </c:extLst>
          </c:dPt>
          <c:cat>
            <c:strRef>
              <c:f>Sheet1!$A$2:$A$31</c:f>
              <c:strCache>
                <c:ptCount val="30"/>
                <c:pt idx="0">
                  <c:v>Ungārija</c:v>
                </c:pt>
                <c:pt idx="1">
                  <c:v>Turcija</c:v>
                </c:pt>
                <c:pt idx="2">
                  <c:v>Izraēla</c:v>
                </c:pt>
                <c:pt idx="3">
                  <c:v>Francija</c:v>
                </c:pt>
                <c:pt idx="4">
                  <c:v>Vācija</c:v>
                </c:pt>
                <c:pt idx="5">
                  <c:v>Beļģija</c:v>
                </c:pt>
                <c:pt idx="6">
                  <c:v>Slovākijas Rep.</c:v>
                </c:pt>
                <c:pt idx="7">
                  <c:v>Lielbritānija</c:v>
                </c:pt>
                <c:pt idx="8">
                  <c:v>Luksemburga</c:v>
                </c:pt>
                <c:pt idx="9">
                  <c:v>Čehijas Rep.</c:v>
                </c:pt>
                <c:pt idx="10">
                  <c:v>Kanāda</c:v>
                </c:pt>
                <c:pt idx="11">
                  <c:v>Spānija</c:v>
                </c:pt>
                <c:pt idx="12">
                  <c:v>Igaunija</c:v>
                </c:pt>
                <c:pt idx="13">
                  <c:v>Nīderlande</c:v>
                </c:pt>
                <c:pt idx="14">
                  <c:v>Slovēnija</c:v>
                </c:pt>
                <c:pt idx="15">
                  <c:v>Dānija</c:v>
                </c:pt>
                <c:pt idx="16">
                  <c:v>Polija</c:v>
                </c:pt>
                <c:pt idx="17">
                  <c:v>Islande</c:v>
                </c:pt>
                <c:pt idx="18">
                  <c:v>Portugāle</c:v>
                </c:pt>
                <c:pt idx="19">
                  <c:v>Lietuva</c:v>
                </c:pt>
                <c:pt idx="20">
                  <c:v>Latvija</c:v>
                </c:pt>
                <c:pt idx="21">
                  <c:v>ASV</c:v>
                </c:pt>
                <c:pt idx="22">
                  <c:v>Grieķija</c:v>
                </c:pt>
                <c:pt idx="23">
                  <c:v>Austrija</c:v>
                </c:pt>
                <c:pt idx="24">
                  <c:v>Austrālija</c:v>
                </c:pt>
                <c:pt idx="25">
                  <c:v>Somija</c:v>
                </c:pt>
                <c:pt idx="26">
                  <c:v>Čīle</c:v>
                </c:pt>
                <c:pt idx="27">
                  <c:v>Īrija</c:v>
                </c:pt>
                <c:pt idx="28">
                  <c:v>Koreja</c:v>
                </c:pt>
                <c:pt idx="29">
                  <c:v>Jaunzelande</c:v>
                </c:pt>
              </c:strCache>
            </c:strRef>
          </c:cat>
          <c:val>
            <c:numRef>
              <c:f>Sheet1!$B$2:$B$31</c:f>
              <c:numCache>
                <c:formatCode>0</c:formatCode>
                <c:ptCount val="30"/>
                <c:pt idx="0">
                  <c:v>11485.148514851484</c:v>
                </c:pt>
                <c:pt idx="1">
                  <c:v>11374.045801526718</c:v>
                </c:pt>
                <c:pt idx="2">
                  <c:v>9838.7096774193542</c:v>
                </c:pt>
                <c:pt idx="3">
                  <c:v>9659.9362380446328</c:v>
                </c:pt>
                <c:pt idx="4">
                  <c:v>8213.9775668679904</c:v>
                </c:pt>
                <c:pt idx="5">
                  <c:v>7116.4510166358596</c:v>
                </c:pt>
                <c:pt idx="6">
                  <c:v>6962.4060150375926</c:v>
                </c:pt>
                <c:pt idx="7">
                  <c:v>6644.7368421052624</c:v>
                </c:pt>
                <c:pt idx="8">
                  <c:v>6281.0559006211188</c:v>
                </c:pt>
                <c:pt idx="9">
                  <c:v>6091.644204851752</c:v>
                </c:pt>
                <c:pt idx="10">
                  <c:v>5979.6149490373718</c:v>
                </c:pt>
                <c:pt idx="11">
                  <c:v>4543.6766623207304</c:v>
                </c:pt>
                <c:pt idx="12">
                  <c:v>4499.1212653778557</c:v>
                </c:pt>
                <c:pt idx="13">
                  <c:v>4351.610095735422</c:v>
                </c:pt>
                <c:pt idx="14">
                  <c:v>4141.8764302059499</c:v>
                </c:pt>
                <c:pt idx="15">
                  <c:v>3918.1286549707597</c:v>
                </c:pt>
                <c:pt idx="16">
                  <c:v>3540.3726708074532</c:v>
                </c:pt>
                <c:pt idx="17">
                  <c:v>3412.7347686669723</c:v>
                </c:pt>
                <c:pt idx="18">
                  <c:v>3200.4310344827591</c:v>
                </c:pt>
                <c:pt idx="19">
                  <c:v>3196.5648854961828</c:v>
                </c:pt>
                <c:pt idx="20">
                  <c:v>3077.6605944391181</c:v>
                </c:pt>
                <c:pt idx="21">
                  <c:v>3012.1160890391661</c:v>
                </c:pt>
                <c:pt idx="22">
                  <c:v>2798.3539094650205</c:v>
                </c:pt>
                <c:pt idx="23">
                  <c:v>2617.0655567117587</c:v>
                </c:pt>
                <c:pt idx="24">
                  <c:v>2053.5714285714289</c:v>
                </c:pt>
                <c:pt idx="25">
                  <c:v>2053.4904805077063</c:v>
                </c:pt>
                <c:pt idx="26">
                  <c:v>1936.4599092284418</c:v>
                </c:pt>
                <c:pt idx="27">
                  <c:v>1183.1198191409194</c:v>
                </c:pt>
                <c:pt idx="28">
                  <c:v>1059.3047034764827</c:v>
                </c:pt>
                <c:pt idx="29">
                  <c:v>384.61538461538464</c:v>
                </c:pt>
              </c:numCache>
            </c:numRef>
          </c:val>
          <c:extLst>
            <c:ext xmlns:c16="http://schemas.microsoft.com/office/drawing/2014/chart" uri="{C3380CC4-5D6E-409C-BE32-E72D297353CC}">
              <c16:uniqueId val="{00000001-8D0D-477D-A1CF-35582107E761}"/>
            </c:ext>
          </c:extLst>
        </c:ser>
        <c:dLbls>
          <c:showLegendKey val="0"/>
          <c:showVal val="0"/>
          <c:showCatName val="0"/>
          <c:showSerName val="0"/>
          <c:showPercent val="0"/>
          <c:showBubbleSize val="0"/>
        </c:dLbls>
        <c:gapWidth val="80"/>
        <c:axId val="438063400"/>
        <c:axId val="438063792"/>
      </c:barChart>
      <c:catAx>
        <c:axId val="438063400"/>
        <c:scaling>
          <c:orientation val="minMax"/>
        </c:scaling>
        <c:delete val="0"/>
        <c:axPos val="b"/>
        <c:numFmt formatCode="General" sourceLinked="0"/>
        <c:majorTickMark val="out"/>
        <c:minorTickMark val="none"/>
        <c:tickLblPos val="nextTo"/>
        <c:txPr>
          <a:bodyPr rot="-5400000" vert="horz"/>
          <a:lstStyle/>
          <a:p>
            <a:pPr>
              <a:defRPr/>
            </a:pPr>
            <a:endParaRPr lang="lv-LV"/>
          </a:p>
        </c:txPr>
        <c:crossAx val="438063792"/>
        <c:crosses val="autoZero"/>
        <c:auto val="1"/>
        <c:lblAlgn val="ctr"/>
        <c:lblOffset val="100"/>
        <c:tickLblSkip val="1"/>
        <c:noMultiLvlLbl val="0"/>
      </c:catAx>
      <c:valAx>
        <c:axId val="438063792"/>
        <c:scaling>
          <c:orientation val="minMax"/>
          <c:max val="12000"/>
          <c:min val="0"/>
        </c:scaling>
        <c:delete val="0"/>
        <c:axPos val="l"/>
        <c:majorGridlines>
          <c:spPr>
            <a:ln>
              <a:prstDash val="sysDot"/>
            </a:ln>
          </c:spPr>
        </c:majorGridlines>
        <c:numFmt formatCode="#,##0" sourceLinked="0"/>
        <c:majorTickMark val="out"/>
        <c:minorTickMark val="none"/>
        <c:tickLblPos val="nextTo"/>
        <c:crossAx val="438063400"/>
        <c:crosses val="autoZero"/>
        <c:crossBetween val="between"/>
        <c:majorUnit val="2000"/>
      </c:valAx>
    </c:plotArea>
    <c:plotVisOnly val="1"/>
    <c:dispBlanksAs val="gap"/>
    <c:showDLblsOverMax val="0"/>
  </c:chart>
  <c:txPr>
    <a:bodyPr/>
    <a:lstStyle/>
    <a:p>
      <a:pPr>
        <a:defRPr sz="100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106422820886556E-2"/>
          <c:y val="5.0925925925925923E-2"/>
          <c:w val="0.85778715435822683"/>
          <c:h val="0.58372630504520273"/>
        </c:manualLayout>
      </c:layout>
      <c:lineChart>
        <c:grouping val="standard"/>
        <c:varyColors val="0"/>
        <c:ser>
          <c:idx val="0"/>
          <c:order val="0"/>
          <c:tx>
            <c:strRef>
              <c:f>Sheet1!$B$1</c:f>
              <c:strCache>
                <c:ptCount val="1"/>
                <c:pt idx="0">
                  <c:v>Magnētisko rezonanšu aparātu skaits (uz milj. iedz.)</c:v>
                </c:pt>
              </c:strCache>
            </c:strRef>
          </c:tx>
          <c:spPr>
            <a:ln w="38100">
              <a:solidFill>
                <a:srgbClr val="4472C4">
                  <a:lumMod val="75000"/>
                </a:srgbClr>
              </a:solidFill>
            </a:ln>
          </c:spPr>
          <c:marker>
            <c:symbol val="none"/>
          </c:marker>
          <c:cat>
            <c:numRef>
              <c:f>Sheet1!$A$2:$A$12</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Sheet1!$B$2:$B$12</c:f>
              <c:numCache>
                <c:formatCode>General</c:formatCode>
                <c:ptCount val="11"/>
                <c:pt idx="0">
                  <c:v>1.31</c:v>
                </c:pt>
                <c:pt idx="1">
                  <c:v>0.88</c:v>
                </c:pt>
                <c:pt idx="2">
                  <c:v>2.68</c:v>
                </c:pt>
                <c:pt idx="3">
                  <c:v>2.7</c:v>
                </c:pt>
                <c:pt idx="4">
                  <c:v>5</c:v>
                </c:pt>
                <c:pt idx="5">
                  <c:v>6.89</c:v>
                </c:pt>
                <c:pt idx="6">
                  <c:v>7.47</c:v>
                </c:pt>
                <c:pt idx="7">
                  <c:v>8.1</c:v>
                </c:pt>
                <c:pt idx="8">
                  <c:v>9.2200000000000006</c:v>
                </c:pt>
                <c:pt idx="9">
                  <c:v>9.83</c:v>
                </c:pt>
                <c:pt idx="10">
                  <c:v>10.43</c:v>
                </c:pt>
              </c:numCache>
            </c:numRef>
          </c:val>
          <c:smooth val="0"/>
          <c:extLst>
            <c:ext xmlns:c16="http://schemas.microsoft.com/office/drawing/2014/chart" uri="{C3380CC4-5D6E-409C-BE32-E72D297353CC}">
              <c16:uniqueId val="{00000000-48F0-4905-A9C1-E46DD31777B3}"/>
            </c:ext>
          </c:extLst>
        </c:ser>
        <c:dLbls>
          <c:showLegendKey val="0"/>
          <c:showVal val="0"/>
          <c:showCatName val="0"/>
          <c:showSerName val="0"/>
          <c:showPercent val="0"/>
          <c:showBubbleSize val="0"/>
        </c:dLbls>
        <c:marker val="1"/>
        <c:smooth val="0"/>
        <c:axId val="436346400"/>
        <c:axId val="436346792"/>
      </c:lineChart>
      <c:lineChart>
        <c:grouping val="standard"/>
        <c:varyColors val="0"/>
        <c:ser>
          <c:idx val="1"/>
          <c:order val="1"/>
          <c:tx>
            <c:strRef>
              <c:f>Sheet1!$C$1</c:f>
              <c:strCache>
                <c:ptCount val="1"/>
                <c:pt idx="0">
                  <c:v>Magnētiskās rezonanses izmēklējumi (uz tūkst.iedz.); labā ass</c:v>
                </c:pt>
              </c:strCache>
            </c:strRef>
          </c:tx>
          <c:spPr>
            <a:ln w="38100">
              <a:solidFill>
                <a:srgbClr val="ED7D31">
                  <a:lumMod val="75000"/>
                </a:srgbClr>
              </a:solidFill>
            </a:ln>
          </c:spPr>
          <c:marker>
            <c:symbol val="none"/>
          </c:marker>
          <c:cat>
            <c:numRef>
              <c:f>Sheet1!$A$2:$A$12</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Sheet1!$C$2:$C$12</c:f>
              <c:numCache>
                <c:formatCode>General</c:formatCode>
                <c:ptCount val="11"/>
                <c:pt idx="0">
                  <c:v>4.5</c:v>
                </c:pt>
                <c:pt idx="1">
                  <c:v>6</c:v>
                </c:pt>
                <c:pt idx="2">
                  <c:v>7.5</c:v>
                </c:pt>
                <c:pt idx="3">
                  <c:v>8.5</c:v>
                </c:pt>
                <c:pt idx="4">
                  <c:v>12.3</c:v>
                </c:pt>
                <c:pt idx="5">
                  <c:v>17.3</c:v>
                </c:pt>
                <c:pt idx="6">
                  <c:v>19.7</c:v>
                </c:pt>
                <c:pt idx="7">
                  <c:v>22.5</c:v>
                </c:pt>
                <c:pt idx="8">
                  <c:v>29.6</c:v>
                </c:pt>
                <c:pt idx="9">
                  <c:v>28.4</c:v>
                </c:pt>
                <c:pt idx="10">
                  <c:v>32.1</c:v>
                </c:pt>
              </c:numCache>
            </c:numRef>
          </c:val>
          <c:smooth val="0"/>
          <c:extLst>
            <c:ext xmlns:c16="http://schemas.microsoft.com/office/drawing/2014/chart" uri="{C3380CC4-5D6E-409C-BE32-E72D297353CC}">
              <c16:uniqueId val="{00000001-48F0-4905-A9C1-E46DD31777B3}"/>
            </c:ext>
          </c:extLst>
        </c:ser>
        <c:dLbls>
          <c:showLegendKey val="0"/>
          <c:showVal val="0"/>
          <c:showCatName val="0"/>
          <c:showSerName val="0"/>
          <c:showPercent val="0"/>
          <c:showBubbleSize val="0"/>
        </c:dLbls>
        <c:marker val="1"/>
        <c:smooth val="0"/>
        <c:axId val="436347184"/>
        <c:axId val="436347576"/>
      </c:lineChart>
      <c:catAx>
        <c:axId val="436346400"/>
        <c:scaling>
          <c:orientation val="minMax"/>
        </c:scaling>
        <c:delete val="0"/>
        <c:axPos val="b"/>
        <c:numFmt formatCode="General" sourceLinked="1"/>
        <c:majorTickMark val="out"/>
        <c:minorTickMark val="none"/>
        <c:tickLblPos val="nextTo"/>
        <c:txPr>
          <a:bodyPr rot="-5400000" vert="horz"/>
          <a:lstStyle/>
          <a:p>
            <a:pPr>
              <a:defRPr sz="900"/>
            </a:pPr>
            <a:endParaRPr lang="lv-LV"/>
          </a:p>
        </c:txPr>
        <c:crossAx val="436346792"/>
        <c:crosses val="autoZero"/>
        <c:auto val="1"/>
        <c:lblAlgn val="ctr"/>
        <c:lblOffset val="100"/>
        <c:noMultiLvlLbl val="0"/>
      </c:catAx>
      <c:valAx>
        <c:axId val="436346792"/>
        <c:scaling>
          <c:orientation val="minMax"/>
        </c:scaling>
        <c:delete val="0"/>
        <c:axPos val="l"/>
        <c:majorGridlines>
          <c:spPr>
            <a:ln>
              <a:prstDash val="sysDot"/>
            </a:ln>
          </c:spPr>
        </c:majorGridlines>
        <c:numFmt formatCode="General" sourceLinked="1"/>
        <c:majorTickMark val="out"/>
        <c:minorTickMark val="none"/>
        <c:tickLblPos val="nextTo"/>
        <c:crossAx val="436346400"/>
        <c:crosses val="autoZero"/>
        <c:crossBetween val="between"/>
      </c:valAx>
      <c:catAx>
        <c:axId val="436347184"/>
        <c:scaling>
          <c:orientation val="minMax"/>
        </c:scaling>
        <c:delete val="1"/>
        <c:axPos val="b"/>
        <c:numFmt formatCode="General" sourceLinked="1"/>
        <c:majorTickMark val="out"/>
        <c:minorTickMark val="none"/>
        <c:tickLblPos val="nextTo"/>
        <c:crossAx val="436347576"/>
        <c:crosses val="autoZero"/>
        <c:auto val="1"/>
        <c:lblAlgn val="ctr"/>
        <c:lblOffset val="100"/>
        <c:noMultiLvlLbl val="0"/>
      </c:catAx>
      <c:valAx>
        <c:axId val="436347576"/>
        <c:scaling>
          <c:orientation val="minMax"/>
        </c:scaling>
        <c:delete val="0"/>
        <c:axPos val="r"/>
        <c:numFmt formatCode="General" sourceLinked="1"/>
        <c:majorTickMark val="out"/>
        <c:minorTickMark val="none"/>
        <c:tickLblPos val="nextTo"/>
        <c:crossAx val="436347184"/>
        <c:crosses val="max"/>
        <c:crossBetween val="between"/>
      </c:valAx>
    </c:plotArea>
    <c:legend>
      <c:legendPos val="b"/>
      <c:layout>
        <c:manualLayout>
          <c:xMode val="edge"/>
          <c:yMode val="edge"/>
          <c:x val="1.0079500823868817E-2"/>
          <c:y val="0.80995115193934086"/>
          <c:w val="0.98562956911244781"/>
          <c:h val="0.16202841057081607"/>
        </c:manualLayout>
      </c:layout>
      <c:overlay val="0"/>
      <c:spPr>
        <a:noFill/>
      </c:spPr>
      <c:txPr>
        <a:bodyPr/>
        <a:lstStyle/>
        <a:p>
          <a:pPr>
            <a:defRPr sz="900"/>
          </a:pPr>
          <a:endParaRPr lang="lv-LV"/>
        </a:p>
      </c:txPr>
    </c:legend>
    <c:plotVisOnly val="1"/>
    <c:dispBlanksAs val="gap"/>
    <c:showDLblsOverMax val="0"/>
  </c:chart>
  <c:txPr>
    <a:bodyPr/>
    <a:lstStyle/>
    <a:p>
      <a:pPr>
        <a:defRPr sz="1001" b="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102600048436787E-2"/>
          <c:y val="6.2478645904922719E-2"/>
          <c:w val="0.92766842850409326"/>
          <c:h val="0.71254800046545896"/>
        </c:manualLayout>
      </c:layout>
      <c:barChart>
        <c:barDir val="col"/>
        <c:grouping val="clustered"/>
        <c:varyColors val="0"/>
        <c:ser>
          <c:idx val="0"/>
          <c:order val="0"/>
          <c:tx>
            <c:strRef>
              <c:f>tab!$Y$1</c:f>
              <c:strCache>
                <c:ptCount val="1"/>
                <c:pt idx="0">
                  <c:v>Mēnešalga pret skalas MAX, %</c:v>
                </c:pt>
              </c:strCache>
            </c:strRef>
          </c:tx>
          <c:spPr>
            <a:solidFill>
              <a:schemeClr val="accent6">
                <a:lumMod val="75000"/>
              </a:schemeClr>
            </a:solidFill>
            <a:ln>
              <a:noFill/>
            </a:ln>
            <a:effectLst/>
          </c:spPr>
          <c:invertIfNegative val="0"/>
          <c:dLbls>
            <c:dLbl>
              <c:idx val="11"/>
              <c:layout>
                <c:manualLayout>
                  <c:x val="2.2048285745783266E-3"/>
                  <c:y val="-6.35435276472798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FE-486D-BD64-58AF553C8CB4}"/>
                </c:ext>
              </c:extLst>
            </c:dLbl>
            <c:dLbl>
              <c:idx val="12"/>
              <c:layout>
                <c:manualLayout>
                  <c:x val="0"/>
                  <c:y val="-2.52100840336134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FE-486D-BD64-58AF553C8CB4}"/>
                </c:ext>
              </c:extLst>
            </c:dLbl>
            <c:dLbl>
              <c:idx val="13"/>
              <c:layout>
                <c:manualLayout>
                  <c:x val="6.6144857237349797E-3"/>
                  <c:y val="-2.45570952464479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FE-486D-BD64-58AF553C8CB4}"/>
                </c:ext>
              </c:extLst>
            </c:dLbl>
            <c:dLbl>
              <c:idx val="14"/>
              <c:layout>
                <c:manualLayout>
                  <c:x val="2.4253114320361431E-2"/>
                  <c:y val="-3.15734081740045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FE-486D-BD64-58AF553C8CB4}"/>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tab!$X$2:$X$16</c:f>
              <c:strCache>
                <c:ptCount val="15"/>
                <c:pt idx="0">
                  <c:v>AIM</c:v>
                </c:pt>
                <c:pt idx="1">
                  <c:v>ZM</c:v>
                </c:pt>
                <c:pt idx="2">
                  <c:v>IZM</c:v>
                </c:pt>
                <c:pt idx="3">
                  <c:v>LM</c:v>
                </c:pt>
                <c:pt idx="4">
                  <c:v>AM</c:v>
                </c:pt>
                <c:pt idx="5">
                  <c:v>IEM</c:v>
                </c:pt>
                <c:pt idx="6">
                  <c:v>Vkanc</c:v>
                </c:pt>
                <c:pt idx="7">
                  <c:v>VM</c:v>
                </c:pt>
                <c:pt idx="8">
                  <c:v>KM</c:v>
                </c:pt>
                <c:pt idx="9">
                  <c:v>SAM</c:v>
                </c:pt>
                <c:pt idx="10">
                  <c:v>FM</c:v>
                </c:pt>
                <c:pt idx="11">
                  <c:v>EM</c:v>
                </c:pt>
                <c:pt idx="12">
                  <c:v>VARAM</c:v>
                </c:pt>
                <c:pt idx="13">
                  <c:v>PKC</c:v>
                </c:pt>
                <c:pt idx="14">
                  <c:v>TM</c:v>
                </c:pt>
              </c:strCache>
            </c:strRef>
          </c:cat>
          <c:val>
            <c:numRef>
              <c:f>tab!$Y$2:$Y$16</c:f>
              <c:numCache>
                <c:formatCode>0%</c:formatCode>
                <c:ptCount val="15"/>
                <c:pt idx="0">
                  <c:v>1</c:v>
                </c:pt>
                <c:pt idx="1">
                  <c:v>0.97</c:v>
                </c:pt>
                <c:pt idx="2">
                  <c:v>0.95</c:v>
                </c:pt>
                <c:pt idx="3">
                  <c:v>0.95</c:v>
                </c:pt>
                <c:pt idx="4">
                  <c:v>0.93</c:v>
                </c:pt>
                <c:pt idx="5">
                  <c:v>0.92</c:v>
                </c:pt>
                <c:pt idx="6">
                  <c:v>0.91</c:v>
                </c:pt>
                <c:pt idx="7">
                  <c:v>0.91</c:v>
                </c:pt>
                <c:pt idx="8">
                  <c:v>0.9</c:v>
                </c:pt>
                <c:pt idx="9">
                  <c:v>0.9</c:v>
                </c:pt>
                <c:pt idx="10">
                  <c:v>0.89</c:v>
                </c:pt>
                <c:pt idx="11">
                  <c:v>0.88</c:v>
                </c:pt>
                <c:pt idx="12">
                  <c:v>0.85</c:v>
                </c:pt>
                <c:pt idx="13">
                  <c:v>0.85</c:v>
                </c:pt>
                <c:pt idx="14">
                  <c:v>0.83</c:v>
                </c:pt>
              </c:numCache>
            </c:numRef>
          </c:val>
          <c:extLst>
            <c:ext xmlns:c16="http://schemas.microsoft.com/office/drawing/2014/chart" uri="{C3380CC4-5D6E-409C-BE32-E72D297353CC}">
              <c16:uniqueId val="{00000004-5DFE-486D-BD64-58AF553C8CB4}"/>
            </c:ext>
          </c:extLst>
        </c:ser>
        <c:ser>
          <c:idx val="1"/>
          <c:order val="1"/>
          <c:tx>
            <c:strRef>
              <c:f>tab!$Z$1</c:f>
              <c:strCache>
                <c:ptCount val="1"/>
                <c:pt idx="0">
                  <c:v>Piemaksu īpatsvars pret algu, %</c:v>
                </c:pt>
              </c:strCache>
            </c:strRef>
          </c:tx>
          <c:spPr>
            <a:solidFill>
              <a:schemeClr val="accent2"/>
            </a:solidFill>
            <a:ln>
              <a:noFill/>
            </a:ln>
            <a:effectLst/>
          </c:spPr>
          <c:invertIfNegative val="0"/>
          <c:dLbls>
            <c:dLbl>
              <c:idx val="0"/>
              <c:layout>
                <c:manualLayout>
                  <c:x val="1.3654618992048281E-3"/>
                  <c:y val="1.04523497129060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FE-486D-BD64-58AF553C8CB4}"/>
                </c:ext>
              </c:extLst>
            </c:dLbl>
            <c:dLbl>
              <c:idx val="5"/>
              <c:layout>
                <c:manualLayout>
                  <c:x val="1.365461899204778E-3"/>
                  <c:y val="4.18093988516242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DFE-486D-BD64-58AF553C8CB4}"/>
                </c:ext>
              </c:extLst>
            </c:dLbl>
            <c:dLbl>
              <c:idx val="6"/>
              <c:layout>
                <c:manualLayout>
                  <c:x val="1.3654618992048281E-3"/>
                  <c:y val="-4.18093988516242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DFE-486D-BD64-58AF553C8CB4}"/>
                </c:ext>
              </c:extLst>
            </c:dLbl>
            <c:dLbl>
              <c:idx val="7"/>
              <c:layout>
                <c:manualLayout>
                  <c:x val="1.3344205167566819E-3"/>
                  <c:y val="-1.6082589676290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DFE-486D-BD64-58AF553C8CB4}"/>
                </c:ext>
              </c:extLst>
            </c:dLbl>
            <c:dLbl>
              <c:idx val="11"/>
              <c:layout>
                <c:manualLayout>
                  <c:x val="-1.0013271586667571E-16"/>
                  <c:y val="1.04523497129060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DFE-486D-BD64-58AF553C8CB4}"/>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tab!$X$2:$X$16</c:f>
              <c:strCache>
                <c:ptCount val="15"/>
                <c:pt idx="0">
                  <c:v>AIM</c:v>
                </c:pt>
                <c:pt idx="1">
                  <c:v>ZM</c:v>
                </c:pt>
                <c:pt idx="2">
                  <c:v>IZM</c:v>
                </c:pt>
                <c:pt idx="3">
                  <c:v>LM</c:v>
                </c:pt>
                <c:pt idx="4">
                  <c:v>AM</c:v>
                </c:pt>
                <c:pt idx="5">
                  <c:v>IEM</c:v>
                </c:pt>
                <c:pt idx="6">
                  <c:v>Vkanc</c:v>
                </c:pt>
                <c:pt idx="7">
                  <c:v>VM</c:v>
                </c:pt>
                <c:pt idx="8">
                  <c:v>KM</c:v>
                </c:pt>
                <c:pt idx="9">
                  <c:v>SAM</c:v>
                </c:pt>
                <c:pt idx="10">
                  <c:v>FM</c:v>
                </c:pt>
                <c:pt idx="11">
                  <c:v>EM</c:v>
                </c:pt>
                <c:pt idx="12">
                  <c:v>VARAM</c:v>
                </c:pt>
                <c:pt idx="13">
                  <c:v>PKC</c:v>
                </c:pt>
                <c:pt idx="14">
                  <c:v>TM</c:v>
                </c:pt>
              </c:strCache>
            </c:strRef>
          </c:cat>
          <c:val>
            <c:numRef>
              <c:f>tab!$Z$2:$Z$16</c:f>
              <c:numCache>
                <c:formatCode>0%</c:formatCode>
                <c:ptCount val="15"/>
                <c:pt idx="0">
                  <c:v>0.13</c:v>
                </c:pt>
                <c:pt idx="1">
                  <c:v>0.33</c:v>
                </c:pt>
                <c:pt idx="2">
                  <c:v>0.09</c:v>
                </c:pt>
                <c:pt idx="3">
                  <c:v>0.08</c:v>
                </c:pt>
                <c:pt idx="4">
                  <c:v>0.14000000000000001</c:v>
                </c:pt>
                <c:pt idx="5">
                  <c:v>0.17</c:v>
                </c:pt>
                <c:pt idx="6">
                  <c:v>0.14000000000000001</c:v>
                </c:pt>
                <c:pt idx="7">
                  <c:v>0.13</c:v>
                </c:pt>
                <c:pt idx="8">
                  <c:v>0.23</c:v>
                </c:pt>
                <c:pt idx="9">
                  <c:v>7.0000000000000007E-2</c:v>
                </c:pt>
                <c:pt idx="10">
                  <c:v>0.26</c:v>
                </c:pt>
                <c:pt idx="11">
                  <c:v>0.13</c:v>
                </c:pt>
                <c:pt idx="12">
                  <c:v>0.2</c:v>
                </c:pt>
                <c:pt idx="13">
                  <c:v>0.14000000000000001</c:v>
                </c:pt>
                <c:pt idx="14">
                  <c:v>0.15</c:v>
                </c:pt>
              </c:numCache>
            </c:numRef>
          </c:val>
          <c:extLst>
            <c:ext xmlns:c16="http://schemas.microsoft.com/office/drawing/2014/chart" uri="{C3380CC4-5D6E-409C-BE32-E72D297353CC}">
              <c16:uniqueId val="{0000000A-5DFE-486D-BD64-58AF553C8CB4}"/>
            </c:ext>
          </c:extLst>
        </c:ser>
        <c:dLbls>
          <c:showLegendKey val="0"/>
          <c:showVal val="0"/>
          <c:showCatName val="0"/>
          <c:showSerName val="0"/>
          <c:showPercent val="0"/>
          <c:showBubbleSize val="0"/>
        </c:dLbls>
        <c:gapWidth val="80"/>
        <c:axId val="431763912"/>
        <c:axId val="234933744"/>
      </c:barChart>
      <c:lineChart>
        <c:grouping val="standard"/>
        <c:varyColors val="0"/>
        <c:ser>
          <c:idx val="2"/>
          <c:order val="2"/>
          <c:tx>
            <c:strRef>
              <c:f>tab!$AA$1</c:f>
              <c:strCache>
                <c:ptCount val="1"/>
                <c:pt idx="0">
                  <c:v>Mēnešalga pret skalas MAX vidēji ministriju CA, Vkanc un PKC</c:v>
                </c:pt>
              </c:strCache>
            </c:strRef>
          </c:tx>
          <c:spPr>
            <a:ln w="25400" cap="rnd">
              <a:solidFill>
                <a:srgbClr val="0070C0"/>
              </a:solidFill>
              <a:round/>
            </a:ln>
            <a:effectLst>
              <a:outerShdw blurRad="38100" dist="12700" dir="5400000" algn="ctr" rotWithShape="0">
                <a:schemeClr val="bg1"/>
              </a:outerShdw>
              <a:softEdge rad="0"/>
            </a:effectLst>
          </c:spPr>
          <c:marker>
            <c:symbol val="none"/>
          </c:marker>
          <c:dLbls>
            <c:dLbl>
              <c:idx val="13"/>
              <c:layout>
                <c:manualLayout>
                  <c:x val="-0.1122588401541824"/>
                  <c:y val="-0.14177963745911071"/>
                </c:manualLayout>
              </c:layout>
              <c:tx>
                <c:rich>
                  <a:bodyPr/>
                  <a:lstStyle/>
                  <a:p>
                    <a:fld id="{23C889AE-EB4F-4BCF-A43D-180AD52BD09C}" type="SERIESNAME">
                      <a:rPr lang="en-US"/>
                      <a:pPr/>
                      <a:t>[SERIES NAME]</a:t>
                    </a:fld>
                    <a:r>
                      <a:rPr lang="en-US"/>
                      <a:t>; </a:t>
                    </a:r>
                    <a:fld id="{E7ADDD41-85AB-483F-8A96-6F9FAB185DAE}" type="VALUE">
                      <a:rPr lang="en-US"/>
                      <a:pPr/>
                      <a:t>[VALUE]</a:t>
                    </a:fld>
                    <a:endParaRPr lang="en-US"/>
                  </a:p>
                </c:rich>
              </c:tx>
              <c:showLegendKey val="0"/>
              <c:showVal val="1"/>
              <c:showCatName val="0"/>
              <c:showSerName val="1"/>
              <c:showPercent val="0"/>
              <c:showBubbleSize val="0"/>
              <c:separator>
</c:separator>
              <c:extLst>
                <c:ext xmlns:c15="http://schemas.microsoft.com/office/drawing/2012/chart" uri="{CE6537A1-D6FC-4f65-9D91-7224C49458BB}">
                  <c15:layout>
                    <c:manualLayout>
                      <c:w val="0.38529930553959341"/>
                      <c:h val="0.15662697335246886"/>
                    </c:manualLayout>
                  </c15:layout>
                  <c15:dlblFieldTable/>
                  <c15:showDataLabelsRange val="0"/>
                </c:ext>
                <c:ext xmlns:c16="http://schemas.microsoft.com/office/drawing/2014/chart" uri="{C3380CC4-5D6E-409C-BE32-E72D297353CC}">
                  <c16:uniqueId val="{0000000B-5DFE-486D-BD64-58AF553C8CB4}"/>
                </c:ext>
              </c:extLst>
            </c:dLbl>
            <c:spPr>
              <a:solidFill>
                <a:schemeClr val="bg1"/>
              </a:solidFill>
              <a:ln>
                <a:solidFill>
                  <a:srgbClr val="0070C0"/>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rgbClr val="0070C0"/>
                      </a:solidFill>
                      <a:round/>
                    </a:ln>
                    <a:effectLst/>
                  </c:spPr>
                </c15:leaderLines>
              </c:ext>
            </c:extLst>
          </c:dLbls>
          <c:cat>
            <c:strRef>
              <c:f>tab!$X$2:$X$16</c:f>
              <c:strCache>
                <c:ptCount val="15"/>
                <c:pt idx="0">
                  <c:v>AIM</c:v>
                </c:pt>
                <c:pt idx="1">
                  <c:v>ZM</c:v>
                </c:pt>
                <c:pt idx="2">
                  <c:v>IZM</c:v>
                </c:pt>
                <c:pt idx="3">
                  <c:v>LM</c:v>
                </c:pt>
                <c:pt idx="4">
                  <c:v>AM</c:v>
                </c:pt>
                <c:pt idx="5">
                  <c:v>IEM</c:v>
                </c:pt>
                <c:pt idx="6">
                  <c:v>Vkanc</c:v>
                </c:pt>
                <c:pt idx="7">
                  <c:v>VM</c:v>
                </c:pt>
                <c:pt idx="8">
                  <c:v>KM</c:v>
                </c:pt>
                <c:pt idx="9">
                  <c:v>SAM</c:v>
                </c:pt>
                <c:pt idx="10">
                  <c:v>FM</c:v>
                </c:pt>
                <c:pt idx="11">
                  <c:v>EM</c:v>
                </c:pt>
                <c:pt idx="12">
                  <c:v>VARAM</c:v>
                </c:pt>
                <c:pt idx="13">
                  <c:v>PKC</c:v>
                </c:pt>
                <c:pt idx="14">
                  <c:v>TM</c:v>
                </c:pt>
              </c:strCache>
            </c:strRef>
          </c:cat>
          <c:val>
            <c:numRef>
              <c:f>tab!$AA$2:$AA$16</c:f>
              <c:numCache>
                <c:formatCode>0%</c:formatCode>
                <c:ptCount val="15"/>
                <c:pt idx="0">
                  <c:v>0.91</c:v>
                </c:pt>
                <c:pt idx="1">
                  <c:v>0.91</c:v>
                </c:pt>
                <c:pt idx="2">
                  <c:v>0.91</c:v>
                </c:pt>
                <c:pt idx="3">
                  <c:v>0.91</c:v>
                </c:pt>
                <c:pt idx="4">
                  <c:v>0.91</c:v>
                </c:pt>
                <c:pt idx="5">
                  <c:v>0.91</c:v>
                </c:pt>
                <c:pt idx="6">
                  <c:v>0.91</c:v>
                </c:pt>
                <c:pt idx="7">
                  <c:v>0.91</c:v>
                </c:pt>
                <c:pt idx="8">
                  <c:v>0.91</c:v>
                </c:pt>
                <c:pt idx="9">
                  <c:v>0.91</c:v>
                </c:pt>
                <c:pt idx="10">
                  <c:v>0.91</c:v>
                </c:pt>
                <c:pt idx="11">
                  <c:v>0.91</c:v>
                </c:pt>
                <c:pt idx="12">
                  <c:v>0.91</c:v>
                </c:pt>
                <c:pt idx="13">
                  <c:v>0.91</c:v>
                </c:pt>
                <c:pt idx="14">
                  <c:v>0.91</c:v>
                </c:pt>
              </c:numCache>
            </c:numRef>
          </c:val>
          <c:smooth val="0"/>
          <c:extLst>
            <c:ext xmlns:c16="http://schemas.microsoft.com/office/drawing/2014/chart" uri="{C3380CC4-5D6E-409C-BE32-E72D297353CC}">
              <c16:uniqueId val="{0000000C-5DFE-486D-BD64-58AF553C8CB4}"/>
            </c:ext>
          </c:extLst>
        </c:ser>
        <c:ser>
          <c:idx val="3"/>
          <c:order val="3"/>
          <c:tx>
            <c:strRef>
              <c:f>tab!$AB$1</c:f>
              <c:strCache>
                <c:ptCount val="1"/>
                <c:pt idx="0">
                  <c:v>Piemaksu īpatsvars pret algu vidēji ministriju CA, Vkanc un PKC</c:v>
                </c:pt>
              </c:strCache>
            </c:strRef>
          </c:tx>
          <c:spPr>
            <a:ln w="25400" cap="rnd">
              <a:solidFill>
                <a:srgbClr val="C00000"/>
              </a:solidFill>
              <a:round/>
            </a:ln>
            <a:effectLst/>
          </c:spPr>
          <c:marker>
            <c:symbol val="none"/>
          </c:marker>
          <c:dLbls>
            <c:dLbl>
              <c:idx val="9"/>
              <c:layout>
                <c:manualLayout>
                  <c:x val="-0.18600725515830613"/>
                  <c:y val="-0.14795592881043657"/>
                </c:manualLayout>
              </c:layout>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4C6F96FE-12B2-4922-93D7-E2909CEF4F8A}" type="SERIESNAME">
                      <a:rPr lang="en-US"/>
                      <a:pPr>
                        <a:defRPr/>
                      </a:pPr>
                      <a:t>[SERIES NAME]</a:t>
                    </a:fld>
                    <a:r>
                      <a:rPr lang="en-US"/>
                      <a:t>; </a:t>
                    </a:r>
                    <a:fld id="{F8CFF480-6EE9-49A1-8655-3AA8DACACBAC}" type="VALUE">
                      <a:rPr lang="en-US"/>
                      <a:pPr>
                        <a:defRPr/>
                      </a:pPr>
                      <a:t>[VALUE]</a:t>
                    </a:fld>
                    <a:endParaRPr lang="en-US"/>
                  </a:p>
                </c:rich>
              </c:tx>
              <c:spPr>
                <a:solidFill>
                  <a:schemeClr val="bg1"/>
                </a:solidFill>
                <a:ln>
                  <a:solidFill>
                    <a:srgbClr val="C00000"/>
                  </a:solid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1"/>
              <c:showPercent val="0"/>
              <c:showBubbleSize val="0"/>
              <c:separator>
</c:separator>
              <c:extLst>
                <c:ext xmlns:c15="http://schemas.microsoft.com/office/drawing/2012/chart" uri="{CE6537A1-D6FC-4f65-9D91-7224C49458BB}">
                  <c15:layout>
                    <c:manualLayout>
                      <c:w val="0.38807714426144041"/>
                      <c:h val="0.15447877755790548"/>
                    </c:manualLayout>
                  </c15:layout>
                  <c15:dlblFieldTable/>
                  <c15:showDataLabelsRange val="0"/>
                </c:ext>
                <c:ext xmlns:c16="http://schemas.microsoft.com/office/drawing/2014/chart" uri="{C3380CC4-5D6E-409C-BE32-E72D297353CC}">
                  <c16:uniqueId val="{0000000D-5DFE-486D-BD64-58AF553C8CB4}"/>
                </c:ext>
              </c:extLst>
            </c:dLbl>
            <c:spPr>
              <a:noFill/>
              <a:ln>
                <a:solidFill>
                  <a:srgbClr val="C00000"/>
                </a:solid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rgbClr val="C00000"/>
                      </a:solidFill>
                      <a:round/>
                    </a:ln>
                    <a:effectLst/>
                  </c:spPr>
                </c15:leaderLines>
              </c:ext>
            </c:extLst>
          </c:dLbls>
          <c:cat>
            <c:strRef>
              <c:f>tab!$X$2:$X$16</c:f>
              <c:strCache>
                <c:ptCount val="15"/>
                <c:pt idx="0">
                  <c:v>AIM</c:v>
                </c:pt>
                <c:pt idx="1">
                  <c:v>ZM</c:v>
                </c:pt>
                <c:pt idx="2">
                  <c:v>IZM</c:v>
                </c:pt>
                <c:pt idx="3">
                  <c:v>LM</c:v>
                </c:pt>
                <c:pt idx="4">
                  <c:v>AM</c:v>
                </c:pt>
                <c:pt idx="5">
                  <c:v>IEM</c:v>
                </c:pt>
                <c:pt idx="6">
                  <c:v>Vkanc</c:v>
                </c:pt>
                <c:pt idx="7">
                  <c:v>VM</c:v>
                </c:pt>
                <c:pt idx="8">
                  <c:v>KM</c:v>
                </c:pt>
                <c:pt idx="9">
                  <c:v>SAM</c:v>
                </c:pt>
                <c:pt idx="10">
                  <c:v>FM</c:v>
                </c:pt>
                <c:pt idx="11">
                  <c:v>EM</c:v>
                </c:pt>
                <c:pt idx="12">
                  <c:v>VARAM</c:v>
                </c:pt>
                <c:pt idx="13">
                  <c:v>PKC</c:v>
                </c:pt>
                <c:pt idx="14">
                  <c:v>TM</c:v>
                </c:pt>
              </c:strCache>
            </c:strRef>
          </c:cat>
          <c:val>
            <c:numRef>
              <c:f>tab!$AB$2:$AB$16</c:f>
              <c:numCache>
                <c:formatCode>0%</c:formatCode>
                <c:ptCount val="15"/>
                <c:pt idx="0">
                  <c:v>0.16</c:v>
                </c:pt>
                <c:pt idx="1">
                  <c:v>0.16</c:v>
                </c:pt>
                <c:pt idx="2">
                  <c:v>0.16</c:v>
                </c:pt>
                <c:pt idx="3">
                  <c:v>0.16</c:v>
                </c:pt>
                <c:pt idx="4">
                  <c:v>0.16</c:v>
                </c:pt>
                <c:pt idx="5">
                  <c:v>0.16</c:v>
                </c:pt>
                <c:pt idx="6">
                  <c:v>0.16</c:v>
                </c:pt>
                <c:pt idx="7">
                  <c:v>0.16</c:v>
                </c:pt>
                <c:pt idx="8">
                  <c:v>0.16</c:v>
                </c:pt>
                <c:pt idx="9">
                  <c:v>0.16</c:v>
                </c:pt>
                <c:pt idx="10">
                  <c:v>0.16</c:v>
                </c:pt>
                <c:pt idx="11">
                  <c:v>0.16</c:v>
                </c:pt>
                <c:pt idx="12">
                  <c:v>0.16</c:v>
                </c:pt>
                <c:pt idx="13">
                  <c:v>0.16</c:v>
                </c:pt>
                <c:pt idx="14">
                  <c:v>0.16</c:v>
                </c:pt>
              </c:numCache>
            </c:numRef>
          </c:val>
          <c:smooth val="0"/>
          <c:extLst>
            <c:ext xmlns:c16="http://schemas.microsoft.com/office/drawing/2014/chart" uri="{C3380CC4-5D6E-409C-BE32-E72D297353CC}">
              <c16:uniqueId val="{0000000E-5DFE-486D-BD64-58AF553C8CB4}"/>
            </c:ext>
          </c:extLst>
        </c:ser>
        <c:dLbls>
          <c:showLegendKey val="0"/>
          <c:showVal val="0"/>
          <c:showCatName val="0"/>
          <c:showSerName val="0"/>
          <c:showPercent val="0"/>
          <c:showBubbleSize val="0"/>
        </c:dLbls>
        <c:marker val="1"/>
        <c:smooth val="0"/>
        <c:axId val="431763912"/>
        <c:axId val="234933744"/>
      </c:lineChart>
      <c:catAx>
        <c:axId val="431763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4933744"/>
        <c:crosses val="autoZero"/>
        <c:auto val="1"/>
        <c:lblAlgn val="ctr"/>
        <c:lblOffset val="100"/>
        <c:noMultiLvlLbl val="0"/>
      </c:catAx>
      <c:valAx>
        <c:axId val="234933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31763912"/>
        <c:crosses val="autoZero"/>
        <c:crossBetween val="between"/>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730172826012706E-2"/>
          <c:y val="5.6552337737443829E-2"/>
          <c:w val="0.92383231004071065"/>
          <c:h val="0.65218501003320939"/>
        </c:manualLayout>
      </c:layout>
      <c:barChart>
        <c:barDir val="col"/>
        <c:grouping val="percentStacked"/>
        <c:varyColors val="0"/>
        <c:ser>
          <c:idx val="0"/>
          <c:order val="0"/>
          <c:tx>
            <c:strRef>
              <c:f>tab!$C$4</c:f>
              <c:strCache>
                <c:ptCount val="1"/>
                <c:pt idx="0">
                  <c:v>Pārējais personāls %  no kopējo amata vietu skaita</c:v>
                </c:pt>
              </c:strCache>
            </c:strRef>
          </c:tx>
          <c:spPr>
            <a:solidFill>
              <a:srgbClr val="0070C0"/>
            </a:solidFill>
            <a:ln>
              <a:noFill/>
            </a:ln>
            <a:effectLst/>
          </c:spPr>
          <c:invertIfNegative val="0"/>
          <c:dLbls>
            <c:spPr>
              <a:noFill/>
              <a:ln>
                <a:noFill/>
              </a:ln>
              <a:effectLst/>
            </c:spPr>
            <c:txPr>
              <a:bodyPr rot="-5400000" spcFirstLastPara="1" vertOverflow="ellipsis"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tab!$A$5:$B$55</c:f>
              <c:multiLvlStrCache>
                <c:ptCount val="51"/>
                <c:lvl>
                  <c:pt idx="0">
                    <c:v>2014.g.</c:v>
                  </c:pt>
                  <c:pt idx="1">
                    <c:v>2015.g.</c:v>
                  </c:pt>
                  <c:pt idx="2">
                    <c:v>2016.g.</c:v>
                  </c:pt>
                  <c:pt idx="4">
                    <c:v>2014.g.</c:v>
                  </c:pt>
                  <c:pt idx="5">
                    <c:v>2015.g.</c:v>
                  </c:pt>
                  <c:pt idx="6">
                    <c:v>2016.g.</c:v>
                  </c:pt>
                  <c:pt idx="8">
                    <c:v>2014.g.</c:v>
                  </c:pt>
                  <c:pt idx="9">
                    <c:v>2015.g.</c:v>
                  </c:pt>
                  <c:pt idx="10">
                    <c:v>2016.g.</c:v>
                  </c:pt>
                  <c:pt idx="12">
                    <c:v>2014.g.</c:v>
                  </c:pt>
                  <c:pt idx="13">
                    <c:v>2015.g.</c:v>
                  </c:pt>
                  <c:pt idx="14">
                    <c:v>2016.g.</c:v>
                  </c:pt>
                  <c:pt idx="16">
                    <c:v>2014.g.</c:v>
                  </c:pt>
                  <c:pt idx="17">
                    <c:v>2015.g.</c:v>
                  </c:pt>
                  <c:pt idx="18">
                    <c:v>2016.g.</c:v>
                  </c:pt>
                  <c:pt idx="20">
                    <c:v>2014.g.</c:v>
                  </c:pt>
                  <c:pt idx="21">
                    <c:v>2015.g.</c:v>
                  </c:pt>
                  <c:pt idx="22">
                    <c:v>2016.g.</c:v>
                  </c:pt>
                  <c:pt idx="24">
                    <c:v>2014.g.</c:v>
                  </c:pt>
                  <c:pt idx="25">
                    <c:v>2015.g.</c:v>
                  </c:pt>
                  <c:pt idx="26">
                    <c:v>2016.g.</c:v>
                  </c:pt>
                  <c:pt idx="28">
                    <c:v>2014.g.</c:v>
                  </c:pt>
                  <c:pt idx="29">
                    <c:v>2015.g.</c:v>
                  </c:pt>
                  <c:pt idx="30">
                    <c:v>2016.g.</c:v>
                  </c:pt>
                  <c:pt idx="32">
                    <c:v>2014.g.</c:v>
                  </c:pt>
                  <c:pt idx="33">
                    <c:v>2015.g.</c:v>
                  </c:pt>
                  <c:pt idx="34">
                    <c:v>2016.g.</c:v>
                  </c:pt>
                  <c:pt idx="36">
                    <c:v>2014.g.</c:v>
                  </c:pt>
                  <c:pt idx="37">
                    <c:v>2015.g.</c:v>
                  </c:pt>
                  <c:pt idx="38">
                    <c:v>2016.g.</c:v>
                  </c:pt>
                  <c:pt idx="40">
                    <c:v>2014.g.</c:v>
                  </c:pt>
                  <c:pt idx="41">
                    <c:v>2015.g.</c:v>
                  </c:pt>
                  <c:pt idx="42">
                    <c:v>2016.g.</c:v>
                  </c:pt>
                  <c:pt idx="44">
                    <c:v>2014.g.</c:v>
                  </c:pt>
                  <c:pt idx="45">
                    <c:v>2015.g.</c:v>
                  </c:pt>
                  <c:pt idx="46">
                    <c:v>2016.g.</c:v>
                  </c:pt>
                  <c:pt idx="48">
                    <c:v>2014.g.</c:v>
                  </c:pt>
                  <c:pt idx="49">
                    <c:v>2015.g.</c:v>
                  </c:pt>
                  <c:pt idx="50">
                    <c:v>2016.g.</c:v>
                  </c:pt>
                </c:lvl>
                <c:lvl>
                  <c:pt idx="0">
                    <c:v>IZM</c:v>
                  </c:pt>
                  <c:pt idx="4">
                    <c:v>IEM</c:v>
                  </c:pt>
                  <c:pt idx="8">
                    <c:v>VM</c:v>
                  </c:pt>
                  <c:pt idx="12">
                    <c:v>LM</c:v>
                  </c:pt>
                  <c:pt idx="16">
                    <c:v>KM</c:v>
                  </c:pt>
                  <c:pt idx="20">
                    <c:v>SAM</c:v>
                  </c:pt>
                  <c:pt idx="24">
                    <c:v>AIM</c:v>
                  </c:pt>
                  <c:pt idx="28">
                    <c:v>ZM</c:v>
                  </c:pt>
                  <c:pt idx="32">
                    <c:v>EM</c:v>
                  </c:pt>
                  <c:pt idx="36">
                    <c:v>TM</c:v>
                  </c:pt>
                  <c:pt idx="40">
                    <c:v>VARAM</c:v>
                  </c:pt>
                  <c:pt idx="44">
                    <c:v>ĀM</c:v>
                  </c:pt>
                  <c:pt idx="48">
                    <c:v>FM</c:v>
                  </c:pt>
                </c:lvl>
              </c:multiLvlStrCache>
            </c:multiLvlStrRef>
          </c:cat>
          <c:val>
            <c:numRef>
              <c:f>tab!$C$5:$C$55</c:f>
              <c:numCache>
                <c:formatCode>0%</c:formatCode>
                <c:ptCount val="51"/>
                <c:pt idx="0">
                  <c:v>0.83</c:v>
                </c:pt>
                <c:pt idx="1">
                  <c:v>0.85</c:v>
                </c:pt>
                <c:pt idx="2">
                  <c:v>0.85</c:v>
                </c:pt>
                <c:pt idx="4">
                  <c:v>0.8</c:v>
                </c:pt>
                <c:pt idx="5">
                  <c:v>0.82</c:v>
                </c:pt>
                <c:pt idx="6">
                  <c:v>0.8</c:v>
                </c:pt>
                <c:pt idx="8">
                  <c:v>0.7</c:v>
                </c:pt>
                <c:pt idx="9">
                  <c:v>0.72</c:v>
                </c:pt>
                <c:pt idx="10">
                  <c:v>0.72</c:v>
                </c:pt>
                <c:pt idx="12">
                  <c:v>0.8</c:v>
                </c:pt>
                <c:pt idx="13">
                  <c:v>0.82</c:v>
                </c:pt>
                <c:pt idx="14">
                  <c:v>0.85</c:v>
                </c:pt>
                <c:pt idx="16">
                  <c:v>0.74</c:v>
                </c:pt>
                <c:pt idx="17">
                  <c:v>0.76</c:v>
                </c:pt>
                <c:pt idx="18">
                  <c:v>0.74</c:v>
                </c:pt>
                <c:pt idx="20">
                  <c:v>0.75</c:v>
                </c:pt>
                <c:pt idx="21">
                  <c:v>0.76</c:v>
                </c:pt>
                <c:pt idx="22">
                  <c:v>0.75</c:v>
                </c:pt>
                <c:pt idx="24">
                  <c:v>0.78</c:v>
                </c:pt>
                <c:pt idx="25">
                  <c:v>0.78</c:v>
                </c:pt>
                <c:pt idx="26">
                  <c:v>0.8</c:v>
                </c:pt>
                <c:pt idx="28">
                  <c:v>0.66</c:v>
                </c:pt>
                <c:pt idx="29">
                  <c:v>0.68</c:v>
                </c:pt>
                <c:pt idx="30">
                  <c:v>0.67</c:v>
                </c:pt>
                <c:pt idx="32">
                  <c:v>0.69</c:v>
                </c:pt>
                <c:pt idx="33">
                  <c:v>0.68</c:v>
                </c:pt>
                <c:pt idx="34">
                  <c:v>0.67</c:v>
                </c:pt>
                <c:pt idx="36">
                  <c:v>0.79</c:v>
                </c:pt>
                <c:pt idx="37">
                  <c:v>0.78</c:v>
                </c:pt>
                <c:pt idx="38">
                  <c:v>0.79</c:v>
                </c:pt>
                <c:pt idx="40">
                  <c:v>0.78</c:v>
                </c:pt>
                <c:pt idx="41">
                  <c:v>0.78</c:v>
                </c:pt>
                <c:pt idx="42">
                  <c:v>0.75</c:v>
                </c:pt>
                <c:pt idx="44">
                  <c:v>0.84</c:v>
                </c:pt>
                <c:pt idx="45">
                  <c:v>0.83</c:v>
                </c:pt>
                <c:pt idx="46">
                  <c:v>0.81</c:v>
                </c:pt>
                <c:pt idx="48">
                  <c:v>0.69</c:v>
                </c:pt>
                <c:pt idx="49">
                  <c:v>0.7</c:v>
                </c:pt>
                <c:pt idx="50">
                  <c:v>0.69</c:v>
                </c:pt>
              </c:numCache>
            </c:numRef>
          </c:val>
          <c:extLst>
            <c:ext xmlns:c16="http://schemas.microsoft.com/office/drawing/2014/chart" uri="{C3380CC4-5D6E-409C-BE32-E72D297353CC}">
              <c16:uniqueId val="{00000000-A650-4D9F-91F7-8AB01B5EE86D}"/>
            </c:ext>
          </c:extLst>
        </c:ser>
        <c:ser>
          <c:idx val="1"/>
          <c:order val="1"/>
          <c:tx>
            <c:strRef>
              <c:f>tab!$D$4</c:f>
              <c:strCache>
                <c:ptCount val="1"/>
                <c:pt idx="0">
                  <c:v>Vadības personāls % no kopējā amata vietu skaita</c:v>
                </c:pt>
              </c:strCache>
            </c:strRef>
          </c:tx>
          <c:spPr>
            <a:solidFill>
              <a:schemeClr val="accent2"/>
            </a:solidFill>
            <a:ln>
              <a:noFill/>
            </a:ln>
            <a:effectLst/>
          </c:spPr>
          <c:invertIfNegative val="0"/>
          <c:dLbls>
            <c:spPr>
              <a:noFill/>
              <a:ln>
                <a:noFill/>
              </a:ln>
              <a:effectLst/>
            </c:spPr>
            <c:txPr>
              <a:bodyPr rot="-540000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tab!$A$5:$B$55</c:f>
              <c:multiLvlStrCache>
                <c:ptCount val="51"/>
                <c:lvl>
                  <c:pt idx="0">
                    <c:v>2014.g.</c:v>
                  </c:pt>
                  <c:pt idx="1">
                    <c:v>2015.g.</c:v>
                  </c:pt>
                  <c:pt idx="2">
                    <c:v>2016.g.</c:v>
                  </c:pt>
                  <c:pt idx="4">
                    <c:v>2014.g.</c:v>
                  </c:pt>
                  <c:pt idx="5">
                    <c:v>2015.g.</c:v>
                  </c:pt>
                  <c:pt idx="6">
                    <c:v>2016.g.</c:v>
                  </c:pt>
                  <c:pt idx="8">
                    <c:v>2014.g.</c:v>
                  </c:pt>
                  <c:pt idx="9">
                    <c:v>2015.g.</c:v>
                  </c:pt>
                  <c:pt idx="10">
                    <c:v>2016.g.</c:v>
                  </c:pt>
                  <c:pt idx="12">
                    <c:v>2014.g.</c:v>
                  </c:pt>
                  <c:pt idx="13">
                    <c:v>2015.g.</c:v>
                  </c:pt>
                  <c:pt idx="14">
                    <c:v>2016.g.</c:v>
                  </c:pt>
                  <c:pt idx="16">
                    <c:v>2014.g.</c:v>
                  </c:pt>
                  <c:pt idx="17">
                    <c:v>2015.g.</c:v>
                  </c:pt>
                  <c:pt idx="18">
                    <c:v>2016.g.</c:v>
                  </c:pt>
                  <c:pt idx="20">
                    <c:v>2014.g.</c:v>
                  </c:pt>
                  <c:pt idx="21">
                    <c:v>2015.g.</c:v>
                  </c:pt>
                  <c:pt idx="22">
                    <c:v>2016.g.</c:v>
                  </c:pt>
                  <c:pt idx="24">
                    <c:v>2014.g.</c:v>
                  </c:pt>
                  <c:pt idx="25">
                    <c:v>2015.g.</c:v>
                  </c:pt>
                  <c:pt idx="26">
                    <c:v>2016.g.</c:v>
                  </c:pt>
                  <c:pt idx="28">
                    <c:v>2014.g.</c:v>
                  </c:pt>
                  <c:pt idx="29">
                    <c:v>2015.g.</c:v>
                  </c:pt>
                  <c:pt idx="30">
                    <c:v>2016.g.</c:v>
                  </c:pt>
                  <c:pt idx="32">
                    <c:v>2014.g.</c:v>
                  </c:pt>
                  <c:pt idx="33">
                    <c:v>2015.g.</c:v>
                  </c:pt>
                  <c:pt idx="34">
                    <c:v>2016.g.</c:v>
                  </c:pt>
                  <c:pt idx="36">
                    <c:v>2014.g.</c:v>
                  </c:pt>
                  <c:pt idx="37">
                    <c:v>2015.g.</c:v>
                  </c:pt>
                  <c:pt idx="38">
                    <c:v>2016.g.</c:v>
                  </c:pt>
                  <c:pt idx="40">
                    <c:v>2014.g.</c:v>
                  </c:pt>
                  <c:pt idx="41">
                    <c:v>2015.g.</c:v>
                  </c:pt>
                  <c:pt idx="42">
                    <c:v>2016.g.</c:v>
                  </c:pt>
                  <c:pt idx="44">
                    <c:v>2014.g.</c:v>
                  </c:pt>
                  <c:pt idx="45">
                    <c:v>2015.g.</c:v>
                  </c:pt>
                  <c:pt idx="46">
                    <c:v>2016.g.</c:v>
                  </c:pt>
                  <c:pt idx="48">
                    <c:v>2014.g.</c:v>
                  </c:pt>
                  <c:pt idx="49">
                    <c:v>2015.g.</c:v>
                  </c:pt>
                  <c:pt idx="50">
                    <c:v>2016.g.</c:v>
                  </c:pt>
                </c:lvl>
                <c:lvl>
                  <c:pt idx="0">
                    <c:v>IZM</c:v>
                  </c:pt>
                  <c:pt idx="4">
                    <c:v>IEM</c:v>
                  </c:pt>
                  <c:pt idx="8">
                    <c:v>VM</c:v>
                  </c:pt>
                  <c:pt idx="12">
                    <c:v>LM</c:v>
                  </c:pt>
                  <c:pt idx="16">
                    <c:v>KM</c:v>
                  </c:pt>
                  <c:pt idx="20">
                    <c:v>SAM</c:v>
                  </c:pt>
                  <c:pt idx="24">
                    <c:v>AIM</c:v>
                  </c:pt>
                  <c:pt idx="28">
                    <c:v>ZM</c:v>
                  </c:pt>
                  <c:pt idx="32">
                    <c:v>EM</c:v>
                  </c:pt>
                  <c:pt idx="36">
                    <c:v>TM</c:v>
                  </c:pt>
                  <c:pt idx="40">
                    <c:v>VARAM</c:v>
                  </c:pt>
                  <c:pt idx="44">
                    <c:v>ĀM</c:v>
                  </c:pt>
                  <c:pt idx="48">
                    <c:v>FM</c:v>
                  </c:pt>
                </c:lvl>
              </c:multiLvlStrCache>
            </c:multiLvlStrRef>
          </c:cat>
          <c:val>
            <c:numRef>
              <c:f>tab!$D$5:$D$55</c:f>
              <c:numCache>
                <c:formatCode>0%</c:formatCode>
                <c:ptCount val="51"/>
                <c:pt idx="0">
                  <c:v>0.17</c:v>
                </c:pt>
                <c:pt idx="1">
                  <c:v>0.15</c:v>
                </c:pt>
                <c:pt idx="2">
                  <c:v>0.15</c:v>
                </c:pt>
                <c:pt idx="4">
                  <c:v>0.2</c:v>
                </c:pt>
                <c:pt idx="5">
                  <c:v>0.18</c:v>
                </c:pt>
                <c:pt idx="6">
                  <c:v>0.2</c:v>
                </c:pt>
                <c:pt idx="8">
                  <c:v>0.3</c:v>
                </c:pt>
                <c:pt idx="9">
                  <c:v>0.28000000000000003</c:v>
                </c:pt>
                <c:pt idx="10">
                  <c:v>0.28000000000000003</c:v>
                </c:pt>
                <c:pt idx="12">
                  <c:v>0.2</c:v>
                </c:pt>
                <c:pt idx="13">
                  <c:v>0.18</c:v>
                </c:pt>
                <c:pt idx="14">
                  <c:v>0.15</c:v>
                </c:pt>
                <c:pt idx="16">
                  <c:v>0.26</c:v>
                </c:pt>
                <c:pt idx="17">
                  <c:v>0.24</c:v>
                </c:pt>
                <c:pt idx="18">
                  <c:v>0.26</c:v>
                </c:pt>
                <c:pt idx="20">
                  <c:v>0.25</c:v>
                </c:pt>
                <c:pt idx="21">
                  <c:v>0.24</c:v>
                </c:pt>
                <c:pt idx="22">
                  <c:v>0.25</c:v>
                </c:pt>
                <c:pt idx="24">
                  <c:v>0.22</c:v>
                </c:pt>
                <c:pt idx="25">
                  <c:v>0.22</c:v>
                </c:pt>
                <c:pt idx="26">
                  <c:v>0.2</c:v>
                </c:pt>
                <c:pt idx="28">
                  <c:v>0.34</c:v>
                </c:pt>
                <c:pt idx="29">
                  <c:v>0.32</c:v>
                </c:pt>
                <c:pt idx="30">
                  <c:v>0.33</c:v>
                </c:pt>
                <c:pt idx="32">
                  <c:v>0.31</c:v>
                </c:pt>
                <c:pt idx="33">
                  <c:v>0.32</c:v>
                </c:pt>
                <c:pt idx="34">
                  <c:v>0.33</c:v>
                </c:pt>
                <c:pt idx="36">
                  <c:v>0.21</c:v>
                </c:pt>
                <c:pt idx="37">
                  <c:v>0.22</c:v>
                </c:pt>
                <c:pt idx="38">
                  <c:v>0.21</c:v>
                </c:pt>
                <c:pt idx="40">
                  <c:v>0.22</c:v>
                </c:pt>
                <c:pt idx="41">
                  <c:v>0.22</c:v>
                </c:pt>
                <c:pt idx="42">
                  <c:v>0.25</c:v>
                </c:pt>
                <c:pt idx="44">
                  <c:v>0.16</c:v>
                </c:pt>
                <c:pt idx="45">
                  <c:v>0.17</c:v>
                </c:pt>
                <c:pt idx="46">
                  <c:v>0.19</c:v>
                </c:pt>
                <c:pt idx="48">
                  <c:v>0.31</c:v>
                </c:pt>
                <c:pt idx="49">
                  <c:v>0.3</c:v>
                </c:pt>
                <c:pt idx="50">
                  <c:v>0.31</c:v>
                </c:pt>
              </c:numCache>
            </c:numRef>
          </c:val>
          <c:extLst>
            <c:ext xmlns:c16="http://schemas.microsoft.com/office/drawing/2014/chart" uri="{C3380CC4-5D6E-409C-BE32-E72D297353CC}">
              <c16:uniqueId val="{00000001-A650-4D9F-91F7-8AB01B5EE86D}"/>
            </c:ext>
          </c:extLst>
        </c:ser>
        <c:dLbls>
          <c:showLegendKey val="0"/>
          <c:showVal val="0"/>
          <c:showCatName val="0"/>
          <c:showSerName val="0"/>
          <c:showPercent val="0"/>
          <c:showBubbleSize val="0"/>
        </c:dLbls>
        <c:gapWidth val="10"/>
        <c:overlap val="100"/>
        <c:axId val="271183784"/>
        <c:axId val="271184176"/>
      </c:barChart>
      <c:barChart>
        <c:barDir val="col"/>
        <c:grouping val="clustered"/>
        <c:varyColors val="0"/>
        <c:ser>
          <c:idx val="2"/>
          <c:order val="2"/>
          <c:tx>
            <c:strRef>
              <c:f>tab!$E$4</c:f>
              <c:strCache>
                <c:ptCount val="1"/>
              </c:strCache>
            </c:strRef>
          </c:tx>
          <c:spPr>
            <a:solidFill>
              <a:schemeClr val="accent3"/>
            </a:solidFill>
            <a:ln>
              <a:noFill/>
            </a:ln>
            <a:effectLst/>
          </c:spPr>
          <c:invertIfNegative val="0"/>
          <c:cat>
            <c:multiLvlStrRef>
              <c:f>tab!$A$5:$B$55</c:f>
              <c:multiLvlStrCache>
                <c:ptCount val="51"/>
                <c:lvl>
                  <c:pt idx="0">
                    <c:v>2014.g.</c:v>
                  </c:pt>
                  <c:pt idx="1">
                    <c:v>2015.g.</c:v>
                  </c:pt>
                  <c:pt idx="2">
                    <c:v>2016.g.</c:v>
                  </c:pt>
                  <c:pt idx="4">
                    <c:v>2014.g.</c:v>
                  </c:pt>
                  <c:pt idx="5">
                    <c:v>2015.g.</c:v>
                  </c:pt>
                  <c:pt idx="6">
                    <c:v>2016.g.</c:v>
                  </c:pt>
                  <c:pt idx="8">
                    <c:v>2014.g.</c:v>
                  </c:pt>
                  <c:pt idx="9">
                    <c:v>2015.g.</c:v>
                  </c:pt>
                  <c:pt idx="10">
                    <c:v>2016.g.</c:v>
                  </c:pt>
                  <c:pt idx="12">
                    <c:v>2014.g.</c:v>
                  </c:pt>
                  <c:pt idx="13">
                    <c:v>2015.g.</c:v>
                  </c:pt>
                  <c:pt idx="14">
                    <c:v>2016.g.</c:v>
                  </c:pt>
                  <c:pt idx="16">
                    <c:v>2014.g.</c:v>
                  </c:pt>
                  <c:pt idx="17">
                    <c:v>2015.g.</c:v>
                  </c:pt>
                  <c:pt idx="18">
                    <c:v>2016.g.</c:v>
                  </c:pt>
                  <c:pt idx="20">
                    <c:v>2014.g.</c:v>
                  </c:pt>
                  <c:pt idx="21">
                    <c:v>2015.g.</c:v>
                  </c:pt>
                  <c:pt idx="22">
                    <c:v>2016.g.</c:v>
                  </c:pt>
                  <c:pt idx="24">
                    <c:v>2014.g.</c:v>
                  </c:pt>
                  <c:pt idx="25">
                    <c:v>2015.g.</c:v>
                  </c:pt>
                  <c:pt idx="26">
                    <c:v>2016.g.</c:v>
                  </c:pt>
                  <c:pt idx="28">
                    <c:v>2014.g.</c:v>
                  </c:pt>
                  <c:pt idx="29">
                    <c:v>2015.g.</c:v>
                  </c:pt>
                  <c:pt idx="30">
                    <c:v>2016.g.</c:v>
                  </c:pt>
                  <c:pt idx="32">
                    <c:v>2014.g.</c:v>
                  </c:pt>
                  <c:pt idx="33">
                    <c:v>2015.g.</c:v>
                  </c:pt>
                  <c:pt idx="34">
                    <c:v>2016.g.</c:v>
                  </c:pt>
                  <c:pt idx="36">
                    <c:v>2014.g.</c:v>
                  </c:pt>
                  <c:pt idx="37">
                    <c:v>2015.g.</c:v>
                  </c:pt>
                  <c:pt idx="38">
                    <c:v>2016.g.</c:v>
                  </c:pt>
                  <c:pt idx="40">
                    <c:v>2014.g.</c:v>
                  </c:pt>
                  <c:pt idx="41">
                    <c:v>2015.g.</c:v>
                  </c:pt>
                  <c:pt idx="42">
                    <c:v>2016.g.</c:v>
                  </c:pt>
                  <c:pt idx="44">
                    <c:v>2014.g.</c:v>
                  </c:pt>
                  <c:pt idx="45">
                    <c:v>2015.g.</c:v>
                  </c:pt>
                  <c:pt idx="46">
                    <c:v>2016.g.</c:v>
                  </c:pt>
                  <c:pt idx="48">
                    <c:v>2014.g.</c:v>
                  </c:pt>
                  <c:pt idx="49">
                    <c:v>2015.g.</c:v>
                  </c:pt>
                  <c:pt idx="50">
                    <c:v>2016.g.</c:v>
                  </c:pt>
                </c:lvl>
                <c:lvl>
                  <c:pt idx="0">
                    <c:v>IZM</c:v>
                  </c:pt>
                  <c:pt idx="4">
                    <c:v>IEM</c:v>
                  </c:pt>
                  <c:pt idx="8">
                    <c:v>VM</c:v>
                  </c:pt>
                  <c:pt idx="12">
                    <c:v>LM</c:v>
                  </c:pt>
                  <c:pt idx="16">
                    <c:v>KM</c:v>
                  </c:pt>
                  <c:pt idx="20">
                    <c:v>SAM</c:v>
                  </c:pt>
                  <c:pt idx="24">
                    <c:v>AIM</c:v>
                  </c:pt>
                  <c:pt idx="28">
                    <c:v>ZM</c:v>
                  </c:pt>
                  <c:pt idx="32">
                    <c:v>EM</c:v>
                  </c:pt>
                  <c:pt idx="36">
                    <c:v>TM</c:v>
                  </c:pt>
                  <c:pt idx="40">
                    <c:v>VARAM</c:v>
                  </c:pt>
                  <c:pt idx="44">
                    <c:v>ĀM</c:v>
                  </c:pt>
                  <c:pt idx="48">
                    <c:v>FM</c:v>
                  </c:pt>
                </c:lvl>
              </c:multiLvlStrCache>
            </c:multiLvlStrRef>
          </c:cat>
          <c:val>
            <c:numRef>
              <c:f>tab!$E$5:$E$55</c:f>
              <c:numCache>
                <c:formatCode>0%</c:formatCode>
                <c:ptCount val="51"/>
                <c:pt idx="0">
                  <c:v>0</c:v>
                </c:pt>
                <c:pt idx="1">
                  <c:v>0</c:v>
                </c:pt>
                <c:pt idx="2">
                  <c:v>0</c:v>
                </c:pt>
                <c:pt idx="3">
                  <c:v>0</c:v>
                </c:pt>
                <c:pt idx="4">
                  <c:v>0</c:v>
                </c:pt>
                <c:pt idx="5">
                  <c:v>0</c:v>
                </c:pt>
                <c:pt idx="6">
                  <c:v>0</c:v>
                </c:pt>
                <c:pt idx="8">
                  <c:v>0</c:v>
                </c:pt>
                <c:pt idx="9">
                  <c:v>0</c:v>
                </c:pt>
                <c:pt idx="10">
                  <c:v>0</c:v>
                </c:pt>
                <c:pt idx="11">
                  <c:v>0</c:v>
                </c:pt>
                <c:pt idx="12">
                  <c:v>0</c:v>
                </c:pt>
                <c:pt idx="13">
                  <c:v>0</c:v>
                </c:pt>
                <c:pt idx="14">
                  <c:v>0</c:v>
                </c:pt>
                <c:pt idx="16">
                  <c:v>0</c:v>
                </c:pt>
                <c:pt idx="17">
                  <c:v>0</c:v>
                </c:pt>
                <c:pt idx="18">
                  <c:v>0</c:v>
                </c:pt>
                <c:pt idx="20">
                  <c:v>0</c:v>
                </c:pt>
                <c:pt idx="21">
                  <c:v>0</c:v>
                </c:pt>
                <c:pt idx="22">
                  <c:v>0</c:v>
                </c:pt>
                <c:pt idx="23">
                  <c:v>0</c:v>
                </c:pt>
                <c:pt idx="24">
                  <c:v>0</c:v>
                </c:pt>
                <c:pt idx="25">
                  <c:v>0</c:v>
                </c:pt>
                <c:pt idx="26">
                  <c:v>0</c:v>
                </c:pt>
                <c:pt idx="28">
                  <c:v>0</c:v>
                </c:pt>
                <c:pt idx="29">
                  <c:v>0</c:v>
                </c:pt>
                <c:pt idx="30">
                  <c:v>0</c:v>
                </c:pt>
                <c:pt idx="32">
                  <c:v>0</c:v>
                </c:pt>
                <c:pt idx="33">
                  <c:v>0</c:v>
                </c:pt>
                <c:pt idx="34">
                  <c:v>0</c:v>
                </c:pt>
                <c:pt idx="36">
                  <c:v>0</c:v>
                </c:pt>
                <c:pt idx="37">
                  <c:v>0</c:v>
                </c:pt>
                <c:pt idx="38">
                  <c:v>0</c:v>
                </c:pt>
                <c:pt idx="40">
                  <c:v>0</c:v>
                </c:pt>
                <c:pt idx="41">
                  <c:v>0</c:v>
                </c:pt>
                <c:pt idx="42">
                  <c:v>0</c:v>
                </c:pt>
                <c:pt idx="44">
                  <c:v>0</c:v>
                </c:pt>
                <c:pt idx="45">
                  <c:v>0</c:v>
                </c:pt>
                <c:pt idx="46">
                  <c:v>0</c:v>
                </c:pt>
                <c:pt idx="48">
                  <c:v>0</c:v>
                </c:pt>
                <c:pt idx="49">
                  <c:v>0</c:v>
                </c:pt>
                <c:pt idx="50">
                  <c:v>0</c:v>
                </c:pt>
              </c:numCache>
            </c:numRef>
          </c:val>
          <c:extLst>
            <c:ext xmlns:c16="http://schemas.microsoft.com/office/drawing/2014/chart" uri="{C3380CC4-5D6E-409C-BE32-E72D297353CC}">
              <c16:uniqueId val="{00000002-A650-4D9F-91F7-8AB01B5EE86D}"/>
            </c:ext>
          </c:extLst>
        </c:ser>
        <c:ser>
          <c:idx val="3"/>
          <c:order val="3"/>
          <c:tx>
            <c:strRef>
              <c:f>tab!$F$4</c:f>
              <c:strCache>
                <c:ptCount val="1"/>
              </c:strCache>
            </c:strRef>
          </c:tx>
          <c:spPr>
            <a:solidFill>
              <a:schemeClr val="accent4"/>
            </a:solidFill>
            <a:ln>
              <a:noFill/>
            </a:ln>
            <a:effectLst/>
          </c:spPr>
          <c:invertIfNegative val="0"/>
          <c:cat>
            <c:multiLvlStrRef>
              <c:f>tab!$A$5:$B$55</c:f>
              <c:multiLvlStrCache>
                <c:ptCount val="51"/>
                <c:lvl>
                  <c:pt idx="0">
                    <c:v>2014.g.</c:v>
                  </c:pt>
                  <c:pt idx="1">
                    <c:v>2015.g.</c:v>
                  </c:pt>
                  <c:pt idx="2">
                    <c:v>2016.g.</c:v>
                  </c:pt>
                  <c:pt idx="4">
                    <c:v>2014.g.</c:v>
                  </c:pt>
                  <c:pt idx="5">
                    <c:v>2015.g.</c:v>
                  </c:pt>
                  <c:pt idx="6">
                    <c:v>2016.g.</c:v>
                  </c:pt>
                  <c:pt idx="8">
                    <c:v>2014.g.</c:v>
                  </c:pt>
                  <c:pt idx="9">
                    <c:v>2015.g.</c:v>
                  </c:pt>
                  <c:pt idx="10">
                    <c:v>2016.g.</c:v>
                  </c:pt>
                  <c:pt idx="12">
                    <c:v>2014.g.</c:v>
                  </c:pt>
                  <c:pt idx="13">
                    <c:v>2015.g.</c:v>
                  </c:pt>
                  <c:pt idx="14">
                    <c:v>2016.g.</c:v>
                  </c:pt>
                  <c:pt idx="16">
                    <c:v>2014.g.</c:v>
                  </c:pt>
                  <c:pt idx="17">
                    <c:v>2015.g.</c:v>
                  </c:pt>
                  <c:pt idx="18">
                    <c:v>2016.g.</c:v>
                  </c:pt>
                  <c:pt idx="20">
                    <c:v>2014.g.</c:v>
                  </c:pt>
                  <c:pt idx="21">
                    <c:v>2015.g.</c:v>
                  </c:pt>
                  <c:pt idx="22">
                    <c:v>2016.g.</c:v>
                  </c:pt>
                  <c:pt idx="24">
                    <c:v>2014.g.</c:v>
                  </c:pt>
                  <c:pt idx="25">
                    <c:v>2015.g.</c:v>
                  </c:pt>
                  <c:pt idx="26">
                    <c:v>2016.g.</c:v>
                  </c:pt>
                  <c:pt idx="28">
                    <c:v>2014.g.</c:v>
                  </c:pt>
                  <c:pt idx="29">
                    <c:v>2015.g.</c:v>
                  </c:pt>
                  <c:pt idx="30">
                    <c:v>2016.g.</c:v>
                  </c:pt>
                  <c:pt idx="32">
                    <c:v>2014.g.</c:v>
                  </c:pt>
                  <c:pt idx="33">
                    <c:v>2015.g.</c:v>
                  </c:pt>
                  <c:pt idx="34">
                    <c:v>2016.g.</c:v>
                  </c:pt>
                  <c:pt idx="36">
                    <c:v>2014.g.</c:v>
                  </c:pt>
                  <c:pt idx="37">
                    <c:v>2015.g.</c:v>
                  </c:pt>
                  <c:pt idx="38">
                    <c:v>2016.g.</c:v>
                  </c:pt>
                  <c:pt idx="40">
                    <c:v>2014.g.</c:v>
                  </c:pt>
                  <c:pt idx="41">
                    <c:v>2015.g.</c:v>
                  </c:pt>
                  <c:pt idx="42">
                    <c:v>2016.g.</c:v>
                  </c:pt>
                  <c:pt idx="44">
                    <c:v>2014.g.</c:v>
                  </c:pt>
                  <c:pt idx="45">
                    <c:v>2015.g.</c:v>
                  </c:pt>
                  <c:pt idx="46">
                    <c:v>2016.g.</c:v>
                  </c:pt>
                  <c:pt idx="48">
                    <c:v>2014.g.</c:v>
                  </c:pt>
                  <c:pt idx="49">
                    <c:v>2015.g.</c:v>
                  </c:pt>
                  <c:pt idx="50">
                    <c:v>2016.g.</c:v>
                  </c:pt>
                </c:lvl>
                <c:lvl>
                  <c:pt idx="0">
                    <c:v>IZM</c:v>
                  </c:pt>
                  <c:pt idx="4">
                    <c:v>IEM</c:v>
                  </c:pt>
                  <c:pt idx="8">
                    <c:v>VM</c:v>
                  </c:pt>
                  <c:pt idx="12">
                    <c:v>LM</c:v>
                  </c:pt>
                  <c:pt idx="16">
                    <c:v>KM</c:v>
                  </c:pt>
                  <c:pt idx="20">
                    <c:v>SAM</c:v>
                  </c:pt>
                  <c:pt idx="24">
                    <c:v>AIM</c:v>
                  </c:pt>
                  <c:pt idx="28">
                    <c:v>ZM</c:v>
                  </c:pt>
                  <c:pt idx="32">
                    <c:v>EM</c:v>
                  </c:pt>
                  <c:pt idx="36">
                    <c:v>TM</c:v>
                  </c:pt>
                  <c:pt idx="40">
                    <c:v>VARAM</c:v>
                  </c:pt>
                  <c:pt idx="44">
                    <c:v>ĀM</c:v>
                  </c:pt>
                  <c:pt idx="48">
                    <c:v>FM</c:v>
                  </c:pt>
                </c:lvl>
              </c:multiLvlStrCache>
            </c:multiLvlStrRef>
          </c:cat>
          <c:val>
            <c:numRef>
              <c:f>tab!$F$5:$F$55</c:f>
              <c:numCache>
                <c:formatCode>0%</c:formatCode>
                <c:ptCount val="51"/>
                <c:pt idx="0">
                  <c:v>0</c:v>
                </c:pt>
                <c:pt idx="1">
                  <c:v>0</c:v>
                </c:pt>
                <c:pt idx="2">
                  <c:v>0</c:v>
                </c:pt>
                <c:pt idx="3">
                  <c:v>0</c:v>
                </c:pt>
                <c:pt idx="4">
                  <c:v>0</c:v>
                </c:pt>
                <c:pt idx="5">
                  <c:v>0</c:v>
                </c:pt>
                <c:pt idx="6">
                  <c:v>0</c:v>
                </c:pt>
                <c:pt idx="8">
                  <c:v>0</c:v>
                </c:pt>
                <c:pt idx="9">
                  <c:v>0</c:v>
                </c:pt>
                <c:pt idx="10">
                  <c:v>0</c:v>
                </c:pt>
                <c:pt idx="11">
                  <c:v>0</c:v>
                </c:pt>
                <c:pt idx="12">
                  <c:v>0</c:v>
                </c:pt>
                <c:pt idx="13">
                  <c:v>0</c:v>
                </c:pt>
                <c:pt idx="14">
                  <c:v>0</c:v>
                </c:pt>
                <c:pt idx="16">
                  <c:v>0</c:v>
                </c:pt>
                <c:pt idx="17">
                  <c:v>0</c:v>
                </c:pt>
                <c:pt idx="18">
                  <c:v>0</c:v>
                </c:pt>
                <c:pt idx="20">
                  <c:v>0</c:v>
                </c:pt>
                <c:pt idx="21">
                  <c:v>0</c:v>
                </c:pt>
                <c:pt idx="22">
                  <c:v>0</c:v>
                </c:pt>
                <c:pt idx="23">
                  <c:v>0</c:v>
                </c:pt>
                <c:pt idx="24">
                  <c:v>0</c:v>
                </c:pt>
                <c:pt idx="25">
                  <c:v>0</c:v>
                </c:pt>
                <c:pt idx="26">
                  <c:v>0</c:v>
                </c:pt>
                <c:pt idx="28">
                  <c:v>0</c:v>
                </c:pt>
                <c:pt idx="29">
                  <c:v>0</c:v>
                </c:pt>
                <c:pt idx="30">
                  <c:v>0</c:v>
                </c:pt>
                <c:pt idx="32">
                  <c:v>0</c:v>
                </c:pt>
                <c:pt idx="33">
                  <c:v>0</c:v>
                </c:pt>
                <c:pt idx="34">
                  <c:v>0</c:v>
                </c:pt>
                <c:pt idx="36">
                  <c:v>0</c:v>
                </c:pt>
                <c:pt idx="37">
                  <c:v>0</c:v>
                </c:pt>
                <c:pt idx="38">
                  <c:v>0</c:v>
                </c:pt>
                <c:pt idx="40">
                  <c:v>0</c:v>
                </c:pt>
                <c:pt idx="41">
                  <c:v>0</c:v>
                </c:pt>
                <c:pt idx="42">
                  <c:v>0</c:v>
                </c:pt>
                <c:pt idx="44">
                  <c:v>0</c:v>
                </c:pt>
                <c:pt idx="45">
                  <c:v>0</c:v>
                </c:pt>
                <c:pt idx="46">
                  <c:v>0</c:v>
                </c:pt>
                <c:pt idx="48">
                  <c:v>0</c:v>
                </c:pt>
                <c:pt idx="49">
                  <c:v>0</c:v>
                </c:pt>
                <c:pt idx="50">
                  <c:v>0</c:v>
                </c:pt>
              </c:numCache>
            </c:numRef>
          </c:val>
          <c:extLst>
            <c:ext xmlns:c16="http://schemas.microsoft.com/office/drawing/2014/chart" uri="{C3380CC4-5D6E-409C-BE32-E72D297353CC}">
              <c16:uniqueId val="{00000003-A650-4D9F-91F7-8AB01B5EE86D}"/>
            </c:ext>
          </c:extLst>
        </c:ser>
        <c:ser>
          <c:idx val="4"/>
          <c:order val="4"/>
          <c:tx>
            <c:strRef>
              <c:f>tab!$G$4</c:f>
              <c:strCache>
                <c:ptCount val="1"/>
                <c:pt idx="0">
                  <c:v>t.sk., atbalsta personāls % no kopējā amata vietu skaita</c:v>
                </c:pt>
              </c:strCache>
            </c:strRef>
          </c:tx>
          <c:spPr>
            <a:solidFill>
              <a:srgbClr val="C00000"/>
            </a:solidFill>
            <a:ln>
              <a:noFill/>
            </a:ln>
            <a:effectLst/>
          </c:spPr>
          <c:invertIfNegative val="0"/>
          <c:dLbls>
            <c:spPr>
              <a:solidFill>
                <a:srgbClr val="FFB9B9"/>
              </a:solidFill>
              <a:ln>
                <a:noFill/>
              </a:ln>
              <a:effectLst/>
            </c:spPr>
            <c:txPr>
              <a:bodyPr rot="-5400000" spcFirstLastPara="1" vertOverflow="ellipsis" vert="horz" wrap="square" lIns="0" tIns="0" rIns="0" bIns="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multiLvlStrRef>
              <c:f>tab!$A$5:$B$55</c:f>
              <c:multiLvlStrCache>
                <c:ptCount val="51"/>
                <c:lvl>
                  <c:pt idx="0">
                    <c:v>2014.g.</c:v>
                  </c:pt>
                  <c:pt idx="1">
                    <c:v>2015.g.</c:v>
                  </c:pt>
                  <c:pt idx="2">
                    <c:v>2016.g.</c:v>
                  </c:pt>
                  <c:pt idx="4">
                    <c:v>2014.g.</c:v>
                  </c:pt>
                  <c:pt idx="5">
                    <c:v>2015.g.</c:v>
                  </c:pt>
                  <c:pt idx="6">
                    <c:v>2016.g.</c:v>
                  </c:pt>
                  <c:pt idx="8">
                    <c:v>2014.g.</c:v>
                  </c:pt>
                  <c:pt idx="9">
                    <c:v>2015.g.</c:v>
                  </c:pt>
                  <c:pt idx="10">
                    <c:v>2016.g.</c:v>
                  </c:pt>
                  <c:pt idx="12">
                    <c:v>2014.g.</c:v>
                  </c:pt>
                  <c:pt idx="13">
                    <c:v>2015.g.</c:v>
                  </c:pt>
                  <c:pt idx="14">
                    <c:v>2016.g.</c:v>
                  </c:pt>
                  <c:pt idx="16">
                    <c:v>2014.g.</c:v>
                  </c:pt>
                  <c:pt idx="17">
                    <c:v>2015.g.</c:v>
                  </c:pt>
                  <c:pt idx="18">
                    <c:v>2016.g.</c:v>
                  </c:pt>
                  <c:pt idx="20">
                    <c:v>2014.g.</c:v>
                  </c:pt>
                  <c:pt idx="21">
                    <c:v>2015.g.</c:v>
                  </c:pt>
                  <c:pt idx="22">
                    <c:v>2016.g.</c:v>
                  </c:pt>
                  <c:pt idx="24">
                    <c:v>2014.g.</c:v>
                  </c:pt>
                  <c:pt idx="25">
                    <c:v>2015.g.</c:v>
                  </c:pt>
                  <c:pt idx="26">
                    <c:v>2016.g.</c:v>
                  </c:pt>
                  <c:pt idx="28">
                    <c:v>2014.g.</c:v>
                  </c:pt>
                  <c:pt idx="29">
                    <c:v>2015.g.</c:v>
                  </c:pt>
                  <c:pt idx="30">
                    <c:v>2016.g.</c:v>
                  </c:pt>
                  <c:pt idx="32">
                    <c:v>2014.g.</c:v>
                  </c:pt>
                  <c:pt idx="33">
                    <c:v>2015.g.</c:v>
                  </c:pt>
                  <c:pt idx="34">
                    <c:v>2016.g.</c:v>
                  </c:pt>
                  <c:pt idx="36">
                    <c:v>2014.g.</c:v>
                  </c:pt>
                  <c:pt idx="37">
                    <c:v>2015.g.</c:v>
                  </c:pt>
                  <c:pt idx="38">
                    <c:v>2016.g.</c:v>
                  </c:pt>
                  <c:pt idx="40">
                    <c:v>2014.g.</c:v>
                  </c:pt>
                  <c:pt idx="41">
                    <c:v>2015.g.</c:v>
                  </c:pt>
                  <c:pt idx="42">
                    <c:v>2016.g.</c:v>
                  </c:pt>
                  <c:pt idx="44">
                    <c:v>2014.g.</c:v>
                  </c:pt>
                  <c:pt idx="45">
                    <c:v>2015.g.</c:v>
                  </c:pt>
                  <c:pt idx="46">
                    <c:v>2016.g.</c:v>
                  </c:pt>
                  <c:pt idx="48">
                    <c:v>2014.g.</c:v>
                  </c:pt>
                  <c:pt idx="49">
                    <c:v>2015.g.</c:v>
                  </c:pt>
                  <c:pt idx="50">
                    <c:v>2016.g.</c:v>
                  </c:pt>
                </c:lvl>
                <c:lvl>
                  <c:pt idx="0">
                    <c:v>IZM</c:v>
                  </c:pt>
                  <c:pt idx="4">
                    <c:v>IEM</c:v>
                  </c:pt>
                  <c:pt idx="8">
                    <c:v>VM</c:v>
                  </c:pt>
                  <c:pt idx="12">
                    <c:v>LM</c:v>
                  </c:pt>
                  <c:pt idx="16">
                    <c:v>KM</c:v>
                  </c:pt>
                  <c:pt idx="20">
                    <c:v>SAM</c:v>
                  </c:pt>
                  <c:pt idx="24">
                    <c:v>AIM</c:v>
                  </c:pt>
                  <c:pt idx="28">
                    <c:v>ZM</c:v>
                  </c:pt>
                  <c:pt idx="32">
                    <c:v>EM</c:v>
                  </c:pt>
                  <c:pt idx="36">
                    <c:v>TM</c:v>
                  </c:pt>
                  <c:pt idx="40">
                    <c:v>VARAM</c:v>
                  </c:pt>
                  <c:pt idx="44">
                    <c:v>ĀM</c:v>
                  </c:pt>
                  <c:pt idx="48">
                    <c:v>FM</c:v>
                  </c:pt>
                </c:lvl>
              </c:multiLvlStrCache>
            </c:multiLvlStrRef>
          </c:cat>
          <c:val>
            <c:numRef>
              <c:f>tab!$G$5:$G$55</c:f>
              <c:numCache>
                <c:formatCode>0%</c:formatCode>
                <c:ptCount val="51"/>
                <c:pt idx="0">
                  <c:v>0.4</c:v>
                </c:pt>
                <c:pt idx="1">
                  <c:v>0.35</c:v>
                </c:pt>
                <c:pt idx="2">
                  <c:v>0.38</c:v>
                </c:pt>
                <c:pt idx="4">
                  <c:v>0.39</c:v>
                </c:pt>
                <c:pt idx="5">
                  <c:v>0.36</c:v>
                </c:pt>
                <c:pt idx="6">
                  <c:v>0.37</c:v>
                </c:pt>
                <c:pt idx="8">
                  <c:v>0.33</c:v>
                </c:pt>
                <c:pt idx="9">
                  <c:v>0.26</c:v>
                </c:pt>
                <c:pt idx="10">
                  <c:v>0.38</c:v>
                </c:pt>
                <c:pt idx="12">
                  <c:v>0.3</c:v>
                </c:pt>
                <c:pt idx="13">
                  <c:v>0.32</c:v>
                </c:pt>
                <c:pt idx="14">
                  <c:v>0.35</c:v>
                </c:pt>
                <c:pt idx="16">
                  <c:v>0.26</c:v>
                </c:pt>
                <c:pt idx="17">
                  <c:v>0.32</c:v>
                </c:pt>
                <c:pt idx="18">
                  <c:v>0.33</c:v>
                </c:pt>
                <c:pt idx="20">
                  <c:v>0.3</c:v>
                </c:pt>
                <c:pt idx="21">
                  <c:v>0.26</c:v>
                </c:pt>
                <c:pt idx="22">
                  <c:v>0.3</c:v>
                </c:pt>
                <c:pt idx="24">
                  <c:v>0.28999999999999998</c:v>
                </c:pt>
                <c:pt idx="25">
                  <c:v>0.28999999999999998</c:v>
                </c:pt>
                <c:pt idx="26">
                  <c:v>0.28000000000000003</c:v>
                </c:pt>
                <c:pt idx="28">
                  <c:v>0.25</c:v>
                </c:pt>
                <c:pt idx="29">
                  <c:v>0.25</c:v>
                </c:pt>
                <c:pt idx="30">
                  <c:v>0.27</c:v>
                </c:pt>
                <c:pt idx="32">
                  <c:v>0.25</c:v>
                </c:pt>
                <c:pt idx="33">
                  <c:v>0.25</c:v>
                </c:pt>
                <c:pt idx="34">
                  <c:v>0.25</c:v>
                </c:pt>
                <c:pt idx="36">
                  <c:v>0.25</c:v>
                </c:pt>
                <c:pt idx="37">
                  <c:v>0.24</c:v>
                </c:pt>
                <c:pt idx="38">
                  <c:v>0.23</c:v>
                </c:pt>
                <c:pt idx="40">
                  <c:v>0.24</c:v>
                </c:pt>
                <c:pt idx="41">
                  <c:v>0.21</c:v>
                </c:pt>
                <c:pt idx="42">
                  <c:v>0.2</c:v>
                </c:pt>
                <c:pt idx="44">
                  <c:v>0.21</c:v>
                </c:pt>
                <c:pt idx="45">
                  <c:v>0.19</c:v>
                </c:pt>
                <c:pt idx="46">
                  <c:v>0.18</c:v>
                </c:pt>
                <c:pt idx="48">
                  <c:v>0.2</c:v>
                </c:pt>
                <c:pt idx="49">
                  <c:v>0.19</c:v>
                </c:pt>
                <c:pt idx="50">
                  <c:v>0.18</c:v>
                </c:pt>
              </c:numCache>
            </c:numRef>
          </c:val>
          <c:extLst>
            <c:ext xmlns:c16="http://schemas.microsoft.com/office/drawing/2014/chart" uri="{C3380CC4-5D6E-409C-BE32-E72D297353CC}">
              <c16:uniqueId val="{00000004-A650-4D9F-91F7-8AB01B5EE86D}"/>
            </c:ext>
          </c:extLst>
        </c:ser>
        <c:dLbls>
          <c:showLegendKey val="0"/>
          <c:showVal val="0"/>
          <c:showCatName val="0"/>
          <c:showSerName val="0"/>
          <c:showPercent val="0"/>
          <c:showBubbleSize val="0"/>
        </c:dLbls>
        <c:gapWidth val="0"/>
        <c:axId val="271184960"/>
        <c:axId val="271184568"/>
      </c:barChart>
      <c:catAx>
        <c:axId val="271183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1184176"/>
        <c:crosses val="autoZero"/>
        <c:auto val="1"/>
        <c:lblAlgn val="ctr"/>
        <c:lblOffset val="100"/>
        <c:noMultiLvlLbl val="0"/>
      </c:catAx>
      <c:valAx>
        <c:axId val="271184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1183784"/>
        <c:crosses val="autoZero"/>
        <c:crossBetween val="between"/>
      </c:valAx>
      <c:valAx>
        <c:axId val="271184568"/>
        <c:scaling>
          <c:orientation val="minMax"/>
          <c:max val="1"/>
        </c:scaling>
        <c:delete val="1"/>
        <c:axPos val="r"/>
        <c:numFmt formatCode="0%" sourceLinked="1"/>
        <c:majorTickMark val="out"/>
        <c:minorTickMark val="none"/>
        <c:tickLblPos val="nextTo"/>
        <c:crossAx val="271184960"/>
        <c:crosses val="max"/>
        <c:crossBetween val="between"/>
      </c:valAx>
      <c:catAx>
        <c:axId val="271184960"/>
        <c:scaling>
          <c:orientation val="minMax"/>
        </c:scaling>
        <c:delete val="1"/>
        <c:axPos val="b"/>
        <c:numFmt formatCode="General" sourceLinked="1"/>
        <c:majorTickMark val="out"/>
        <c:minorTickMark val="none"/>
        <c:tickLblPos val="nextTo"/>
        <c:crossAx val="271184568"/>
        <c:crosses val="autoZero"/>
        <c:auto val="1"/>
        <c:lblAlgn val="ctr"/>
        <c:lblOffset val="100"/>
        <c:noMultiLvlLbl val="0"/>
      </c:cat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GRAFIKI!$C$76</c:f>
              <c:strCache>
                <c:ptCount val="1"/>
                <c:pt idx="0">
                  <c:v>2013.gads (i)</c:v>
                </c:pt>
              </c:strCache>
            </c:strRef>
          </c:tx>
          <c:spPr>
            <a:solidFill>
              <a:schemeClr val="accent2"/>
            </a:solidFill>
            <a:ln>
              <a:noFill/>
            </a:ln>
            <a:effectLst/>
          </c:spPr>
          <c:invertIfNegative val="0"/>
          <c:cat>
            <c:strRef>
              <c:f>GRAFIKI!$B$77:$B$89</c:f>
              <c:strCache>
                <c:ptCount val="13"/>
                <c:pt idx="0">
                  <c:v>AiM</c:v>
                </c:pt>
                <c:pt idx="1">
                  <c:v>ĀM</c:v>
                </c:pt>
                <c:pt idx="2">
                  <c:v>EM</c:v>
                </c:pt>
                <c:pt idx="3">
                  <c:v>FM</c:v>
                </c:pt>
                <c:pt idx="4">
                  <c:v>IeM</c:v>
                </c:pt>
                <c:pt idx="5">
                  <c:v>IZM</c:v>
                </c:pt>
                <c:pt idx="6">
                  <c:v>ZM</c:v>
                </c:pt>
                <c:pt idx="7">
                  <c:v>SM</c:v>
                </c:pt>
                <c:pt idx="8">
                  <c:v>LM</c:v>
                </c:pt>
                <c:pt idx="9">
                  <c:v>TM</c:v>
                </c:pt>
                <c:pt idx="10">
                  <c:v>VARAM</c:v>
                </c:pt>
                <c:pt idx="11">
                  <c:v>KM</c:v>
                </c:pt>
                <c:pt idx="12">
                  <c:v>VM</c:v>
                </c:pt>
              </c:strCache>
            </c:strRef>
          </c:cat>
          <c:val>
            <c:numRef>
              <c:f>GRAFIKI!$C$77:$C$89</c:f>
              <c:numCache>
                <c:formatCode>0.00%</c:formatCode>
                <c:ptCount val="13"/>
                <c:pt idx="0">
                  <c:v>6.5175141013173992E-3</c:v>
                </c:pt>
                <c:pt idx="1">
                  <c:v>3.8296078205160747E-2</c:v>
                </c:pt>
                <c:pt idx="2">
                  <c:v>9.1144892590376045E-2</c:v>
                </c:pt>
                <c:pt idx="3">
                  <c:v>2.4822942859218772E-3</c:v>
                </c:pt>
                <c:pt idx="4">
                  <c:v>3.8247016603944022E-3</c:v>
                </c:pt>
                <c:pt idx="5">
                  <c:v>1.610576924341682E-2</c:v>
                </c:pt>
                <c:pt idx="6">
                  <c:v>5.5391650329795553E-3</c:v>
                </c:pt>
                <c:pt idx="7">
                  <c:v>1.6589708330317726E-2</c:v>
                </c:pt>
                <c:pt idx="8">
                  <c:v>4.098190075345831E-3</c:v>
                </c:pt>
                <c:pt idx="9">
                  <c:v>1.1784949726771288E-2</c:v>
                </c:pt>
                <c:pt idx="10">
                  <c:v>1.8307010513151107E-2</c:v>
                </c:pt>
                <c:pt idx="11">
                  <c:v>0.12394091764300488</c:v>
                </c:pt>
                <c:pt idx="12">
                  <c:v>2.1924851540953425E-3</c:v>
                </c:pt>
              </c:numCache>
            </c:numRef>
          </c:val>
          <c:extLst>
            <c:ext xmlns:c16="http://schemas.microsoft.com/office/drawing/2014/chart" uri="{C3380CC4-5D6E-409C-BE32-E72D297353CC}">
              <c16:uniqueId val="{00000000-D12F-4D6B-B50F-9C4138168FEA}"/>
            </c:ext>
          </c:extLst>
        </c:ser>
        <c:ser>
          <c:idx val="1"/>
          <c:order val="1"/>
          <c:tx>
            <c:strRef>
              <c:f>GRAFIKI!$D$76</c:f>
              <c:strCache>
                <c:ptCount val="1"/>
                <c:pt idx="0">
                  <c:v>2014.gads (i)</c:v>
                </c:pt>
              </c:strCache>
            </c:strRef>
          </c:tx>
          <c:spPr>
            <a:solidFill>
              <a:schemeClr val="accent4"/>
            </a:solidFill>
            <a:ln>
              <a:noFill/>
            </a:ln>
            <a:effectLst/>
          </c:spPr>
          <c:invertIfNegative val="0"/>
          <c:cat>
            <c:strRef>
              <c:f>GRAFIKI!$B$77:$B$89</c:f>
              <c:strCache>
                <c:ptCount val="13"/>
                <c:pt idx="0">
                  <c:v>AiM</c:v>
                </c:pt>
                <c:pt idx="1">
                  <c:v>ĀM</c:v>
                </c:pt>
                <c:pt idx="2">
                  <c:v>EM</c:v>
                </c:pt>
                <c:pt idx="3">
                  <c:v>FM</c:v>
                </c:pt>
                <c:pt idx="4">
                  <c:v>IeM</c:v>
                </c:pt>
                <c:pt idx="5">
                  <c:v>IZM</c:v>
                </c:pt>
                <c:pt idx="6">
                  <c:v>ZM</c:v>
                </c:pt>
                <c:pt idx="7">
                  <c:v>SM</c:v>
                </c:pt>
                <c:pt idx="8">
                  <c:v>LM</c:v>
                </c:pt>
                <c:pt idx="9">
                  <c:v>TM</c:v>
                </c:pt>
                <c:pt idx="10">
                  <c:v>VARAM</c:v>
                </c:pt>
                <c:pt idx="11">
                  <c:v>KM</c:v>
                </c:pt>
                <c:pt idx="12">
                  <c:v>VM</c:v>
                </c:pt>
              </c:strCache>
            </c:strRef>
          </c:cat>
          <c:val>
            <c:numRef>
              <c:f>GRAFIKI!$D$77:$D$89</c:f>
              <c:numCache>
                <c:formatCode>0.00%</c:formatCode>
                <c:ptCount val="13"/>
                <c:pt idx="0">
                  <c:v>7.8142828687671577E-3</c:v>
                </c:pt>
                <c:pt idx="1">
                  <c:v>5.242953937984754E-2</c:v>
                </c:pt>
                <c:pt idx="2">
                  <c:v>7.4034768609246779E-2</c:v>
                </c:pt>
                <c:pt idx="3">
                  <c:v>4.7153193177369495E-3</c:v>
                </c:pt>
                <c:pt idx="4">
                  <c:v>1.7523041927857347E-3</c:v>
                </c:pt>
                <c:pt idx="5">
                  <c:v>3.0508693754503168E-2</c:v>
                </c:pt>
                <c:pt idx="6">
                  <c:v>4.4895387833337871E-3</c:v>
                </c:pt>
                <c:pt idx="7">
                  <c:v>1.6057852207142845E-2</c:v>
                </c:pt>
                <c:pt idx="8">
                  <c:v>4.0700624996552314E-3</c:v>
                </c:pt>
                <c:pt idx="9">
                  <c:v>1.1849904339740685E-2</c:v>
                </c:pt>
                <c:pt idx="10">
                  <c:v>1.713843293166056E-2</c:v>
                </c:pt>
                <c:pt idx="11">
                  <c:v>8.4459012230187119E-2</c:v>
                </c:pt>
                <c:pt idx="12">
                  <c:v>4.3628308031744677E-3</c:v>
                </c:pt>
              </c:numCache>
            </c:numRef>
          </c:val>
          <c:extLst>
            <c:ext xmlns:c16="http://schemas.microsoft.com/office/drawing/2014/chart" uri="{C3380CC4-5D6E-409C-BE32-E72D297353CC}">
              <c16:uniqueId val="{00000001-D12F-4D6B-B50F-9C4138168FEA}"/>
            </c:ext>
          </c:extLst>
        </c:ser>
        <c:ser>
          <c:idx val="2"/>
          <c:order val="2"/>
          <c:tx>
            <c:strRef>
              <c:f>GRAFIKI!$E$76</c:f>
              <c:strCache>
                <c:ptCount val="1"/>
                <c:pt idx="0">
                  <c:v>2015.gads (i)</c:v>
                </c:pt>
              </c:strCache>
            </c:strRef>
          </c:tx>
          <c:spPr>
            <a:solidFill>
              <a:schemeClr val="accent6"/>
            </a:solidFill>
            <a:ln>
              <a:noFill/>
            </a:ln>
            <a:effectLst/>
          </c:spPr>
          <c:invertIfNegative val="0"/>
          <c:cat>
            <c:strRef>
              <c:f>GRAFIKI!$B$77:$B$89</c:f>
              <c:strCache>
                <c:ptCount val="13"/>
                <c:pt idx="0">
                  <c:v>AiM</c:v>
                </c:pt>
                <c:pt idx="1">
                  <c:v>ĀM</c:v>
                </c:pt>
                <c:pt idx="2">
                  <c:v>EM</c:v>
                </c:pt>
                <c:pt idx="3">
                  <c:v>FM</c:v>
                </c:pt>
                <c:pt idx="4">
                  <c:v>IeM</c:v>
                </c:pt>
                <c:pt idx="5">
                  <c:v>IZM</c:v>
                </c:pt>
                <c:pt idx="6">
                  <c:v>ZM</c:v>
                </c:pt>
                <c:pt idx="7">
                  <c:v>SM</c:v>
                </c:pt>
                <c:pt idx="8">
                  <c:v>LM</c:v>
                </c:pt>
                <c:pt idx="9">
                  <c:v>TM</c:v>
                </c:pt>
                <c:pt idx="10">
                  <c:v>VARAM</c:v>
                </c:pt>
                <c:pt idx="11">
                  <c:v>KM</c:v>
                </c:pt>
                <c:pt idx="12">
                  <c:v>VM</c:v>
                </c:pt>
              </c:strCache>
            </c:strRef>
          </c:cat>
          <c:val>
            <c:numRef>
              <c:f>GRAFIKI!$E$77:$E$89</c:f>
              <c:numCache>
                <c:formatCode>0.00%</c:formatCode>
                <c:ptCount val="13"/>
                <c:pt idx="0">
                  <c:v>1.0103244504361454E-2</c:v>
                </c:pt>
                <c:pt idx="1">
                  <c:v>4.3515180851049759E-2</c:v>
                </c:pt>
                <c:pt idx="2">
                  <c:v>9.7265738302351162E-2</c:v>
                </c:pt>
                <c:pt idx="3">
                  <c:v>7.6231686244899741E-3</c:v>
                </c:pt>
                <c:pt idx="4">
                  <c:v>6.8326418972717139E-3</c:v>
                </c:pt>
                <c:pt idx="5">
                  <c:v>0.17296948470640433</c:v>
                </c:pt>
                <c:pt idx="6">
                  <c:v>9.4839348358918673E-3</c:v>
                </c:pt>
                <c:pt idx="7">
                  <c:v>1.6764141465041543E-2</c:v>
                </c:pt>
                <c:pt idx="8">
                  <c:v>9.5004912886628191E-3</c:v>
                </c:pt>
                <c:pt idx="9">
                  <c:v>6.6141740903237333E-3</c:v>
                </c:pt>
                <c:pt idx="10">
                  <c:v>1.5980783799122968E-2</c:v>
                </c:pt>
                <c:pt idx="11">
                  <c:v>6.2029763973495841E-2</c:v>
                </c:pt>
                <c:pt idx="12">
                  <c:v>6.8418580099246342E-3</c:v>
                </c:pt>
              </c:numCache>
            </c:numRef>
          </c:val>
          <c:extLst>
            <c:ext xmlns:c16="http://schemas.microsoft.com/office/drawing/2014/chart" uri="{C3380CC4-5D6E-409C-BE32-E72D297353CC}">
              <c16:uniqueId val="{00000002-D12F-4D6B-B50F-9C4138168FEA}"/>
            </c:ext>
          </c:extLst>
        </c:ser>
        <c:ser>
          <c:idx val="3"/>
          <c:order val="3"/>
          <c:tx>
            <c:strRef>
              <c:f>GRAFIKI!$F$76</c:f>
              <c:strCache>
                <c:ptCount val="1"/>
                <c:pt idx="0">
                  <c:v>2016.gads (p)</c:v>
                </c:pt>
              </c:strCache>
            </c:strRef>
          </c:tx>
          <c:spPr>
            <a:solidFill>
              <a:schemeClr val="accent2">
                <a:lumMod val="60000"/>
              </a:schemeClr>
            </a:solidFill>
            <a:ln>
              <a:noFill/>
            </a:ln>
            <a:effectLst/>
          </c:spPr>
          <c:invertIfNegative val="0"/>
          <c:cat>
            <c:strRef>
              <c:f>GRAFIKI!$B$77:$B$89</c:f>
              <c:strCache>
                <c:ptCount val="13"/>
                <c:pt idx="0">
                  <c:v>AiM</c:v>
                </c:pt>
                <c:pt idx="1">
                  <c:v>ĀM</c:v>
                </c:pt>
                <c:pt idx="2">
                  <c:v>EM</c:v>
                </c:pt>
                <c:pt idx="3">
                  <c:v>FM</c:v>
                </c:pt>
                <c:pt idx="4">
                  <c:v>IeM</c:v>
                </c:pt>
                <c:pt idx="5">
                  <c:v>IZM</c:v>
                </c:pt>
                <c:pt idx="6">
                  <c:v>ZM</c:v>
                </c:pt>
                <c:pt idx="7">
                  <c:v>SM</c:v>
                </c:pt>
                <c:pt idx="8">
                  <c:v>LM</c:v>
                </c:pt>
                <c:pt idx="9">
                  <c:v>TM</c:v>
                </c:pt>
                <c:pt idx="10">
                  <c:v>VARAM</c:v>
                </c:pt>
                <c:pt idx="11">
                  <c:v>KM</c:v>
                </c:pt>
                <c:pt idx="12">
                  <c:v>VM</c:v>
                </c:pt>
              </c:strCache>
            </c:strRef>
          </c:cat>
          <c:val>
            <c:numRef>
              <c:f>GRAFIKI!$F$77:$F$89</c:f>
              <c:numCache>
                <c:formatCode>0.00%</c:formatCode>
                <c:ptCount val="13"/>
                <c:pt idx="0">
                  <c:v>7.2753725250240603E-3</c:v>
                </c:pt>
                <c:pt idx="1">
                  <c:v>4.8461577116464594E-2</c:v>
                </c:pt>
                <c:pt idx="2">
                  <c:v>9.6389198604986792E-2</c:v>
                </c:pt>
                <c:pt idx="3">
                  <c:v>1.6670667328383834E-2</c:v>
                </c:pt>
                <c:pt idx="4">
                  <c:v>4.6782743549352458E-3</c:v>
                </c:pt>
                <c:pt idx="5">
                  <c:v>7.4430885226181867E-2</c:v>
                </c:pt>
                <c:pt idx="6">
                  <c:v>6.4625329765274353E-3</c:v>
                </c:pt>
                <c:pt idx="7">
                  <c:v>1.7167022756767361E-2</c:v>
                </c:pt>
                <c:pt idx="8">
                  <c:v>1.0136587284619173E-2</c:v>
                </c:pt>
                <c:pt idx="9">
                  <c:v>3.8218684233796815E-3</c:v>
                </c:pt>
                <c:pt idx="10">
                  <c:v>2.7072298474566131E-2</c:v>
                </c:pt>
                <c:pt idx="11">
                  <c:v>3.7693717198953633E-2</c:v>
                </c:pt>
                <c:pt idx="12">
                  <c:v>9.4995812853421978E-3</c:v>
                </c:pt>
              </c:numCache>
            </c:numRef>
          </c:val>
          <c:extLst>
            <c:ext xmlns:c16="http://schemas.microsoft.com/office/drawing/2014/chart" uri="{C3380CC4-5D6E-409C-BE32-E72D297353CC}">
              <c16:uniqueId val="{00000003-D12F-4D6B-B50F-9C4138168FEA}"/>
            </c:ext>
          </c:extLst>
        </c:ser>
        <c:ser>
          <c:idx val="4"/>
          <c:order val="4"/>
          <c:tx>
            <c:strRef>
              <c:f>GRAFIKI!$G$76</c:f>
              <c:strCache>
                <c:ptCount val="1"/>
                <c:pt idx="0">
                  <c:v>2017.gads (p)</c:v>
                </c:pt>
              </c:strCache>
            </c:strRef>
          </c:tx>
          <c:spPr>
            <a:solidFill>
              <a:schemeClr val="accent4">
                <a:lumMod val="60000"/>
              </a:schemeClr>
            </a:solidFill>
            <a:ln>
              <a:noFill/>
            </a:ln>
            <a:effectLst/>
          </c:spPr>
          <c:invertIfNegative val="0"/>
          <c:cat>
            <c:strRef>
              <c:f>GRAFIKI!$B$77:$B$89</c:f>
              <c:strCache>
                <c:ptCount val="13"/>
                <c:pt idx="0">
                  <c:v>AiM</c:v>
                </c:pt>
                <c:pt idx="1">
                  <c:v>ĀM</c:v>
                </c:pt>
                <c:pt idx="2">
                  <c:v>EM</c:v>
                </c:pt>
                <c:pt idx="3">
                  <c:v>FM</c:v>
                </c:pt>
                <c:pt idx="4">
                  <c:v>IeM</c:v>
                </c:pt>
                <c:pt idx="5">
                  <c:v>IZM</c:v>
                </c:pt>
                <c:pt idx="6">
                  <c:v>ZM</c:v>
                </c:pt>
                <c:pt idx="7">
                  <c:v>SM</c:v>
                </c:pt>
                <c:pt idx="8">
                  <c:v>LM</c:v>
                </c:pt>
                <c:pt idx="9">
                  <c:v>TM</c:v>
                </c:pt>
                <c:pt idx="10">
                  <c:v>VARAM</c:v>
                </c:pt>
                <c:pt idx="11">
                  <c:v>KM</c:v>
                </c:pt>
                <c:pt idx="12">
                  <c:v>VM</c:v>
                </c:pt>
              </c:strCache>
            </c:strRef>
          </c:cat>
          <c:val>
            <c:numRef>
              <c:f>GRAFIKI!$G$77:$G$89</c:f>
              <c:numCache>
                <c:formatCode>0.00%</c:formatCode>
                <c:ptCount val="13"/>
                <c:pt idx="0">
                  <c:v>6.1676870503736781E-3</c:v>
                </c:pt>
                <c:pt idx="1">
                  <c:v>5.2431414554053771E-2</c:v>
                </c:pt>
                <c:pt idx="2">
                  <c:v>0.10219236225846544</c:v>
                </c:pt>
                <c:pt idx="3">
                  <c:v>1.2028121594530056E-2</c:v>
                </c:pt>
                <c:pt idx="4">
                  <c:v>2.9194873332295669E-3</c:v>
                </c:pt>
                <c:pt idx="5">
                  <c:v>7.5583435747095071E-2</c:v>
                </c:pt>
                <c:pt idx="6">
                  <c:v>6.2832292097035908E-3</c:v>
                </c:pt>
                <c:pt idx="7">
                  <c:v>1.7482309186208817E-2</c:v>
                </c:pt>
                <c:pt idx="8">
                  <c:v>1.0237996235933293E-2</c:v>
                </c:pt>
                <c:pt idx="9">
                  <c:v>3.1542720154469732E-3</c:v>
                </c:pt>
                <c:pt idx="10">
                  <c:v>2.4488895425797911E-2</c:v>
                </c:pt>
                <c:pt idx="11">
                  <c:v>4.4020823903877272E-2</c:v>
                </c:pt>
                <c:pt idx="12">
                  <c:v>9.2463895049111622E-3</c:v>
                </c:pt>
              </c:numCache>
            </c:numRef>
          </c:val>
          <c:extLst>
            <c:ext xmlns:c16="http://schemas.microsoft.com/office/drawing/2014/chart" uri="{C3380CC4-5D6E-409C-BE32-E72D297353CC}">
              <c16:uniqueId val="{00000004-D12F-4D6B-B50F-9C4138168FEA}"/>
            </c:ext>
          </c:extLst>
        </c:ser>
        <c:ser>
          <c:idx val="5"/>
          <c:order val="5"/>
          <c:tx>
            <c:strRef>
              <c:f>GRAFIKI!$H$76</c:f>
              <c:strCache>
                <c:ptCount val="1"/>
                <c:pt idx="0">
                  <c:v>2018.gads (p)</c:v>
                </c:pt>
              </c:strCache>
            </c:strRef>
          </c:tx>
          <c:spPr>
            <a:solidFill>
              <a:schemeClr val="accent6">
                <a:lumMod val="60000"/>
              </a:schemeClr>
            </a:solidFill>
            <a:ln>
              <a:noFill/>
            </a:ln>
            <a:effectLst/>
          </c:spPr>
          <c:invertIfNegative val="0"/>
          <c:cat>
            <c:strRef>
              <c:f>GRAFIKI!$B$77:$B$89</c:f>
              <c:strCache>
                <c:ptCount val="13"/>
                <c:pt idx="0">
                  <c:v>AiM</c:v>
                </c:pt>
                <c:pt idx="1">
                  <c:v>ĀM</c:v>
                </c:pt>
                <c:pt idx="2">
                  <c:v>EM</c:v>
                </c:pt>
                <c:pt idx="3">
                  <c:v>FM</c:v>
                </c:pt>
                <c:pt idx="4">
                  <c:v>IeM</c:v>
                </c:pt>
                <c:pt idx="5">
                  <c:v>IZM</c:v>
                </c:pt>
                <c:pt idx="6">
                  <c:v>ZM</c:v>
                </c:pt>
                <c:pt idx="7">
                  <c:v>SM</c:v>
                </c:pt>
                <c:pt idx="8">
                  <c:v>LM</c:v>
                </c:pt>
                <c:pt idx="9">
                  <c:v>TM</c:v>
                </c:pt>
                <c:pt idx="10">
                  <c:v>VARAM</c:v>
                </c:pt>
                <c:pt idx="11">
                  <c:v>KM</c:v>
                </c:pt>
                <c:pt idx="12">
                  <c:v>VM</c:v>
                </c:pt>
              </c:strCache>
            </c:strRef>
          </c:cat>
          <c:val>
            <c:numRef>
              <c:f>GRAFIKI!$H$77:$H$89</c:f>
              <c:numCache>
                <c:formatCode>0.00%</c:formatCode>
                <c:ptCount val="13"/>
                <c:pt idx="0">
                  <c:v>4.8217115265252837E-3</c:v>
                </c:pt>
                <c:pt idx="1">
                  <c:v>5.3007019893257505E-2</c:v>
                </c:pt>
                <c:pt idx="2">
                  <c:v>0.10227195374314328</c:v>
                </c:pt>
                <c:pt idx="3">
                  <c:v>1.1965110716892827E-2</c:v>
                </c:pt>
                <c:pt idx="4">
                  <c:v>2.9133861189721464E-3</c:v>
                </c:pt>
                <c:pt idx="5">
                  <c:v>7.6745439872842935E-2</c:v>
                </c:pt>
                <c:pt idx="6">
                  <c:v>6.4105338874838541E-3</c:v>
                </c:pt>
                <c:pt idx="7">
                  <c:v>2.293095468506753E-2</c:v>
                </c:pt>
                <c:pt idx="8">
                  <c:v>1.0293762623083031E-2</c:v>
                </c:pt>
                <c:pt idx="9">
                  <c:v>3.0621020541022645E-3</c:v>
                </c:pt>
                <c:pt idx="10">
                  <c:v>2.8176996882717298E-2</c:v>
                </c:pt>
                <c:pt idx="11">
                  <c:v>7.0261072005867328E-2</c:v>
                </c:pt>
                <c:pt idx="12">
                  <c:v>9.2349356503658182E-3</c:v>
                </c:pt>
              </c:numCache>
            </c:numRef>
          </c:val>
          <c:extLst>
            <c:ext xmlns:c16="http://schemas.microsoft.com/office/drawing/2014/chart" uri="{C3380CC4-5D6E-409C-BE32-E72D297353CC}">
              <c16:uniqueId val="{00000005-D12F-4D6B-B50F-9C4138168FEA}"/>
            </c:ext>
          </c:extLst>
        </c:ser>
        <c:dLbls>
          <c:showLegendKey val="0"/>
          <c:showVal val="0"/>
          <c:showCatName val="0"/>
          <c:showSerName val="0"/>
          <c:showPercent val="0"/>
          <c:showBubbleSize val="0"/>
        </c:dLbls>
        <c:gapWidth val="219"/>
        <c:overlap val="-27"/>
        <c:axId val="342595640"/>
        <c:axId val="342595248"/>
      </c:barChart>
      <c:catAx>
        <c:axId val="342595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42595248"/>
        <c:crosses val="autoZero"/>
        <c:auto val="1"/>
        <c:lblAlgn val="ctr"/>
        <c:lblOffset val="100"/>
        <c:noMultiLvlLbl val="0"/>
      </c:catAx>
      <c:valAx>
        <c:axId val="3425952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425956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GRAFIKI!$C$3</c:f>
              <c:strCache>
                <c:ptCount val="1"/>
                <c:pt idx="0">
                  <c:v>2013.gads</c:v>
                </c:pt>
              </c:strCache>
            </c:strRef>
          </c:tx>
          <c:spPr>
            <a:solidFill>
              <a:schemeClr val="accent2"/>
            </a:solidFill>
            <a:ln>
              <a:noFill/>
            </a:ln>
            <a:effectLst/>
          </c:spPr>
          <c:invertIfNegative val="0"/>
          <c:cat>
            <c:strRef>
              <c:f>GRAFIKI!$B$4:$B$16</c:f>
              <c:strCache>
                <c:ptCount val="13"/>
                <c:pt idx="0">
                  <c:v>AiM</c:v>
                </c:pt>
                <c:pt idx="1">
                  <c:v>ĀM</c:v>
                </c:pt>
                <c:pt idx="2">
                  <c:v>EM</c:v>
                </c:pt>
                <c:pt idx="3">
                  <c:v>FM</c:v>
                </c:pt>
                <c:pt idx="4">
                  <c:v>IeM</c:v>
                </c:pt>
                <c:pt idx="5">
                  <c:v>IZM</c:v>
                </c:pt>
                <c:pt idx="6">
                  <c:v>ZM</c:v>
                </c:pt>
                <c:pt idx="7">
                  <c:v>SM</c:v>
                </c:pt>
                <c:pt idx="8">
                  <c:v>LM</c:v>
                </c:pt>
                <c:pt idx="9">
                  <c:v>TM</c:v>
                </c:pt>
                <c:pt idx="10">
                  <c:v>VARAM</c:v>
                </c:pt>
                <c:pt idx="11">
                  <c:v>KM</c:v>
                </c:pt>
                <c:pt idx="12">
                  <c:v>VM</c:v>
                </c:pt>
              </c:strCache>
            </c:strRef>
          </c:cat>
          <c:val>
            <c:numRef>
              <c:f>GRAFIKI!$C$4:$C$16</c:f>
              <c:numCache>
                <c:formatCode>0</c:formatCode>
                <c:ptCount val="13"/>
                <c:pt idx="0">
                  <c:v>80.652705345501957</c:v>
                </c:pt>
                <c:pt idx="1">
                  <c:v>1243.1266055045871</c:v>
                </c:pt>
                <c:pt idx="2">
                  <c:v>493.01462904911182</c:v>
                </c:pt>
                <c:pt idx="3">
                  <c:v>13.887415867836019</c:v>
                </c:pt>
                <c:pt idx="4">
                  <c:v>16.96641251478901</c:v>
                </c:pt>
                <c:pt idx="5">
                  <c:v>121.81138081973737</c:v>
                </c:pt>
                <c:pt idx="6">
                  <c:v>28.931904161412358</c:v>
                </c:pt>
                <c:pt idx="7">
                  <c:v>174.97709923664121</c:v>
                </c:pt>
                <c:pt idx="8">
                  <c:v>14.285980872404945</c:v>
                </c:pt>
                <c:pt idx="9">
                  <c:v>53.297336845185832</c:v>
                </c:pt>
                <c:pt idx="10">
                  <c:v>124.9040404040404</c:v>
                </c:pt>
                <c:pt idx="11">
                  <c:v>600.6995726495727</c:v>
                </c:pt>
                <c:pt idx="12">
                  <c:v>11.72307001795332</c:v>
                </c:pt>
              </c:numCache>
            </c:numRef>
          </c:val>
          <c:extLst>
            <c:ext xmlns:c16="http://schemas.microsoft.com/office/drawing/2014/chart" uri="{C3380CC4-5D6E-409C-BE32-E72D297353CC}">
              <c16:uniqueId val="{00000000-C0EE-42F8-941D-B809330553D7}"/>
            </c:ext>
          </c:extLst>
        </c:ser>
        <c:ser>
          <c:idx val="1"/>
          <c:order val="1"/>
          <c:tx>
            <c:strRef>
              <c:f>GRAFIKI!$D$3</c:f>
              <c:strCache>
                <c:ptCount val="1"/>
                <c:pt idx="0">
                  <c:v>2014.gads</c:v>
                </c:pt>
              </c:strCache>
            </c:strRef>
          </c:tx>
          <c:spPr>
            <a:solidFill>
              <a:schemeClr val="accent4"/>
            </a:solidFill>
            <a:ln>
              <a:noFill/>
            </a:ln>
            <a:effectLst/>
          </c:spPr>
          <c:invertIfNegative val="0"/>
          <c:cat>
            <c:strRef>
              <c:f>GRAFIKI!$B$4:$B$16</c:f>
              <c:strCache>
                <c:ptCount val="13"/>
                <c:pt idx="0">
                  <c:v>AiM</c:v>
                </c:pt>
                <c:pt idx="1">
                  <c:v>ĀM</c:v>
                </c:pt>
                <c:pt idx="2">
                  <c:v>EM</c:v>
                </c:pt>
                <c:pt idx="3">
                  <c:v>FM</c:v>
                </c:pt>
                <c:pt idx="4">
                  <c:v>IeM</c:v>
                </c:pt>
                <c:pt idx="5">
                  <c:v>IZM</c:v>
                </c:pt>
                <c:pt idx="6">
                  <c:v>ZM</c:v>
                </c:pt>
                <c:pt idx="7">
                  <c:v>SM</c:v>
                </c:pt>
                <c:pt idx="8">
                  <c:v>LM</c:v>
                </c:pt>
                <c:pt idx="9">
                  <c:v>TM</c:v>
                </c:pt>
                <c:pt idx="10">
                  <c:v>VARAM</c:v>
                </c:pt>
                <c:pt idx="11">
                  <c:v>KM</c:v>
                </c:pt>
                <c:pt idx="12">
                  <c:v>VM</c:v>
                </c:pt>
              </c:strCache>
            </c:strRef>
          </c:cat>
          <c:val>
            <c:numRef>
              <c:f>GRAFIKI!$D$4:$D$16</c:f>
              <c:numCache>
                <c:formatCode>0</c:formatCode>
                <c:ptCount val="13"/>
                <c:pt idx="0">
                  <c:v>86.550664318873061</c:v>
                </c:pt>
                <c:pt idx="1">
                  <c:v>1989.4410646387832</c:v>
                </c:pt>
                <c:pt idx="2">
                  <c:v>431.83264462809916</c:v>
                </c:pt>
                <c:pt idx="3">
                  <c:v>33.780891980360067</c:v>
                </c:pt>
                <c:pt idx="4">
                  <c:v>7.6966945388032402</c:v>
                </c:pt>
                <c:pt idx="5">
                  <c:v>246.98257984238904</c:v>
                </c:pt>
                <c:pt idx="6">
                  <c:v>21.335532102022867</c:v>
                </c:pt>
                <c:pt idx="7">
                  <c:v>145.12318840579709</c:v>
                </c:pt>
                <c:pt idx="8">
                  <c:v>14.060505002382087</c:v>
                </c:pt>
                <c:pt idx="9">
                  <c:v>56.571636363636365</c:v>
                </c:pt>
                <c:pt idx="10">
                  <c:v>122.21027479091995</c:v>
                </c:pt>
                <c:pt idx="11">
                  <c:v>552.75431034482756</c:v>
                </c:pt>
                <c:pt idx="12">
                  <c:v>22.321242348673771</c:v>
                </c:pt>
              </c:numCache>
            </c:numRef>
          </c:val>
          <c:extLst>
            <c:ext xmlns:c16="http://schemas.microsoft.com/office/drawing/2014/chart" uri="{C3380CC4-5D6E-409C-BE32-E72D297353CC}">
              <c16:uniqueId val="{00000001-C0EE-42F8-941D-B809330553D7}"/>
            </c:ext>
          </c:extLst>
        </c:ser>
        <c:ser>
          <c:idx val="2"/>
          <c:order val="2"/>
          <c:tx>
            <c:strRef>
              <c:f>GRAFIKI!$E$3</c:f>
              <c:strCache>
                <c:ptCount val="1"/>
                <c:pt idx="0">
                  <c:v>2015.gads</c:v>
                </c:pt>
              </c:strCache>
            </c:strRef>
          </c:tx>
          <c:spPr>
            <a:solidFill>
              <a:schemeClr val="accent6"/>
            </a:solidFill>
            <a:ln>
              <a:noFill/>
            </a:ln>
            <a:effectLst/>
          </c:spPr>
          <c:invertIfNegative val="0"/>
          <c:cat>
            <c:strRef>
              <c:f>GRAFIKI!$B$4:$B$16</c:f>
              <c:strCache>
                <c:ptCount val="13"/>
                <c:pt idx="0">
                  <c:v>AiM</c:v>
                </c:pt>
                <c:pt idx="1">
                  <c:v>ĀM</c:v>
                </c:pt>
                <c:pt idx="2">
                  <c:v>EM</c:v>
                </c:pt>
                <c:pt idx="3">
                  <c:v>FM</c:v>
                </c:pt>
                <c:pt idx="4">
                  <c:v>IeM</c:v>
                </c:pt>
                <c:pt idx="5">
                  <c:v>IZM</c:v>
                </c:pt>
                <c:pt idx="6">
                  <c:v>ZM</c:v>
                </c:pt>
                <c:pt idx="7">
                  <c:v>SM</c:v>
                </c:pt>
                <c:pt idx="8">
                  <c:v>LM</c:v>
                </c:pt>
                <c:pt idx="9">
                  <c:v>TM</c:v>
                </c:pt>
                <c:pt idx="10">
                  <c:v>VARAM</c:v>
                </c:pt>
                <c:pt idx="11">
                  <c:v>KM</c:v>
                </c:pt>
                <c:pt idx="12">
                  <c:v>VM</c:v>
                </c:pt>
              </c:strCache>
            </c:strRef>
          </c:cat>
          <c:val>
            <c:numRef>
              <c:f>GRAFIKI!$E$4:$E$16</c:f>
              <c:numCache>
                <c:formatCode>0</c:formatCode>
                <c:ptCount val="13"/>
                <c:pt idx="0">
                  <c:v>140.67967718268525</c:v>
                </c:pt>
                <c:pt idx="1">
                  <c:v>1485.2152777777778</c:v>
                </c:pt>
                <c:pt idx="2">
                  <c:v>514.62867996201328</c:v>
                </c:pt>
                <c:pt idx="3">
                  <c:v>53.347280334728033</c:v>
                </c:pt>
                <c:pt idx="4">
                  <c:v>31.922962387518613</c:v>
                </c:pt>
                <c:pt idx="5">
                  <c:v>1563.5070993914808</c:v>
                </c:pt>
                <c:pt idx="6">
                  <c:v>42.362061855670106</c:v>
                </c:pt>
                <c:pt idx="7">
                  <c:v>113.62676056338029</c:v>
                </c:pt>
                <c:pt idx="8">
                  <c:v>31.298452298452297</c:v>
                </c:pt>
                <c:pt idx="9">
                  <c:v>31.669719599830916</c:v>
                </c:pt>
                <c:pt idx="10">
                  <c:v>134.4942396313364</c:v>
                </c:pt>
                <c:pt idx="11">
                  <c:v>370.84898477157361</c:v>
                </c:pt>
                <c:pt idx="12">
                  <c:v>29.937144158506037</c:v>
                </c:pt>
              </c:numCache>
            </c:numRef>
          </c:val>
          <c:extLst>
            <c:ext xmlns:c16="http://schemas.microsoft.com/office/drawing/2014/chart" uri="{C3380CC4-5D6E-409C-BE32-E72D297353CC}">
              <c16:uniqueId val="{00000002-C0EE-42F8-941D-B809330553D7}"/>
            </c:ext>
          </c:extLst>
        </c:ser>
        <c:ser>
          <c:idx val="3"/>
          <c:order val="3"/>
          <c:tx>
            <c:strRef>
              <c:f>GRAFIKI!$F$3</c:f>
              <c:strCache>
                <c:ptCount val="1"/>
                <c:pt idx="0">
                  <c:v>2016.gads</c:v>
                </c:pt>
              </c:strCache>
            </c:strRef>
          </c:tx>
          <c:spPr>
            <a:solidFill>
              <a:schemeClr val="accent2">
                <a:lumMod val="60000"/>
              </a:schemeClr>
            </a:solidFill>
            <a:ln>
              <a:noFill/>
            </a:ln>
            <a:effectLst/>
          </c:spPr>
          <c:invertIfNegative val="0"/>
          <c:cat>
            <c:strRef>
              <c:f>GRAFIKI!$B$4:$B$16</c:f>
              <c:strCache>
                <c:ptCount val="13"/>
                <c:pt idx="0">
                  <c:v>AiM</c:v>
                </c:pt>
                <c:pt idx="1">
                  <c:v>ĀM</c:v>
                </c:pt>
                <c:pt idx="2">
                  <c:v>EM</c:v>
                </c:pt>
                <c:pt idx="3">
                  <c:v>FM</c:v>
                </c:pt>
                <c:pt idx="4">
                  <c:v>IeM</c:v>
                </c:pt>
                <c:pt idx="5">
                  <c:v>IZM</c:v>
                </c:pt>
                <c:pt idx="6">
                  <c:v>ZM</c:v>
                </c:pt>
                <c:pt idx="7">
                  <c:v>SM</c:v>
                </c:pt>
                <c:pt idx="8">
                  <c:v>LM</c:v>
                </c:pt>
                <c:pt idx="9">
                  <c:v>TM</c:v>
                </c:pt>
                <c:pt idx="10">
                  <c:v>VARAM</c:v>
                </c:pt>
                <c:pt idx="11">
                  <c:v>KM</c:v>
                </c:pt>
                <c:pt idx="12">
                  <c:v>VM</c:v>
                </c:pt>
              </c:strCache>
            </c:strRef>
          </c:cat>
          <c:val>
            <c:numRef>
              <c:f>GRAFIKI!$F$4:$F$16</c:f>
              <c:numCache>
                <c:formatCode>0</c:formatCode>
                <c:ptCount val="13"/>
                <c:pt idx="0">
                  <c:v>147.01608579088472</c:v>
                </c:pt>
                <c:pt idx="1">
                  <c:v>1734.2258620689656</c:v>
                </c:pt>
                <c:pt idx="2">
                  <c:v>585.69281045751632</c:v>
                </c:pt>
                <c:pt idx="3">
                  <c:v>129.38598242811503</c:v>
                </c:pt>
                <c:pt idx="4">
                  <c:v>23.138831437435368</c:v>
                </c:pt>
                <c:pt idx="5">
                  <c:v>703.17008014247551</c:v>
                </c:pt>
                <c:pt idx="6">
                  <c:v>30.338160136286202</c:v>
                </c:pt>
                <c:pt idx="7">
                  <c:v>138.22463768115941</c:v>
                </c:pt>
                <c:pt idx="8">
                  <c:v>35.476947902259106</c:v>
                </c:pt>
                <c:pt idx="9">
                  <c:v>19.901036490132046</c:v>
                </c:pt>
                <c:pt idx="10">
                  <c:v>272.18069584736253</c:v>
                </c:pt>
                <c:pt idx="11">
                  <c:v>266.71584699453553</c:v>
                </c:pt>
                <c:pt idx="12">
                  <c:v>33.118398994132441</c:v>
                </c:pt>
              </c:numCache>
            </c:numRef>
          </c:val>
          <c:extLst>
            <c:ext xmlns:c16="http://schemas.microsoft.com/office/drawing/2014/chart" uri="{C3380CC4-5D6E-409C-BE32-E72D297353CC}">
              <c16:uniqueId val="{00000003-C0EE-42F8-941D-B809330553D7}"/>
            </c:ext>
          </c:extLst>
        </c:ser>
        <c:ser>
          <c:idx val="4"/>
          <c:order val="4"/>
          <c:tx>
            <c:strRef>
              <c:f>GRAFIKI!$G$3</c:f>
              <c:strCache>
                <c:ptCount val="1"/>
                <c:pt idx="0">
                  <c:v>2017.gads</c:v>
                </c:pt>
              </c:strCache>
            </c:strRef>
          </c:tx>
          <c:spPr>
            <a:solidFill>
              <a:schemeClr val="accent4">
                <a:lumMod val="60000"/>
              </a:schemeClr>
            </a:solidFill>
            <a:ln>
              <a:noFill/>
            </a:ln>
            <a:effectLst/>
          </c:spPr>
          <c:invertIfNegative val="0"/>
          <c:cat>
            <c:strRef>
              <c:f>GRAFIKI!$B$4:$B$16</c:f>
              <c:strCache>
                <c:ptCount val="13"/>
                <c:pt idx="0">
                  <c:v>AiM</c:v>
                </c:pt>
                <c:pt idx="1">
                  <c:v>ĀM</c:v>
                </c:pt>
                <c:pt idx="2">
                  <c:v>EM</c:v>
                </c:pt>
                <c:pt idx="3">
                  <c:v>FM</c:v>
                </c:pt>
                <c:pt idx="4">
                  <c:v>IeM</c:v>
                </c:pt>
                <c:pt idx="5">
                  <c:v>IZM</c:v>
                </c:pt>
                <c:pt idx="6">
                  <c:v>ZM</c:v>
                </c:pt>
                <c:pt idx="7">
                  <c:v>SM</c:v>
                </c:pt>
                <c:pt idx="8">
                  <c:v>LM</c:v>
                </c:pt>
                <c:pt idx="9">
                  <c:v>TM</c:v>
                </c:pt>
                <c:pt idx="10">
                  <c:v>VARAM</c:v>
                </c:pt>
                <c:pt idx="11">
                  <c:v>KM</c:v>
                </c:pt>
                <c:pt idx="12">
                  <c:v>VM</c:v>
                </c:pt>
              </c:strCache>
            </c:strRef>
          </c:cat>
          <c:val>
            <c:numRef>
              <c:f>GRAFIKI!$G$4:$G$16</c:f>
              <c:numCache>
                <c:formatCode>0</c:formatCode>
                <c:ptCount val="13"/>
                <c:pt idx="0">
                  <c:v>177.03582496591051</c:v>
                </c:pt>
                <c:pt idx="1">
                  <c:v>1958.0720411663808</c:v>
                </c:pt>
                <c:pt idx="2">
                  <c:v>613.04014939309059</c:v>
                </c:pt>
                <c:pt idx="3">
                  <c:v>85.042865647946016</c:v>
                </c:pt>
                <c:pt idx="4">
                  <c:v>14.765899689762151</c:v>
                </c:pt>
                <c:pt idx="5">
                  <c:v>730.9403606102635</c:v>
                </c:pt>
                <c:pt idx="6">
                  <c:v>30.031197301854974</c:v>
                </c:pt>
                <c:pt idx="7">
                  <c:v>138.22463768115941</c:v>
                </c:pt>
                <c:pt idx="8">
                  <c:v>34.859709744298549</c:v>
                </c:pt>
                <c:pt idx="9">
                  <c:v>16.470103678454766</c:v>
                </c:pt>
                <c:pt idx="10">
                  <c:v>276.19191919191917</c:v>
                </c:pt>
                <c:pt idx="11">
                  <c:v>302.68374632507351</c:v>
                </c:pt>
                <c:pt idx="12">
                  <c:v>33.097591623036649</c:v>
                </c:pt>
              </c:numCache>
            </c:numRef>
          </c:val>
          <c:extLst>
            <c:ext xmlns:c16="http://schemas.microsoft.com/office/drawing/2014/chart" uri="{C3380CC4-5D6E-409C-BE32-E72D297353CC}">
              <c16:uniqueId val="{00000004-C0EE-42F8-941D-B809330553D7}"/>
            </c:ext>
          </c:extLst>
        </c:ser>
        <c:ser>
          <c:idx val="5"/>
          <c:order val="5"/>
          <c:tx>
            <c:strRef>
              <c:f>GRAFIKI!$H$3</c:f>
              <c:strCache>
                <c:ptCount val="1"/>
                <c:pt idx="0">
                  <c:v>2018.gads</c:v>
                </c:pt>
              </c:strCache>
            </c:strRef>
          </c:tx>
          <c:spPr>
            <a:solidFill>
              <a:schemeClr val="accent6">
                <a:lumMod val="60000"/>
              </a:schemeClr>
            </a:solidFill>
            <a:ln>
              <a:noFill/>
            </a:ln>
            <a:effectLst/>
          </c:spPr>
          <c:invertIfNegative val="0"/>
          <c:cat>
            <c:strRef>
              <c:f>GRAFIKI!$B$4:$B$16</c:f>
              <c:strCache>
                <c:ptCount val="13"/>
                <c:pt idx="0">
                  <c:v>AiM</c:v>
                </c:pt>
                <c:pt idx="1">
                  <c:v>ĀM</c:v>
                </c:pt>
                <c:pt idx="2">
                  <c:v>EM</c:v>
                </c:pt>
                <c:pt idx="3">
                  <c:v>FM</c:v>
                </c:pt>
                <c:pt idx="4">
                  <c:v>IeM</c:v>
                </c:pt>
                <c:pt idx="5">
                  <c:v>IZM</c:v>
                </c:pt>
                <c:pt idx="6">
                  <c:v>ZM</c:v>
                </c:pt>
                <c:pt idx="7">
                  <c:v>SM</c:v>
                </c:pt>
                <c:pt idx="8">
                  <c:v>LM</c:v>
                </c:pt>
                <c:pt idx="9">
                  <c:v>TM</c:v>
                </c:pt>
                <c:pt idx="10">
                  <c:v>VARAM</c:v>
                </c:pt>
                <c:pt idx="11">
                  <c:v>KM</c:v>
                </c:pt>
                <c:pt idx="12">
                  <c:v>VM</c:v>
                </c:pt>
              </c:strCache>
            </c:strRef>
          </c:cat>
          <c:val>
            <c:numRef>
              <c:f>GRAFIKI!$H$4:$H$16</c:f>
              <c:numCache>
                <c:formatCode>0</c:formatCode>
                <c:ptCount val="13"/>
                <c:pt idx="0">
                  <c:v>186.66778290993071</c:v>
                </c:pt>
                <c:pt idx="1">
                  <c:v>1958.0720411663808</c:v>
                </c:pt>
                <c:pt idx="2">
                  <c:v>613.04014939309059</c:v>
                </c:pt>
                <c:pt idx="3">
                  <c:v>85.283928571428575</c:v>
                </c:pt>
                <c:pt idx="4">
                  <c:v>14.765899689762151</c:v>
                </c:pt>
                <c:pt idx="5">
                  <c:v>714.33437360677669</c:v>
                </c:pt>
                <c:pt idx="6">
                  <c:v>29.780100334448161</c:v>
                </c:pt>
                <c:pt idx="7">
                  <c:v>138.22463768115941</c:v>
                </c:pt>
                <c:pt idx="8">
                  <c:v>34.940198568459941</c:v>
                </c:pt>
                <c:pt idx="9">
                  <c:v>15.693848558033812</c:v>
                </c:pt>
                <c:pt idx="10">
                  <c:v>342.92255892255895</c:v>
                </c:pt>
                <c:pt idx="11">
                  <c:v>541.36164844407062</c:v>
                </c:pt>
                <c:pt idx="12">
                  <c:v>33.118398994132441</c:v>
                </c:pt>
              </c:numCache>
            </c:numRef>
          </c:val>
          <c:extLst>
            <c:ext xmlns:c16="http://schemas.microsoft.com/office/drawing/2014/chart" uri="{C3380CC4-5D6E-409C-BE32-E72D297353CC}">
              <c16:uniqueId val="{00000005-C0EE-42F8-941D-B809330553D7}"/>
            </c:ext>
          </c:extLst>
        </c:ser>
        <c:dLbls>
          <c:showLegendKey val="0"/>
          <c:showVal val="0"/>
          <c:showCatName val="0"/>
          <c:showSerName val="0"/>
          <c:showPercent val="0"/>
          <c:showBubbleSize val="0"/>
        </c:dLbls>
        <c:gapWidth val="219"/>
        <c:overlap val="-27"/>
        <c:axId val="336625384"/>
        <c:axId val="336623816"/>
      </c:barChart>
      <c:catAx>
        <c:axId val="336625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36623816"/>
        <c:crosses val="autoZero"/>
        <c:auto val="1"/>
        <c:lblAlgn val="ctr"/>
        <c:lblOffset val="100"/>
        <c:noMultiLvlLbl val="0"/>
      </c:catAx>
      <c:valAx>
        <c:axId val="336623816"/>
        <c:scaling>
          <c:orientation val="minMax"/>
          <c:max val="2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36625384"/>
        <c:crosses val="autoZero"/>
        <c:crossBetween val="between"/>
        <c:majorUnit val="4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solidFill>
              <a:srgbClr val="4472C4">
                <a:lumMod val="75000"/>
              </a:srgbClr>
            </a:solidFill>
          </c:spPr>
          <c:invertIfNegative val="0"/>
          <c:dPt>
            <c:idx val="33"/>
            <c:invertIfNegative val="0"/>
            <c:bubble3D val="0"/>
            <c:spPr>
              <a:solidFill>
                <a:srgbClr val="ED7D31">
                  <a:lumMod val="75000"/>
                </a:srgbClr>
              </a:solidFill>
            </c:spPr>
            <c:extLst>
              <c:ext xmlns:c16="http://schemas.microsoft.com/office/drawing/2014/chart" uri="{C3380CC4-5D6E-409C-BE32-E72D297353CC}">
                <c16:uniqueId val="{00000001-9BD6-4F80-AB2D-21FD0F8BBBD3}"/>
              </c:ext>
            </c:extLst>
          </c:dPt>
          <c:cat>
            <c:strRef>
              <c:f>Sheet1!$A$2:$A$36</c:f>
              <c:strCache>
                <c:ptCount val="35"/>
                <c:pt idx="0">
                  <c:v>Nīderlande</c:v>
                </c:pt>
                <c:pt idx="1">
                  <c:v>Šveice</c:v>
                </c:pt>
                <c:pt idx="2">
                  <c:v>Zviedrija</c:v>
                </c:pt>
                <c:pt idx="3">
                  <c:v>Vācija</c:v>
                </c:pt>
                <c:pt idx="4">
                  <c:v>Francija</c:v>
                </c:pt>
                <c:pt idx="5">
                  <c:v>Dānija</c:v>
                </c:pt>
                <c:pt idx="6">
                  <c:v>Japāna</c:v>
                </c:pt>
                <c:pt idx="7">
                  <c:v>Beļģija</c:v>
                </c:pt>
                <c:pt idx="8">
                  <c:v>Kanāda</c:v>
                </c:pt>
                <c:pt idx="9">
                  <c:v>Austrija</c:v>
                </c:pt>
                <c:pt idx="10">
                  <c:v>Jaunzēlande</c:v>
                </c:pt>
                <c:pt idx="11">
                  <c:v>Grieķija</c:v>
                </c:pt>
                <c:pt idx="12">
                  <c:v>Portugāle</c:v>
                </c:pt>
                <c:pt idx="13">
                  <c:v>Norvēģija</c:v>
                </c:pt>
                <c:pt idx="14">
                  <c:v>Austrālija</c:v>
                </c:pt>
                <c:pt idx="15">
                  <c:v>Itālija</c:v>
                </c:pt>
                <c:pt idx="16">
                  <c:v>Spānija</c:v>
                </c:pt>
                <c:pt idx="17">
                  <c:v>Islande</c:v>
                </c:pt>
                <c:pt idx="18">
                  <c:v>Slovēnija</c:v>
                </c:pt>
                <c:pt idx="19">
                  <c:v>Somija</c:v>
                </c:pt>
                <c:pt idx="20">
                  <c:v>Lielbritānija</c:v>
                </c:pt>
                <c:pt idx="21">
                  <c:v>Īrija</c:v>
                </c:pt>
                <c:pt idx="22">
                  <c:v>Slovākijas Rep.</c:v>
                </c:pt>
                <c:pt idx="23">
                  <c:v>Izraēla</c:v>
                </c:pt>
                <c:pt idx="24">
                  <c:v>Ungārija</c:v>
                </c:pt>
                <c:pt idx="25">
                  <c:v>Čīle</c:v>
                </c:pt>
                <c:pt idx="26">
                  <c:v>Čehijas Rep.</c:v>
                </c:pt>
                <c:pt idx="27">
                  <c:v>Koreja</c:v>
                </c:pt>
                <c:pt idx="28">
                  <c:v>Luksemburga</c:v>
                </c:pt>
                <c:pt idx="29">
                  <c:v>Polija</c:v>
                </c:pt>
                <c:pt idx="30">
                  <c:v>Meksika</c:v>
                </c:pt>
                <c:pt idx="31">
                  <c:v>Lietuva</c:v>
                </c:pt>
                <c:pt idx="32">
                  <c:v>Igaunija</c:v>
                </c:pt>
                <c:pt idx="33">
                  <c:v>Latvija</c:v>
                </c:pt>
                <c:pt idx="34">
                  <c:v>Turcija</c:v>
                </c:pt>
              </c:strCache>
            </c:strRef>
          </c:cat>
          <c:val>
            <c:numRef>
              <c:f>Sheet1!$B$2:$B$36</c:f>
              <c:numCache>
                <c:formatCode>0.0</c:formatCode>
                <c:ptCount val="35"/>
                <c:pt idx="0">
                  <c:v>11.115</c:v>
                </c:pt>
                <c:pt idx="1">
                  <c:v>11.108599999999999</c:v>
                </c:pt>
                <c:pt idx="2">
                  <c:v>10.9842</c:v>
                </c:pt>
                <c:pt idx="3">
                  <c:v>10.9801</c:v>
                </c:pt>
                <c:pt idx="4">
                  <c:v>10.946899999999999</c:v>
                </c:pt>
                <c:pt idx="5">
                  <c:v>10.4001</c:v>
                </c:pt>
                <c:pt idx="6">
                  <c:v>10.247400000000001</c:v>
                </c:pt>
                <c:pt idx="7">
                  <c:v>10.2372</c:v>
                </c:pt>
                <c:pt idx="8">
                  <c:v>10.157400000000001</c:v>
                </c:pt>
                <c:pt idx="9">
                  <c:v>10.0997</c:v>
                </c:pt>
                <c:pt idx="10">
                  <c:v>9.5360999999999994</c:v>
                </c:pt>
                <c:pt idx="11">
                  <c:v>9.1530000000000005</c:v>
                </c:pt>
                <c:pt idx="12">
                  <c:v>9.1402999999999999</c:v>
                </c:pt>
                <c:pt idx="13">
                  <c:v>8.9311000000000007</c:v>
                </c:pt>
                <c:pt idx="14">
                  <c:v>8.7914999999999992</c:v>
                </c:pt>
                <c:pt idx="15">
                  <c:v>8.7715999999999994</c:v>
                </c:pt>
                <c:pt idx="16">
                  <c:v>8.7584999999999997</c:v>
                </c:pt>
                <c:pt idx="17">
                  <c:v>8.7475000000000005</c:v>
                </c:pt>
                <c:pt idx="18">
                  <c:v>8.7018000000000004</c:v>
                </c:pt>
                <c:pt idx="19">
                  <c:v>8.6328999999999994</c:v>
                </c:pt>
                <c:pt idx="20">
                  <c:v>8.4559999999999995</c:v>
                </c:pt>
                <c:pt idx="21">
                  <c:v>8.0963999999999992</c:v>
                </c:pt>
                <c:pt idx="22">
                  <c:v>7.5868000000000002</c:v>
                </c:pt>
                <c:pt idx="23">
                  <c:v>7.4691000000000001</c:v>
                </c:pt>
                <c:pt idx="24">
                  <c:v>7.3681999999999999</c:v>
                </c:pt>
                <c:pt idx="25">
                  <c:v>7.3013000000000003</c:v>
                </c:pt>
                <c:pt idx="26">
                  <c:v>7.0968</c:v>
                </c:pt>
                <c:pt idx="27">
                  <c:v>6.8738999999999999</c:v>
                </c:pt>
                <c:pt idx="28">
                  <c:v>6.6311</c:v>
                </c:pt>
                <c:pt idx="29">
                  <c:v>6.3798000000000004</c:v>
                </c:pt>
                <c:pt idx="30">
                  <c:v>6.2073</c:v>
                </c:pt>
                <c:pt idx="31">
                  <c:v>6.1155999999999997</c:v>
                </c:pt>
                <c:pt idx="32">
                  <c:v>5.9715999999999996</c:v>
                </c:pt>
                <c:pt idx="33">
                  <c:v>5.8</c:v>
                </c:pt>
                <c:pt idx="34">
                  <c:v>5.0853000000000002</c:v>
                </c:pt>
              </c:numCache>
            </c:numRef>
          </c:val>
          <c:extLst>
            <c:ext xmlns:c16="http://schemas.microsoft.com/office/drawing/2014/chart" uri="{C3380CC4-5D6E-409C-BE32-E72D297353CC}">
              <c16:uniqueId val="{00000002-9BD6-4F80-AB2D-21FD0F8BBBD3}"/>
            </c:ext>
          </c:extLst>
        </c:ser>
        <c:dLbls>
          <c:showLegendKey val="0"/>
          <c:showVal val="0"/>
          <c:showCatName val="0"/>
          <c:showSerName val="0"/>
          <c:showPercent val="0"/>
          <c:showBubbleSize val="0"/>
        </c:dLbls>
        <c:gapWidth val="65"/>
        <c:axId val="330251200"/>
        <c:axId val="437929224"/>
      </c:barChart>
      <c:catAx>
        <c:axId val="330251200"/>
        <c:scaling>
          <c:orientation val="minMax"/>
        </c:scaling>
        <c:delete val="0"/>
        <c:axPos val="b"/>
        <c:numFmt formatCode="General" sourceLinked="0"/>
        <c:majorTickMark val="out"/>
        <c:minorTickMark val="none"/>
        <c:tickLblPos val="nextTo"/>
        <c:txPr>
          <a:bodyPr/>
          <a:lstStyle/>
          <a:p>
            <a:pPr>
              <a:defRPr b="0"/>
            </a:pPr>
            <a:endParaRPr lang="lv-LV"/>
          </a:p>
        </c:txPr>
        <c:crossAx val="437929224"/>
        <c:crosses val="autoZero"/>
        <c:auto val="1"/>
        <c:lblAlgn val="ctr"/>
        <c:lblOffset val="100"/>
        <c:noMultiLvlLbl val="0"/>
      </c:catAx>
      <c:valAx>
        <c:axId val="437929224"/>
        <c:scaling>
          <c:orientation val="minMax"/>
          <c:max val="12"/>
          <c:min val="0"/>
        </c:scaling>
        <c:delete val="0"/>
        <c:axPos val="l"/>
        <c:majorGridlines/>
        <c:numFmt formatCode="0" sourceLinked="0"/>
        <c:majorTickMark val="out"/>
        <c:minorTickMark val="none"/>
        <c:tickLblPos val="nextTo"/>
        <c:txPr>
          <a:bodyPr/>
          <a:lstStyle/>
          <a:p>
            <a:pPr>
              <a:defRPr b="0"/>
            </a:pPr>
            <a:endParaRPr lang="lv-LV"/>
          </a:p>
        </c:txPr>
        <c:crossAx val="330251200"/>
        <c:crosses val="autoZero"/>
        <c:crossBetween val="between"/>
        <c:majorUnit val="2"/>
      </c:valAx>
    </c:plotArea>
    <c:plotVisOnly val="1"/>
    <c:dispBlanksAs val="gap"/>
    <c:showDLblsOverMax val="0"/>
  </c:chart>
  <c:spPr>
    <a:ln>
      <a:solidFill>
        <a:sysClr val="window" lastClr="FFFFFF">
          <a:lumMod val="85000"/>
        </a:sysClr>
      </a:solidFill>
    </a:ln>
  </c:spPr>
  <c:txPr>
    <a:bodyPr/>
    <a:lstStyle/>
    <a:p>
      <a:pPr>
        <a:defRPr sz="900" b="1">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436138538082235E-2"/>
          <c:y val="5.803945728935514E-2"/>
          <c:w val="0.92784679867595488"/>
          <c:h val="0.61359819937696158"/>
        </c:manualLayout>
      </c:layout>
      <c:barChart>
        <c:barDir val="col"/>
        <c:grouping val="clustered"/>
        <c:varyColors val="0"/>
        <c:ser>
          <c:idx val="0"/>
          <c:order val="0"/>
          <c:tx>
            <c:strRef>
              <c:f>Sheet1!$B$1</c:f>
              <c:strCache>
                <c:ptCount val="1"/>
                <c:pt idx="0">
                  <c:v>Series 1</c:v>
                </c:pt>
              </c:strCache>
            </c:strRef>
          </c:tx>
          <c:spPr>
            <a:solidFill>
              <a:srgbClr val="4472C4">
                <a:lumMod val="75000"/>
              </a:srgbClr>
            </a:solidFill>
          </c:spPr>
          <c:invertIfNegative val="0"/>
          <c:dPt>
            <c:idx val="0"/>
            <c:invertIfNegative val="0"/>
            <c:bubble3D val="0"/>
            <c:extLst>
              <c:ext xmlns:c16="http://schemas.microsoft.com/office/drawing/2014/chart" uri="{C3380CC4-5D6E-409C-BE32-E72D297353CC}">
                <c16:uniqueId val="{00000001-2C15-40A6-9B39-87E64E5D7AB0}"/>
              </c:ext>
            </c:extLst>
          </c:dPt>
          <c:dPt>
            <c:idx val="26"/>
            <c:invertIfNegative val="0"/>
            <c:bubble3D val="0"/>
            <c:extLst>
              <c:ext xmlns:c16="http://schemas.microsoft.com/office/drawing/2014/chart" uri="{C3380CC4-5D6E-409C-BE32-E72D297353CC}">
                <c16:uniqueId val="{00000003-2C15-40A6-9B39-87E64E5D7AB0}"/>
              </c:ext>
            </c:extLst>
          </c:dPt>
          <c:dPt>
            <c:idx val="29"/>
            <c:invertIfNegative val="0"/>
            <c:bubble3D val="0"/>
            <c:extLst>
              <c:ext xmlns:c16="http://schemas.microsoft.com/office/drawing/2014/chart" uri="{C3380CC4-5D6E-409C-BE32-E72D297353CC}">
                <c16:uniqueId val="{00000005-2C15-40A6-9B39-87E64E5D7AB0}"/>
              </c:ext>
            </c:extLst>
          </c:dPt>
          <c:dPt>
            <c:idx val="32"/>
            <c:invertIfNegative val="0"/>
            <c:bubble3D val="0"/>
            <c:spPr>
              <a:solidFill>
                <a:srgbClr val="ED7D31">
                  <a:lumMod val="75000"/>
                </a:srgbClr>
              </a:solidFill>
            </c:spPr>
            <c:extLst>
              <c:ext xmlns:c16="http://schemas.microsoft.com/office/drawing/2014/chart" uri="{C3380CC4-5D6E-409C-BE32-E72D297353CC}">
                <c16:uniqueId val="{00000007-2C15-40A6-9B39-87E64E5D7AB0}"/>
              </c:ext>
            </c:extLst>
          </c:dPt>
          <c:dPt>
            <c:idx val="33"/>
            <c:invertIfNegative val="0"/>
            <c:bubble3D val="0"/>
            <c:extLst>
              <c:ext xmlns:c16="http://schemas.microsoft.com/office/drawing/2014/chart" uri="{C3380CC4-5D6E-409C-BE32-E72D297353CC}">
                <c16:uniqueId val="{00000009-2C15-40A6-9B39-87E64E5D7AB0}"/>
              </c:ext>
            </c:extLst>
          </c:dPt>
          <c:cat>
            <c:strRef>
              <c:f>Sheet1!$A$2:$A$36</c:f>
              <c:strCache>
                <c:ptCount val="35"/>
                <c:pt idx="0">
                  <c:v>Nīderlande</c:v>
                </c:pt>
                <c:pt idx="1">
                  <c:v>Zviedrija</c:v>
                </c:pt>
                <c:pt idx="2">
                  <c:v>Dānija</c:v>
                </c:pt>
                <c:pt idx="3">
                  <c:v>Francija</c:v>
                </c:pt>
                <c:pt idx="4">
                  <c:v>Japāna</c:v>
                </c:pt>
                <c:pt idx="5">
                  <c:v>Vācija</c:v>
                </c:pt>
                <c:pt idx="6">
                  <c:v>Beļģija</c:v>
                </c:pt>
                <c:pt idx="7">
                  <c:v>Austrija</c:v>
                </c:pt>
                <c:pt idx="8">
                  <c:v>Jaunzēlande</c:v>
                </c:pt>
                <c:pt idx="9">
                  <c:v>Norvēģija</c:v>
                </c:pt>
                <c:pt idx="10">
                  <c:v>Šveice</c:v>
                </c:pt>
                <c:pt idx="11">
                  <c:v>Kanāda</c:v>
                </c:pt>
                <c:pt idx="12">
                  <c:v>Islande</c:v>
                </c:pt>
                <c:pt idx="13">
                  <c:v>Lielbritānija</c:v>
                </c:pt>
                <c:pt idx="14">
                  <c:v>Itālija</c:v>
                </c:pt>
                <c:pt idx="15">
                  <c:v>Somija</c:v>
                </c:pt>
                <c:pt idx="16">
                  <c:v>Spānija</c:v>
                </c:pt>
                <c:pt idx="17">
                  <c:v>Slovēnija</c:v>
                </c:pt>
                <c:pt idx="18">
                  <c:v>Portugāle</c:v>
                </c:pt>
                <c:pt idx="19">
                  <c:v>Grieķija</c:v>
                </c:pt>
                <c:pt idx="20">
                  <c:v>Čehijas Rep.</c:v>
                </c:pt>
                <c:pt idx="21">
                  <c:v>Austrālija</c:v>
                </c:pt>
                <c:pt idx="22">
                  <c:v>Slovākijas Rep.</c:v>
                </c:pt>
                <c:pt idx="23">
                  <c:v>Īrija</c:v>
                </c:pt>
                <c:pt idx="24">
                  <c:v>Luksemburga</c:v>
                </c:pt>
                <c:pt idx="25">
                  <c:v>Ungārija</c:v>
                </c:pt>
                <c:pt idx="26">
                  <c:v>Igaunija</c:v>
                </c:pt>
                <c:pt idx="27">
                  <c:v>Polija</c:v>
                </c:pt>
                <c:pt idx="28">
                  <c:v>Izraēla</c:v>
                </c:pt>
                <c:pt idx="29">
                  <c:v>Lietuva</c:v>
                </c:pt>
                <c:pt idx="30">
                  <c:v>Turcija</c:v>
                </c:pt>
                <c:pt idx="31">
                  <c:v>Koreja</c:v>
                </c:pt>
                <c:pt idx="32">
                  <c:v>Latvija</c:v>
                </c:pt>
                <c:pt idx="33">
                  <c:v>Čīle</c:v>
                </c:pt>
                <c:pt idx="34">
                  <c:v>Meksika</c:v>
                </c:pt>
              </c:strCache>
            </c:strRef>
          </c:cat>
          <c:val>
            <c:numRef>
              <c:f>Sheet1!$B$2:$B$36</c:f>
              <c:numCache>
                <c:formatCode>0.00</c:formatCode>
                <c:ptCount val="35"/>
                <c:pt idx="0">
                  <c:v>9.7368733800000005</c:v>
                </c:pt>
                <c:pt idx="1">
                  <c:v>9.2403923448</c:v>
                </c:pt>
                <c:pt idx="2">
                  <c:v>8.7722243474999999</c:v>
                </c:pt>
                <c:pt idx="3">
                  <c:v>8.6200488298</c:v>
                </c:pt>
                <c:pt idx="4">
                  <c:v>8.5282346916000016</c:v>
                </c:pt>
                <c:pt idx="5">
                  <c:v>8.3792327329000003</c:v>
                </c:pt>
                <c:pt idx="6">
                  <c:v>7.9655141339999993</c:v>
                </c:pt>
                <c:pt idx="7">
                  <c:v>7.6958704029999998</c:v>
                </c:pt>
                <c:pt idx="8">
                  <c:v>7.6114098647999997</c:v>
                </c:pt>
                <c:pt idx="9">
                  <c:v>7.5880054576000013</c:v>
                </c:pt>
                <c:pt idx="10">
                  <c:v>7.3382411826</c:v>
                </c:pt>
                <c:pt idx="11">
                  <c:v>7.1753194061999999</c:v>
                </c:pt>
                <c:pt idx="12">
                  <c:v>7.0612444250000008</c:v>
                </c:pt>
                <c:pt idx="13">
                  <c:v>7.0447697039999992</c:v>
                </c:pt>
                <c:pt idx="14">
                  <c:v>6.7870781296000002</c:v>
                </c:pt>
                <c:pt idx="15">
                  <c:v>6.4775324899000006</c:v>
                </c:pt>
                <c:pt idx="16">
                  <c:v>6.2637989279999999</c:v>
                </c:pt>
                <c:pt idx="17">
                  <c:v>6.1784259306000004</c:v>
                </c:pt>
                <c:pt idx="18">
                  <c:v>6.0842498352999996</c:v>
                </c:pt>
                <c:pt idx="19">
                  <c:v>5.9981714190000011</c:v>
                </c:pt>
                <c:pt idx="20">
                  <c:v>5.9707223568000005</c:v>
                </c:pt>
                <c:pt idx="21">
                  <c:v>5.945638701</c:v>
                </c:pt>
                <c:pt idx="22">
                  <c:v>5.6298077003999998</c:v>
                </c:pt>
                <c:pt idx="23">
                  <c:v>5.5459611323999995</c:v>
                </c:pt>
                <c:pt idx="24">
                  <c:v>5.4735818151000002</c:v>
                </c:pt>
                <c:pt idx="25">
                  <c:v>4.7614192584000001</c:v>
                </c:pt>
                <c:pt idx="26">
                  <c:v>4.6374012416000001</c:v>
                </c:pt>
                <c:pt idx="27">
                  <c:v>4.5051531882000004</c:v>
                </c:pt>
                <c:pt idx="28">
                  <c:v>4.4419633992000005</c:v>
                </c:pt>
                <c:pt idx="29">
                  <c:v>4.0654123715999999</c:v>
                </c:pt>
                <c:pt idx="30">
                  <c:v>3.9843528911999999</c:v>
                </c:pt>
                <c:pt idx="31">
                  <c:v>3.8432181117000002</c:v>
                </c:pt>
                <c:pt idx="32">
                  <c:v>3.67</c:v>
                </c:pt>
                <c:pt idx="33">
                  <c:v>3.4059250266000003</c:v>
                </c:pt>
                <c:pt idx="34">
                  <c:v>3.1725075789000003</c:v>
                </c:pt>
              </c:numCache>
            </c:numRef>
          </c:val>
          <c:extLst>
            <c:ext xmlns:c16="http://schemas.microsoft.com/office/drawing/2014/chart" uri="{C3380CC4-5D6E-409C-BE32-E72D297353CC}">
              <c16:uniqueId val="{0000000A-2C15-40A6-9B39-87E64E5D7AB0}"/>
            </c:ext>
          </c:extLst>
        </c:ser>
        <c:dLbls>
          <c:showLegendKey val="0"/>
          <c:showVal val="0"/>
          <c:showCatName val="0"/>
          <c:showSerName val="0"/>
          <c:showPercent val="0"/>
          <c:showBubbleSize val="0"/>
        </c:dLbls>
        <c:gapWidth val="85"/>
        <c:axId val="344994824"/>
        <c:axId val="344995216"/>
      </c:barChart>
      <c:catAx>
        <c:axId val="344994824"/>
        <c:scaling>
          <c:orientation val="minMax"/>
        </c:scaling>
        <c:delete val="0"/>
        <c:axPos val="b"/>
        <c:numFmt formatCode="General" sourceLinked="0"/>
        <c:majorTickMark val="out"/>
        <c:minorTickMark val="none"/>
        <c:tickLblPos val="nextTo"/>
        <c:crossAx val="344995216"/>
        <c:crosses val="autoZero"/>
        <c:auto val="1"/>
        <c:lblAlgn val="ctr"/>
        <c:lblOffset val="100"/>
        <c:tickLblSkip val="1"/>
        <c:noMultiLvlLbl val="0"/>
      </c:catAx>
      <c:valAx>
        <c:axId val="344995216"/>
        <c:scaling>
          <c:orientation val="minMax"/>
          <c:max val="10"/>
          <c:min val="0"/>
        </c:scaling>
        <c:delete val="0"/>
        <c:axPos val="l"/>
        <c:majorGridlines/>
        <c:numFmt formatCode="0" sourceLinked="0"/>
        <c:majorTickMark val="out"/>
        <c:minorTickMark val="none"/>
        <c:tickLblPos val="nextTo"/>
        <c:crossAx val="344994824"/>
        <c:crosses val="autoZero"/>
        <c:crossBetween val="between"/>
        <c:majorUnit val="2"/>
      </c:valAx>
    </c:plotArea>
    <c:plotVisOnly val="1"/>
    <c:dispBlanksAs val="gap"/>
    <c:showDLblsOverMax val="0"/>
  </c:chart>
  <c:txPr>
    <a:bodyPr/>
    <a:lstStyle/>
    <a:p>
      <a:pPr>
        <a:defRPr sz="1000" b="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solidFill>
              <a:srgbClr val="4472C4">
                <a:lumMod val="75000"/>
              </a:srgbClr>
            </a:solidFill>
          </c:spPr>
          <c:invertIfNegative val="0"/>
          <c:dPt>
            <c:idx val="18"/>
            <c:invertIfNegative val="0"/>
            <c:bubble3D val="0"/>
            <c:spPr>
              <a:solidFill>
                <a:srgbClr val="ED7D31">
                  <a:lumMod val="75000"/>
                </a:srgbClr>
              </a:solidFill>
            </c:spPr>
            <c:extLst>
              <c:ext xmlns:c16="http://schemas.microsoft.com/office/drawing/2014/chart" uri="{C3380CC4-5D6E-409C-BE32-E72D297353CC}">
                <c16:uniqueId val="{00000001-98C2-4C83-9FD2-7313CBEA16A5}"/>
              </c:ext>
            </c:extLst>
          </c:dPt>
          <c:dPt>
            <c:idx val="19"/>
            <c:invertIfNegative val="0"/>
            <c:bubble3D val="0"/>
            <c:extLst>
              <c:ext xmlns:c16="http://schemas.microsoft.com/office/drawing/2014/chart" uri="{C3380CC4-5D6E-409C-BE32-E72D297353CC}">
                <c16:uniqueId val="{00000003-98C2-4C83-9FD2-7313CBEA16A5}"/>
              </c:ext>
            </c:extLst>
          </c:dPt>
          <c:dPt>
            <c:idx val="22"/>
            <c:invertIfNegative val="0"/>
            <c:bubble3D val="0"/>
            <c:extLst>
              <c:ext xmlns:c16="http://schemas.microsoft.com/office/drawing/2014/chart" uri="{C3380CC4-5D6E-409C-BE32-E72D297353CC}">
                <c16:uniqueId val="{00000005-98C2-4C83-9FD2-7313CBEA16A5}"/>
              </c:ext>
            </c:extLst>
          </c:dPt>
          <c:dPt>
            <c:idx val="29"/>
            <c:invertIfNegative val="0"/>
            <c:bubble3D val="0"/>
            <c:extLst>
              <c:ext xmlns:c16="http://schemas.microsoft.com/office/drawing/2014/chart" uri="{C3380CC4-5D6E-409C-BE32-E72D297353CC}">
                <c16:uniqueId val="{00000007-98C2-4C83-9FD2-7313CBEA16A5}"/>
              </c:ext>
            </c:extLst>
          </c:dPt>
          <c:dPt>
            <c:idx val="31"/>
            <c:invertIfNegative val="0"/>
            <c:bubble3D val="0"/>
            <c:extLst>
              <c:ext xmlns:c16="http://schemas.microsoft.com/office/drawing/2014/chart" uri="{C3380CC4-5D6E-409C-BE32-E72D297353CC}">
                <c16:uniqueId val="{00000009-98C2-4C83-9FD2-7313CBEA16A5}"/>
              </c:ext>
            </c:extLst>
          </c:dPt>
          <c:cat>
            <c:strRef>
              <c:f>Sheet1!$A$2:$A$36</c:f>
              <c:strCache>
                <c:ptCount val="35"/>
                <c:pt idx="0">
                  <c:v>Čīle</c:v>
                </c:pt>
                <c:pt idx="1">
                  <c:v>Šveice</c:v>
                </c:pt>
                <c:pt idx="2">
                  <c:v>Grieķija</c:v>
                </c:pt>
                <c:pt idx="3">
                  <c:v>Portugāle</c:v>
                </c:pt>
                <c:pt idx="4">
                  <c:v>Meksika</c:v>
                </c:pt>
                <c:pt idx="5">
                  <c:v>Koreja</c:v>
                </c:pt>
                <c:pt idx="6">
                  <c:v>Izraēla</c:v>
                </c:pt>
                <c:pt idx="7">
                  <c:v>Kanāda</c:v>
                </c:pt>
                <c:pt idx="8">
                  <c:v>Austrālija</c:v>
                </c:pt>
                <c:pt idx="9">
                  <c:v>Ungārija</c:v>
                </c:pt>
                <c:pt idx="10">
                  <c:v>Vācija</c:v>
                </c:pt>
                <c:pt idx="11">
                  <c:v>Īrija</c:v>
                </c:pt>
                <c:pt idx="12">
                  <c:v>Slovēnija</c:v>
                </c:pt>
                <c:pt idx="13">
                  <c:v>Spānija</c:v>
                </c:pt>
                <c:pt idx="14">
                  <c:v>Austrija</c:v>
                </c:pt>
                <c:pt idx="15">
                  <c:v>Francija</c:v>
                </c:pt>
                <c:pt idx="16">
                  <c:v>Beļģija</c:v>
                </c:pt>
                <c:pt idx="17">
                  <c:v>Somija</c:v>
                </c:pt>
                <c:pt idx="18">
                  <c:v>Latvija</c:v>
                </c:pt>
                <c:pt idx="19">
                  <c:v>Lietuva</c:v>
                </c:pt>
                <c:pt idx="20">
                  <c:v>Itālija</c:v>
                </c:pt>
                <c:pt idx="21">
                  <c:v>Slovākijas Rep.</c:v>
                </c:pt>
                <c:pt idx="22">
                  <c:v>Jaunzēlande</c:v>
                </c:pt>
                <c:pt idx="23">
                  <c:v>Polija</c:v>
                </c:pt>
                <c:pt idx="24">
                  <c:v>Zviedrija</c:v>
                </c:pt>
                <c:pt idx="25">
                  <c:v>Japāna</c:v>
                </c:pt>
                <c:pt idx="26">
                  <c:v>Islande</c:v>
                </c:pt>
                <c:pt idx="27">
                  <c:v>Dānija</c:v>
                </c:pt>
                <c:pt idx="28">
                  <c:v>Lielbritānija</c:v>
                </c:pt>
                <c:pt idx="29">
                  <c:v>Nīderlande</c:v>
                </c:pt>
                <c:pt idx="30">
                  <c:v>Norvēģija</c:v>
                </c:pt>
                <c:pt idx="31">
                  <c:v>Igaunija</c:v>
                </c:pt>
                <c:pt idx="32">
                  <c:v>Luksemburga</c:v>
                </c:pt>
                <c:pt idx="33">
                  <c:v>Čehijas Rep.</c:v>
                </c:pt>
                <c:pt idx="34">
                  <c:v>Turcija</c:v>
                </c:pt>
              </c:strCache>
            </c:strRef>
          </c:cat>
          <c:val>
            <c:numRef>
              <c:f>Sheet1!$B$2:$B$36</c:f>
              <c:numCache>
                <c:formatCode>0.00</c:formatCode>
                <c:ptCount val="35"/>
                <c:pt idx="0">
                  <c:v>3.8953749733999996</c:v>
                </c:pt>
                <c:pt idx="1">
                  <c:v>3.7703588174</c:v>
                </c:pt>
                <c:pt idx="2">
                  <c:v>3.1548285809999999</c:v>
                </c:pt>
                <c:pt idx="3">
                  <c:v>3.0560501647000002</c:v>
                </c:pt>
                <c:pt idx="4">
                  <c:v>3.0347924211000001</c:v>
                </c:pt>
                <c:pt idx="5">
                  <c:v>3.0306818882999997</c:v>
                </c:pt>
                <c:pt idx="6">
                  <c:v>3.0271366008</c:v>
                </c:pt>
                <c:pt idx="7">
                  <c:v>2.9820805938000001</c:v>
                </c:pt>
                <c:pt idx="8">
                  <c:v>2.8458612989999992</c:v>
                </c:pt>
                <c:pt idx="9">
                  <c:v>2.6067807415999997</c:v>
                </c:pt>
                <c:pt idx="10">
                  <c:v>2.6008672670999999</c:v>
                </c:pt>
                <c:pt idx="11">
                  <c:v>2.5504388676</c:v>
                </c:pt>
                <c:pt idx="12">
                  <c:v>2.5233740694</c:v>
                </c:pt>
                <c:pt idx="13">
                  <c:v>2.4947010719999998</c:v>
                </c:pt>
                <c:pt idx="14">
                  <c:v>2.4038295970000005</c:v>
                </c:pt>
                <c:pt idx="15">
                  <c:v>2.3268511701999994</c:v>
                </c:pt>
                <c:pt idx="16">
                  <c:v>2.2716858659999999</c:v>
                </c:pt>
                <c:pt idx="17">
                  <c:v>2.1553675100999992</c:v>
                </c:pt>
                <c:pt idx="18">
                  <c:v>2.1560000000000001</c:v>
                </c:pt>
                <c:pt idx="19">
                  <c:v>2.0501876283999998</c:v>
                </c:pt>
                <c:pt idx="20">
                  <c:v>1.9845218703999994</c:v>
                </c:pt>
                <c:pt idx="21">
                  <c:v>1.9569922996000004</c:v>
                </c:pt>
                <c:pt idx="22">
                  <c:v>1.9246901351999997</c:v>
                </c:pt>
                <c:pt idx="23">
                  <c:v>1.8746468118000001</c:v>
                </c:pt>
                <c:pt idx="24">
                  <c:v>1.7438076552000006</c:v>
                </c:pt>
                <c:pt idx="25">
                  <c:v>1.7191653084000005</c:v>
                </c:pt>
                <c:pt idx="26">
                  <c:v>1.6862555750000001</c:v>
                </c:pt>
                <c:pt idx="27">
                  <c:v>1.6278756525000002</c:v>
                </c:pt>
                <c:pt idx="28">
                  <c:v>1.4112302959999996</c:v>
                </c:pt>
                <c:pt idx="29">
                  <c:v>1.3781266199999995</c:v>
                </c:pt>
                <c:pt idx="30">
                  <c:v>1.3430945423999998</c:v>
                </c:pt>
                <c:pt idx="31">
                  <c:v>1.3341987583999999</c:v>
                </c:pt>
                <c:pt idx="32">
                  <c:v>1.1575181849</c:v>
                </c:pt>
                <c:pt idx="33">
                  <c:v>1.1260776432000004</c:v>
                </c:pt>
                <c:pt idx="34">
                  <c:v>1.1009471088000005</c:v>
                </c:pt>
              </c:numCache>
            </c:numRef>
          </c:val>
          <c:extLst>
            <c:ext xmlns:c16="http://schemas.microsoft.com/office/drawing/2014/chart" uri="{C3380CC4-5D6E-409C-BE32-E72D297353CC}">
              <c16:uniqueId val="{0000000A-98C2-4C83-9FD2-7313CBEA16A5}"/>
            </c:ext>
          </c:extLst>
        </c:ser>
        <c:dLbls>
          <c:showLegendKey val="0"/>
          <c:showVal val="0"/>
          <c:showCatName val="0"/>
          <c:showSerName val="0"/>
          <c:showPercent val="0"/>
          <c:showBubbleSize val="0"/>
        </c:dLbls>
        <c:gapWidth val="85"/>
        <c:axId val="437030104"/>
        <c:axId val="437030496"/>
      </c:barChart>
      <c:catAx>
        <c:axId val="437030104"/>
        <c:scaling>
          <c:orientation val="minMax"/>
        </c:scaling>
        <c:delete val="0"/>
        <c:axPos val="b"/>
        <c:numFmt formatCode="General" sourceLinked="0"/>
        <c:majorTickMark val="out"/>
        <c:minorTickMark val="none"/>
        <c:tickLblPos val="nextTo"/>
        <c:crossAx val="437030496"/>
        <c:crosses val="autoZero"/>
        <c:auto val="1"/>
        <c:lblAlgn val="ctr"/>
        <c:lblOffset val="100"/>
        <c:tickLblSkip val="1"/>
        <c:noMultiLvlLbl val="0"/>
      </c:catAx>
      <c:valAx>
        <c:axId val="437030496"/>
        <c:scaling>
          <c:orientation val="minMax"/>
          <c:max val="4"/>
          <c:min val="0"/>
        </c:scaling>
        <c:delete val="0"/>
        <c:axPos val="l"/>
        <c:majorGridlines/>
        <c:numFmt formatCode="0.0" sourceLinked="0"/>
        <c:majorTickMark val="out"/>
        <c:minorTickMark val="none"/>
        <c:tickLblPos val="nextTo"/>
        <c:crossAx val="437030104"/>
        <c:crosses val="autoZero"/>
        <c:crossBetween val="between"/>
        <c:majorUnit val="0.5"/>
      </c:valAx>
    </c:plotArea>
    <c:plotVisOnly val="1"/>
    <c:dispBlanksAs val="gap"/>
    <c:showDLblsOverMax val="0"/>
  </c:chart>
  <c:txPr>
    <a:bodyPr/>
    <a:lstStyle/>
    <a:p>
      <a:pPr>
        <a:defRPr sz="1000" b="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lv-LV" sz="900"/>
              <a:t>Mirstība no onkoloģiskām slimībām (% no iedz., 2011.-2013.g. vidēji) </a:t>
            </a:r>
          </a:p>
        </c:rich>
      </c:tx>
      <c:layout>
        <c:manualLayout>
          <c:xMode val="edge"/>
          <c:yMode val="edge"/>
          <c:x val="0.12670367642893557"/>
          <c:y val="0.86412949865072186"/>
        </c:manualLayout>
      </c:layout>
      <c:overlay val="0"/>
    </c:title>
    <c:autoTitleDeleted val="0"/>
    <c:plotArea>
      <c:layout>
        <c:manualLayout>
          <c:layoutTarget val="inner"/>
          <c:xMode val="edge"/>
          <c:yMode val="edge"/>
          <c:x val="0.43435285023275977"/>
          <c:y val="3.5727020202020204E-2"/>
          <c:w val="0.40297556456150935"/>
          <c:h val="0.76088124999999995"/>
        </c:manualLayout>
      </c:layout>
      <c:barChart>
        <c:barDir val="bar"/>
        <c:grouping val="clustered"/>
        <c:varyColors val="0"/>
        <c:ser>
          <c:idx val="0"/>
          <c:order val="0"/>
          <c:tx>
            <c:strRef>
              <c:f>Sheet1!$B$1</c:f>
              <c:strCache>
                <c:ptCount val="1"/>
                <c:pt idx="0">
                  <c:v>2011-2013 average</c:v>
                </c:pt>
              </c:strCache>
            </c:strRef>
          </c:tx>
          <c:spPr>
            <a:solidFill>
              <a:srgbClr val="4472C4">
                <a:lumMod val="75000"/>
              </a:srgbClr>
            </a:solidFill>
          </c:spPr>
          <c:invertIfNegative val="0"/>
          <c:dPt>
            <c:idx val="3"/>
            <c:invertIfNegative val="0"/>
            <c:bubble3D val="0"/>
            <c:spPr>
              <a:solidFill>
                <a:srgbClr val="ED7D31">
                  <a:lumMod val="75000"/>
                </a:srgbClr>
              </a:solidFill>
            </c:spPr>
            <c:extLst>
              <c:ext xmlns:c16="http://schemas.microsoft.com/office/drawing/2014/chart" uri="{C3380CC4-5D6E-409C-BE32-E72D297353CC}">
                <c16:uniqueId val="{00000001-99FA-4A2B-BB49-0C8374CFAA08}"/>
              </c:ext>
            </c:extLst>
          </c:dPt>
          <c:dPt>
            <c:idx val="6"/>
            <c:invertIfNegative val="0"/>
            <c:bubble3D val="0"/>
            <c:extLst>
              <c:ext xmlns:c16="http://schemas.microsoft.com/office/drawing/2014/chart" uri="{C3380CC4-5D6E-409C-BE32-E72D297353CC}">
                <c16:uniqueId val="{00000003-99FA-4A2B-BB49-0C8374CFAA08}"/>
              </c:ext>
            </c:extLst>
          </c:dPt>
          <c:dPt>
            <c:idx val="8"/>
            <c:invertIfNegative val="0"/>
            <c:bubble3D val="0"/>
            <c:extLst>
              <c:ext xmlns:c16="http://schemas.microsoft.com/office/drawing/2014/chart" uri="{C3380CC4-5D6E-409C-BE32-E72D297353CC}">
                <c16:uniqueId val="{00000005-99FA-4A2B-BB49-0C8374CFAA08}"/>
              </c:ext>
            </c:extLst>
          </c:dPt>
          <c:dPt>
            <c:idx val="9"/>
            <c:invertIfNegative val="0"/>
            <c:bubble3D val="0"/>
            <c:extLst>
              <c:ext xmlns:c16="http://schemas.microsoft.com/office/drawing/2014/chart" uri="{C3380CC4-5D6E-409C-BE32-E72D297353CC}">
                <c16:uniqueId val="{00000007-99FA-4A2B-BB49-0C8374CFAA08}"/>
              </c:ext>
            </c:extLst>
          </c:dPt>
          <c:dPt>
            <c:idx val="11"/>
            <c:invertIfNegative val="0"/>
            <c:bubble3D val="0"/>
            <c:spPr>
              <a:solidFill>
                <a:srgbClr val="C00000"/>
              </a:solidFill>
            </c:spPr>
            <c:extLst>
              <c:ext xmlns:c16="http://schemas.microsoft.com/office/drawing/2014/chart" uri="{C3380CC4-5D6E-409C-BE32-E72D297353CC}">
                <c16:uniqueId val="{00000009-99FA-4A2B-BB49-0C8374CFAA08}"/>
              </c:ext>
            </c:extLst>
          </c:dPt>
          <c:cat>
            <c:strRef>
              <c:f>Sheet1!$A$2:$A$30</c:f>
              <c:strCache>
                <c:ptCount val="29"/>
                <c:pt idx="0">
                  <c:v>Ungārija</c:v>
                </c:pt>
                <c:pt idx="1">
                  <c:v>Horvātija</c:v>
                </c:pt>
                <c:pt idx="2">
                  <c:v>Itālija</c:v>
                </c:pt>
                <c:pt idx="3">
                  <c:v>Latvija</c:v>
                </c:pt>
                <c:pt idx="4">
                  <c:v>Slovēnija</c:v>
                </c:pt>
                <c:pt idx="5">
                  <c:v>Dānija</c:v>
                </c:pt>
                <c:pt idx="6">
                  <c:v>Igaunija</c:v>
                </c:pt>
                <c:pt idx="7">
                  <c:v>Vācija</c:v>
                </c:pt>
                <c:pt idx="8">
                  <c:v>Lietuva</c:v>
                </c:pt>
                <c:pt idx="9">
                  <c:v>Nīderlande</c:v>
                </c:pt>
                <c:pt idx="10">
                  <c:v>Čehijas Rep.</c:v>
                </c:pt>
                <c:pt idx="11">
                  <c:v>ES-28</c:v>
                </c:pt>
                <c:pt idx="12">
                  <c:v>Lielbritānija</c:v>
                </c:pt>
                <c:pt idx="13">
                  <c:v>Beļģija</c:v>
                </c:pt>
                <c:pt idx="14">
                  <c:v>Polija</c:v>
                </c:pt>
                <c:pt idx="15">
                  <c:v>Grieķija</c:v>
                </c:pt>
                <c:pt idx="16">
                  <c:v>Portugāle</c:v>
                </c:pt>
                <c:pt idx="17">
                  <c:v>Francija</c:v>
                </c:pt>
                <c:pt idx="18">
                  <c:v>Austrija</c:v>
                </c:pt>
                <c:pt idx="19">
                  <c:v>Slovākija</c:v>
                </c:pt>
                <c:pt idx="20">
                  <c:v>Bulgārija</c:v>
                </c:pt>
                <c:pt idx="21">
                  <c:v>Zviedrija</c:v>
                </c:pt>
                <c:pt idx="22">
                  <c:v>Rumānija</c:v>
                </c:pt>
                <c:pt idx="23">
                  <c:v>Spānija</c:v>
                </c:pt>
                <c:pt idx="24">
                  <c:v>Somija</c:v>
                </c:pt>
                <c:pt idx="25">
                  <c:v>Malta</c:v>
                </c:pt>
                <c:pt idx="26">
                  <c:v>Luksemburga</c:v>
                </c:pt>
                <c:pt idx="27">
                  <c:v>Īrija</c:v>
                </c:pt>
                <c:pt idx="28">
                  <c:v>Kipra</c:v>
                </c:pt>
              </c:strCache>
            </c:strRef>
          </c:cat>
          <c:val>
            <c:numRef>
              <c:f>Sheet1!$B$2:$B$30</c:f>
              <c:numCache>
                <c:formatCode>0.00%</c:formatCode>
                <c:ptCount val="29"/>
                <c:pt idx="0">
                  <c:v>3.3640616573647982E-3</c:v>
                </c:pt>
                <c:pt idx="1">
                  <c:v>3.2707407346487336E-3</c:v>
                </c:pt>
                <c:pt idx="2">
                  <c:v>2.9675900115377295E-3</c:v>
                </c:pt>
                <c:pt idx="3">
                  <c:v>2.9512099716713139E-3</c:v>
                </c:pt>
                <c:pt idx="4">
                  <c:v>2.9116688344532392E-3</c:v>
                </c:pt>
                <c:pt idx="5">
                  <c:v>2.8239753861913556E-3</c:v>
                </c:pt>
                <c:pt idx="6">
                  <c:v>2.804995457919911E-3</c:v>
                </c:pt>
                <c:pt idx="7">
                  <c:v>2.8030185974546934E-3</c:v>
                </c:pt>
                <c:pt idx="8">
                  <c:v>2.689481569502624E-3</c:v>
                </c:pt>
                <c:pt idx="9">
                  <c:v>2.6620468055856944E-3</c:v>
                </c:pt>
                <c:pt idx="10">
                  <c:v>2.631528751740692E-3</c:v>
                </c:pt>
                <c:pt idx="11">
                  <c:v>2.6296249683235504E-3</c:v>
                </c:pt>
                <c:pt idx="12">
                  <c:v>2.5992115285657629E-3</c:v>
                </c:pt>
                <c:pt idx="13">
                  <c:v>2.5927973941227041E-3</c:v>
                </c:pt>
                <c:pt idx="14">
                  <c:v>2.5740647887895025E-3</c:v>
                </c:pt>
                <c:pt idx="15">
                  <c:v>2.5415936627771439E-3</c:v>
                </c:pt>
                <c:pt idx="16">
                  <c:v>2.4927530838789245E-3</c:v>
                </c:pt>
                <c:pt idx="17">
                  <c:v>2.4919206854072634E-3</c:v>
                </c:pt>
                <c:pt idx="18">
                  <c:v>2.4908911757788592E-3</c:v>
                </c:pt>
                <c:pt idx="19">
                  <c:v>2.4360170695187267E-3</c:v>
                </c:pt>
                <c:pt idx="20">
                  <c:v>2.434079256885211E-3</c:v>
                </c:pt>
                <c:pt idx="21">
                  <c:v>2.427891612092056E-3</c:v>
                </c:pt>
                <c:pt idx="22">
                  <c:v>2.4217307070668785E-3</c:v>
                </c:pt>
                <c:pt idx="23">
                  <c:v>2.363221179265876E-3</c:v>
                </c:pt>
                <c:pt idx="24">
                  <c:v>2.2340008160107961E-3</c:v>
                </c:pt>
                <c:pt idx="25">
                  <c:v>2.1381307425877203E-3</c:v>
                </c:pt>
                <c:pt idx="26">
                  <c:v>2.0784987532820069E-3</c:v>
                </c:pt>
                <c:pt idx="27">
                  <c:v>1.9364590286783793E-3</c:v>
                </c:pt>
                <c:pt idx="28">
                  <c:v>1.4608745774329734E-3</c:v>
                </c:pt>
              </c:numCache>
            </c:numRef>
          </c:val>
          <c:extLst>
            <c:ext xmlns:c16="http://schemas.microsoft.com/office/drawing/2014/chart" uri="{C3380CC4-5D6E-409C-BE32-E72D297353CC}">
              <c16:uniqueId val="{0000000A-99FA-4A2B-BB49-0C8374CFAA08}"/>
            </c:ext>
          </c:extLst>
        </c:ser>
        <c:dLbls>
          <c:showLegendKey val="0"/>
          <c:showVal val="0"/>
          <c:showCatName val="0"/>
          <c:showSerName val="0"/>
          <c:showPercent val="0"/>
          <c:showBubbleSize val="0"/>
        </c:dLbls>
        <c:gapWidth val="150"/>
        <c:axId val="437031280"/>
        <c:axId val="436841304"/>
      </c:barChart>
      <c:catAx>
        <c:axId val="437031280"/>
        <c:scaling>
          <c:orientation val="minMax"/>
        </c:scaling>
        <c:delete val="0"/>
        <c:axPos val="l"/>
        <c:numFmt formatCode="General" sourceLinked="0"/>
        <c:majorTickMark val="out"/>
        <c:minorTickMark val="none"/>
        <c:tickLblPos val="nextTo"/>
        <c:txPr>
          <a:bodyPr/>
          <a:lstStyle/>
          <a:p>
            <a:pPr>
              <a:defRPr sz="700"/>
            </a:pPr>
            <a:endParaRPr lang="lv-LV"/>
          </a:p>
        </c:txPr>
        <c:crossAx val="436841304"/>
        <c:crosses val="autoZero"/>
        <c:auto val="1"/>
        <c:lblAlgn val="ctr"/>
        <c:lblOffset val="100"/>
        <c:tickLblSkip val="1"/>
        <c:noMultiLvlLbl val="0"/>
      </c:catAx>
      <c:valAx>
        <c:axId val="436841304"/>
        <c:scaling>
          <c:orientation val="minMax"/>
        </c:scaling>
        <c:delete val="0"/>
        <c:axPos val="b"/>
        <c:majorGridlines/>
        <c:numFmt formatCode="0.0%" sourceLinked="0"/>
        <c:majorTickMark val="out"/>
        <c:minorTickMark val="none"/>
        <c:tickLblPos val="nextTo"/>
        <c:crossAx val="437031280"/>
        <c:crosses val="autoZero"/>
        <c:crossBetween val="between"/>
        <c:majorUnit val="2.500000000000004E-3"/>
      </c:valAx>
    </c:plotArea>
    <c:plotVisOnly val="1"/>
    <c:dispBlanksAs val="gap"/>
    <c:showDLblsOverMax val="0"/>
  </c:chart>
  <c:spPr>
    <a:ln>
      <a:solidFill>
        <a:sysClr val="window" lastClr="FFFFFF">
          <a:lumMod val="85000"/>
        </a:sysClr>
      </a:solidFill>
    </a:ln>
  </c:spPr>
  <c:txPr>
    <a:bodyPr/>
    <a:lstStyle/>
    <a:p>
      <a:pPr>
        <a:defRPr sz="800" b="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lv-LV" sz="900"/>
              <a:t>Mirstība no asinsrites slimībām </a:t>
            </a:r>
          </a:p>
          <a:p>
            <a:pPr>
              <a:defRPr sz="900"/>
            </a:pPr>
            <a:r>
              <a:rPr lang="lv-LV" sz="900"/>
              <a:t>(% no iedz., 2011.-2013.g. vidēji) </a:t>
            </a:r>
          </a:p>
        </c:rich>
      </c:tx>
      <c:layout>
        <c:manualLayout>
          <c:xMode val="edge"/>
          <c:yMode val="edge"/>
          <c:x val="0.11938422124911971"/>
          <c:y val="0.84067567567567569"/>
        </c:manualLayout>
      </c:layout>
      <c:overlay val="0"/>
    </c:title>
    <c:autoTitleDeleted val="0"/>
    <c:plotArea>
      <c:layout>
        <c:manualLayout>
          <c:layoutTarget val="inner"/>
          <c:xMode val="edge"/>
          <c:yMode val="edge"/>
          <c:x val="0.44837596099473254"/>
          <c:y val="3.5887626262626281E-2"/>
          <c:w val="0.39018621323081293"/>
          <c:h val="0.75298611111111102"/>
        </c:manualLayout>
      </c:layout>
      <c:barChart>
        <c:barDir val="bar"/>
        <c:grouping val="clustered"/>
        <c:varyColors val="0"/>
        <c:ser>
          <c:idx val="0"/>
          <c:order val="0"/>
          <c:tx>
            <c:strRef>
              <c:f>Sheet1!$B$1</c:f>
              <c:strCache>
                <c:ptCount val="1"/>
                <c:pt idx="0">
                  <c:v>2011-2013</c:v>
                </c:pt>
              </c:strCache>
            </c:strRef>
          </c:tx>
          <c:spPr>
            <a:solidFill>
              <a:srgbClr val="4472C4">
                <a:lumMod val="75000"/>
              </a:srgbClr>
            </a:solidFill>
          </c:spPr>
          <c:invertIfNegative val="0"/>
          <c:dPt>
            <c:idx val="1"/>
            <c:invertIfNegative val="0"/>
            <c:bubble3D val="0"/>
            <c:spPr>
              <a:solidFill>
                <a:srgbClr val="ED7D31">
                  <a:lumMod val="75000"/>
                </a:srgbClr>
              </a:solidFill>
            </c:spPr>
            <c:extLst>
              <c:ext xmlns:c16="http://schemas.microsoft.com/office/drawing/2014/chart" uri="{C3380CC4-5D6E-409C-BE32-E72D297353CC}">
                <c16:uniqueId val="{00000001-682C-4270-A9CA-51D165EBBFE5}"/>
              </c:ext>
            </c:extLst>
          </c:dPt>
          <c:dPt>
            <c:idx val="2"/>
            <c:invertIfNegative val="0"/>
            <c:bubble3D val="0"/>
            <c:extLst>
              <c:ext xmlns:c16="http://schemas.microsoft.com/office/drawing/2014/chart" uri="{C3380CC4-5D6E-409C-BE32-E72D297353CC}">
                <c16:uniqueId val="{00000003-682C-4270-A9CA-51D165EBBFE5}"/>
              </c:ext>
            </c:extLst>
          </c:dPt>
          <c:dPt>
            <c:idx val="5"/>
            <c:invertIfNegative val="0"/>
            <c:bubble3D val="0"/>
            <c:extLst>
              <c:ext xmlns:c16="http://schemas.microsoft.com/office/drawing/2014/chart" uri="{C3380CC4-5D6E-409C-BE32-E72D297353CC}">
                <c16:uniqueId val="{00000005-682C-4270-A9CA-51D165EBBFE5}"/>
              </c:ext>
            </c:extLst>
          </c:dPt>
          <c:dPt>
            <c:idx val="14"/>
            <c:invertIfNegative val="0"/>
            <c:bubble3D val="0"/>
            <c:spPr>
              <a:solidFill>
                <a:srgbClr val="C00000"/>
              </a:solidFill>
            </c:spPr>
            <c:extLst>
              <c:ext xmlns:c16="http://schemas.microsoft.com/office/drawing/2014/chart" uri="{C3380CC4-5D6E-409C-BE32-E72D297353CC}">
                <c16:uniqueId val="{00000007-682C-4270-A9CA-51D165EBBFE5}"/>
              </c:ext>
            </c:extLst>
          </c:dPt>
          <c:dPt>
            <c:idx val="26"/>
            <c:invertIfNegative val="0"/>
            <c:bubble3D val="0"/>
            <c:extLst>
              <c:ext xmlns:c16="http://schemas.microsoft.com/office/drawing/2014/chart" uri="{C3380CC4-5D6E-409C-BE32-E72D297353CC}">
                <c16:uniqueId val="{00000009-682C-4270-A9CA-51D165EBBFE5}"/>
              </c:ext>
            </c:extLst>
          </c:dPt>
          <c:cat>
            <c:strRef>
              <c:f>Sheet1!$A$2:$A$30</c:f>
              <c:strCache>
                <c:ptCount val="29"/>
                <c:pt idx="0">
                  <c:v>Bulgārija</c:v>
                </c:pt>
                <c:pt idx="1">
                  <c:v>Latvija</c:v>
                </c:pt>
                <c:pt idx="2">
                  <c:v>Lietuva</c:v>
                </c:pt>
                <c:pt idx="3">
                  <c:v>Rumānija</c:v>
                </c:pt>
                <c:pt idx="4">
                  <c:v>Ungārija</c:v>
                </c:pt>
                <c:pt idx="5">
                  <c:v>Igaunija</c:v>
                </c:pt>
                <c:pt idx="6">
                  <c:v>Horvātija</c:v>
                </c:pt>
                <c:pt idx="7">
                  <c:v>Čehijas Rep.</c:v>
                </c:pt>
                <c:pt idx="8">
                  <c:v>Polija</c:v>
                </c:pt>
                <c:pt idx="9">
                  <c:v>Slovākija</c:v>
                </c:pt>
                <c:pt idx="10">
                  <c:v>Grieķija</c:v>
                </c:pt>
                <c:pt idx="11">
                  <c:v>Vācija</c:v>
                </c:pt>
                <c:pt idx="12">
                  <c:v>Austrija</c:v>
                </c:pt>
                <c:pt idx="13">
                  <c:v>Itālija</c:v>
                </c:pt>
                <c:pt idx="14">
                  <c:v>ES-28</c:v>
                </c:pt>
                <c:pt idx="15">
                  <c:v>Somija</c:v>
                </c:pt>
                <c:pt idx="16">
                  <c:v>Slovēnija</c:v>
                </c:pt>
                <c:pt idx="17">
                  <c:v>Zviedrija</c:v>
                </c:pt>
                <c:pt idx="18">
                  <c:v>Malta</c:v>
                </c:pt>
                <c:pt idx="19">
                  <c:v>Portugāle</c:v>
                </c:pt>
                <c:pt idx="20">
                  <c:v>Beļģija</c:v>
                </c:pt>
                <c:pt idx="21">
                  <c:v>Spānija</c:v>
                </c:pt>
                <c:pt idx="22">
                  <c:v>Lielbritānija</c:v>
                </c:pt>
                <c:pt idx="23">
                  <c:v>Luksemburga</c:v>
                </c:pt>
                <c:pt idx="24">
                  <c:v>Dānija</c:v>
                </c:pt>
                <c:pt idx="25">
                  <c:v>Kipra</c:v>
                </c:pt>
                <c:pt idx="26">
                  <c:v>Nīderlande</c:v>
                </c:pt>
                <c:pt idx="27">
                  <c:v>Francija</c:v>
                </c:pt>
                <c:pt idx="28">
                  <c:v>Īrija</c:v>
                </c:pt>
              </c:strCache>
            </c:strRef>
          </c:cat>
          <c:val>
            <c:numRef>
              <c:f>Sheet1!$B$2:$B$30</c:f>
              <c:numCache>
                <c:formatCode>0.00%</c:formatCode>
                <c:ptCount val="29"/>
                <c:pt idx="0">
                  <c:v>9.6493791264510645E-3</c:v>
                </c:pt>
                <c:pt idx="1">
                  <c:v>7.8847605409716002E-3</c:v>
                </c:pt>
                <c:pt idx="2">
                  <c:v>7.6904042407877418E-3</c:v>
                </c:pt>
                <c:pt idx="3">
                  <c:v>7.5793918968489644E-3</c:v>
                </c:pt>
                <c:pt idx="4">
                  <c:v>6.4172582418052168E-3</c:v>
                </c:pt>
                <c:pt idx="5">
                  <c:v>6.2436934771402932E-3</c:v>
                </c:pt>
                <c:pt idx="6">
                  <c:v>5.8297560621581833E-3</c:v>
                </c:pt>
                <c:pt idx="7">
                  <c:v>5.0203278177392051E-3</c:v>
                </c:pt>
                <c:pt idx="8">
                  <c:v>4.6050477083856862E-3</c:v>
                </c:pt>
                <c:pt idx="9">
                  <c:v>4.4236643491536443E-3</c:v>
                </c:pt>
                <c:pt idx="10">
                  <c:v>4.3299073178658274E-3</c:v>
                </c:pt>
                <c:pt idx="11">
                  <c:v>4.2642593656275294E-3</c:v>
                </c:pt>
                <c:pt idx="12">
                  <c:v>4.0180074257548356E-3</c:v>
                </c:pt>
                <c:pt idx="13">
                  <c:v>3.7859021908729254E-3</c:v>
                </c:pt>
                <c:pt idx="14">
                  <c:v>3.7252064358237803E-3</c:v>
                </c:pt>
                <c:pt idx="15">
                  <c:v>3.7132132464806219E-3</c:v>
                </c:pt>
                <c:pt idx="16">
                  <c:v>3.6403565833174629E-3</c:v>
                </c:pt>
                <c:pt idx="17">
                  <c:v>3.6400099274914968E-3</c:v>
                </c:pt>
                <c:pt idx="18">
                  <c:v>3.5465376397939546E-3</c:v>
                </c:pt>
                <c:pt idx="19">
                  <c:v>3.0394202872135569E-3</c:v>
                </c:pt>
                <c:pt idx="20">
                  <c:v>2.8522304841097231E-3</c:v>
                </c:pt>
                <c:pt idx="21">
                  <c:v>2.5525684324786829E-3</c:v>
                </c:pt>
                <c:pt idx="22">
                  <c:v>2.5231335865224611E-3</c:v>
                </c:pt>
                <c:pt idx="23">
                  <c:v>2.3695267046739848E-3</c:v>
                </c:pt>
                <c:pt idx="24">
                  <c:v>2.3566374410736125E-3</c:v>
                </c:pt>
                <c:pt idx="25">
                  <c:v>2.3480706017977599E-3</c:v>
                </c:pt>
                <c:pt idx="26">
                  <c:v>2.3050002150871067E-3</c:v>
                </c:pt>
                <c:pt idx="27">
                  <c:v>2.1865070818242139E-3</c:v>
                </c:pt>
                <c:pt idx="28">
                  <c:v>2.0508305943938289E-3</c:v>
                </c:pt>
              </c:numCache>
            </c:numRef>
          </c:val>
          <c:extLst>
            <c:ext xmlns:c16="http://schemas.microsoft.com/office/drawing/2014/chart" uri="{C3380CC4-5D6E-409C-BE32-E72D297353CC}">
              <c16:uniqueId val="{0000000A-682C-4270-A9CA-51D165EBBFE5}"/>
            </c:ext>
          </c:extLst>
        </c:ser>
        <c:dLbls>
          <c:showLegendKey val="0"/>
          <c:showVal val="0"/>
          <c:showCatName val="0"/>
          <c:showSerName val="0"/>
          <c:showPercent val="0"/>
          <c:showBubbleSize val="0"/>
        </c:dLbls>
        <c:gapWidth val="150"/>
        <c:axId val="436842088"/>
        <c:axId val="436842480"/>
      </c:barChart>
      <c:catAx>
        <c:axId val="436842088"/>
        <c:scaling>
          <c:orientation val="minMax"/>
        </c:scaling>
        <c:delete val="0"/>
        <c:axPos val="l"/>
        <c:numFmt formatCode="General" sourceLinked="0"/>
        <c:majorTickMark val="out"/>
        <c:minorTickMark val="none"/>
        <c:tickLblPos val="nextTo"/>
        <c:txPr>
          <a:bodyPr/>
          <a:lstStyle/>
          <a:p>
            <a:pPr>
              <a:defRPr sz="700"/>
            </a:pPr>
            <a:endParaRPr lang="lv-LV"/>
          </a:p>
        </c:txPr>
        <c:crossAx val="436842480"/>
        <c:crosses val="autoZero"/>
        <c:auto val="1"/>
        <c:lblAlgn val="ctr"/>
        <c:lblOffset val="100"/>
        <c:tickLblSkip val="1"/>
        <c:noMultiLvlLbl val="0"/>
      </c:catAx>
      <c:valAx>
        <c:axId val="436842480"/>
        <c:scaling>
          <c:orientation val="minMax"/>
        </c:scaling>
        <c:delete val="0"/>
        <c:axPos val="b"/>
        <c:majorGridlines/>
        <c:numFmt formatCode="0.0%" sourceLinked="0"/>
        <c:majorTickMark val="out"/>
        <c:minorTickMark val="none"/>
        <c:tickLblPos val="nextTo"/>
        <c:crossAx val="436842088"/>
        <c:crosses val="autoZero"/>
        <c:crossBetween val="between"/>
        <c:majorUnit val="1.0000000000000005E-2"/>
      </c:valAx>
    </c:plotArea>
    <c:plotVisOnly val="1"/>
    <c:dispBlanksAs val="gap"/>
    <c:showDLblsOverMax val="0"/>
  </c:chart>
  <c:spPr>
    <a:ln>
      <a:solidFill>
        <a:sysClr val="window" lastClr="FFFFFF">
          <a:lumMod val="85000"/>
        </a:sysClr>
      </a:solidFill>
    </a:ln>
  </c:spPr>
  <c:txPr>
    <a:bodyPr/>
    <a:lstStyle/>
    <a:p>
      <a:pPr>
        <a:defRPr sz="800" b="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lv-LV" sz="900"/>
              <a:t>Zīdaiņu mirstība (uz tūkst. dzemdībām; 2009.-2013.gadā vidēji) </a:t>
            </a:r>
          </a:p>
        </c:rich>
      </c:tx>
      <c:layout>
        <c:manualLayout>
          <c:xMode val="edge"/>
          <c:yMode val="edge"/>
          <c:x val="0.1581838780943749"/>
          <c:y val="0.85535385285200793"/>
        </c:manualLayout>
      </c:layout>
      <c:overlay val="0"/>
    </c:title>
    <c:autoTitleDeleted val="0"/>
    <c:plotArea>
      <c:layout>
        <c:manualLayout>
          <c:layoutTarget val="inner"/>
          <c:xMode val="edge"/>
          <c:yMode val="edge"/>
          <c:x val="0.29269504882764785"/>
          <c:y val="3.8172380605861436E-2"/>
          <c:w val="0.6485297258810967"/>
          <c:h val="0.75290505050505174"/>
        </c:manualLayout>
      </c:layout>
      <c:barChart>
        <c:barDir val="bar"/>
        <c:grouping val="clustered"/>
        <c:varyColors val="0"/>
        <c:ser>
          <c:idx val="0"/>
          <c:order val="0"/>
          <c:tx>
            <c:strRef>
              <c:f>Sheet1!$B$1</c:f>
              <c:strCache>
                <c:ptCount val="1"/>
                <c:pt idx="0">
                  <c:v>2009-2013</c:v>
                </c:pt>
              </c:strCache>
            </c:strRef>
          </c:tx>
          <c:spPr>
            <a:solidFill>
              <a:srgbClr val="4472C4">
                <a:lumMod val="75000"/>
              </a:srgbClr>
            </a:solidFill>
          </c:spPr>
          <c:invertIfNegative val="0"/>
          <c:dPt>
            <c:idx val="5"/>
            <c:invertIfNegative val="0"/>
            <c:bubble3D val="0"/>
            <c:spPr>
              <a:solidFill>
                <a:srgbClr val="ED7D31">
                  <a:lumMod val="75000"/>
                </a:srgbClr>
              </a:solidFill>
            </c:spPr>
            <c:extLst>
              <c:ext xmlns:c16="http://schemas.microsoft.com/office/drawing/2014/chart" uri="{C3380CC4-5D6E-409C-BE32-E72D297353CC}">
                <c16:uniqueId val="{00000001-571B-4D56-85AC-034BC68D043F}"/>
              </c:ext>
            </c:extLst>
          </c:dPt>
          <c:dPt>
            <c:idx val="11"/>
            <c:invertIfNegative val="0"/>
            <c:bubble3D val="0"/>
            <c:extLst>
              <c:ext xmlns:c16="http://schemas.microsoft.com/office/drawing/2014/chart" uri="{C3380CC4-5D6E-409C-BE32-E72D297353CC}">
                <c16:uniqueId val="{00000003-571B-4D56-85AC-034BC68D043F}"/>
              </c:ext>
            </c:extLst>
          </c:dPt>
          <c:dPt>
            <c:idx val="15"/>
            <c:invertIfNegative val="0"/>
            <c:bubble3D val="0"/>
            <c:extLst>
              <c:ext xmlns:c16="http://schemas.microsoft.com/office/drawing/2014/chart" uri="{C3380CC4-5D6E-409C-BE32-E72D297353CC}">
                <c16:uniqueId val="{00000005-571B-4D56-85AC-034BC68D043F}"/>
              </c:ext>
            </c:extLst>
          </c:dPt>
          <c:dPt>
            <c:idx val="29"/>
            <c:invertIfNegative val="0"/>
            <c:bubble3D val="0"/>
            <c:extLst>
              <c:ext xmlns:c16="http://schemas.microsoft.com/office/drawing/2014/chart" uri="{C3380CC4-5D6E-409C-BE32-E72D297353CC}">
                <c16:uniqueId val="{00000007-571B-4D56-85AC-034BC68D043F}"/>
              </c:ext>
            </c:extLst>
          </c:dPt>
          <c:cat>
            <c:strRef>
              <c:f>Sheet1!$A$2:$A$38</c:f>
              <c:strCache>
                <c:ptCount val="37"/>
                <c:pt idx="0">
                  <c:v>Ķīna</c:v>
                </c:pt>
                <c:pt idx="1">
                  <c:v>Turcija</c:v>
                </c:pt>
                <c:pt idx="2">
                  <c:v>Krievija</c:v>
                </c:pt>
                <c:pt idx="3">
                  <c:v>Čīle</c:v>
                </c:pt>
                <c:pt idx="4">
                  <c:v>ASV</c:v>
                </c:pt>
                <c:pt idx="5">
                  <c:v>Latvija</c:v>
                </c:pt>
                <c:pt idx="6">
                  <c:v>Slovākijas Rep.</c:v>
                </c:pt>
                <c:pt idx="7">
                  <c:v>Jaunzēlande</c:v>
                </c:pt>
                <c:pt idx="8">
                  <c:v>Ungārija</c:v>
                </c:pt>
                <c:pt idx="9">
                  <c:v>Polija</c:v>
                </c:pt>
                <c:pt idx="10">
                  <c:v>Kanāda</c:v>
                </c:pt>
                <c:pt idx="11">
                  <c:v>Lietuva</c:v>
                </c:pt>
                <c:pt idx="12">
                  <c:v>Lielbritānija</c:v>
                </c:pt>
                <c:pt idx="13">
                  <c:v>Šveice</c:v>
                </c:pt>
                <c:pt idx="14">
                  <c:v>Austrālija</c:v>
                </c:pt>
                <c:pt idx="15">
                  <c:v>Nīderlande</c:v>
                </c:pt>
                <c:pt idx="16">
                  <c:v>Francija</c:v>
                </c:pt>
                <c:pt idx="17">
                  <c:v>Beļģija</c:v>
                </c:pt>
                <c:pt idx="18">
                  <c:v>Izraēla</c:v>
                </c:pt>
                <c:pt idx="19">
                  <c:v>Austrija</c:v>
                </c:pt>
                <c:pt idx="20">
                  <c:v>Īrija</c:v>
                </c:pt>
                <c:pt idx="21">
                  <c:v>Vācija</c:v>
                </c:pt>
                <c:pt idx="22">
                  <c:v>Grieķija</c:v>
                </c:pt>
                <c:pt idx="23">
                  <c:v>Dānija</c:v>
                </c:pt>
                <c:pt idx="24">
                  <c:v>Luksemburga</c:v>
                </c:pt>
                <c:pt idx="25">
                  <c:v>Portugāle</c:v>
                </c:pt>
                <c:pt idx="26">
                  <c:v>Itālija</c:v>
                </c:pt>
                <c:pt idx="27">
                  <c:v>Koreja</c:v>
                </c:pt>
                <c:pt idx="28">
                  <c:v>Spānija</c:v>
                </c:pt>
                <c:pt idx="29">
                  <c:v>Igaunija</c:v>
                </c:pt>
                <c:pt idx="30">
                  <c:v>Čehijas Rep.</c:v>
                </c:pt>
                <c:pt idx="31">
                  <c:v>Norvēģija</c:v>
                </c:pt>
                <c:pt idx="32">
                  <c:v>Zviedrija</c:v>
                </c:pt>
                <c:pt idx="33">
                  <c:v>Slovēnija</c:v>
                </c:pt>
                <c:pt idx="34">
                  <c:v>Somija</c:v>
                </c:pt>
                <c:pt idx="35">
                  <c:v>Japāna</c:v>
                </c:pt>
                <c:pt idx="36">
                  <c:v>Islande</c:v>
                </c:pt>
              </c:strCache>
            </c:strRef>
          </c:cat>
          <c:val>
            <c:numRef>
              <c:f>Sheet1!$B$2:$B$38</c:f>
              <c:numCache>
                <c:formatCode>General</c:formatCode>
                <c:ptCount val="37"/>
                <c:pt idx="0">
                  <c:v>12.7</c:v>
                </c:pt>
                <c:pt idx="1">
                  <c:v>12</c:v>
                </c:pt>
                <c:pt idx="2">
                  <c:v>7.94</c:v>
                </c:pt>
                <c:pt idx="3">
                  <c:v>7.6</c:v>
                </c:pt>
                <c:pt idx="4">
                  <c:v>6.15</c:v>
                </c:pt>
                <c:pt idx="5">
                  <c:v>6.1</c:v>
                </c:pt>
                <c:pt idx="6">
                  <c:v>5.5200000000000005</c:v>
                </c:pt>
                <c:pt idx="7">
                  <c:v>5.3</c:v>
                </c:pt>
                <c:pt idx="8">
                  <c:v>5.04</c:v>
                </c:pt>
                <c:pt idx="9">
                  <c:v>4.9000000000000004</c:v>
                </c:pt>
                <c:pt idx="10">
                  <c:v>4.8999999999999995</c:v>
                </c:pt>
                <c:pt idx="11">
                  <c:v>4.5999999999999996</c:v>
                </c:pt>
                <c:pt idx="12">
                  <c:v>4.16</c:v>
                </c:pt>
                <c:pt idx="13">
                  <c:v>3.88</c:v>
                </c:pt>
                <c:pt idx="14">
                  <c:v>3.8000000000000007</c:v>
                </c:pt>
                <c:pt idx="15">
                  <c:v>3.7399999999999998</c:v>
                </c:pt>
                <c:pt idx="16">
                  <c:v>3.62</c:v>
                </c:pt>
                <c:pt idx="17">
                  <c:v>3.56</c:v>
                </c:pt>
                <c:pt idx="18">
                  <c:v>3.54</c:v>
                </c:pt>
                <c:pt idx="19">
                  <c:v>3.5200000000000005</c:v>
                </c:pt>
                <c:pt idx="20">
                  <c:v>3.4799999999999995</c:v>
                </c:pt>
                <c:pt idx="21">
                  <c:v>3.4200000000000004</c:v>
                </c:pt>
                <c:pt idx="22">
                  <c:v>3.3800000000000003</c:v>
                </c:pt>
                <c:pt idx="23">
                  <c:v>3.38</c:v>
                </c:pt>
                <c:pt idx="24">
                  <c:v>3.3199999999999994</c:v>
                </c:pt>
                <c:pt idx="25">
                  <c:v>3.1</c:v>
                </c:pt>
                <c:pt idx="26">
                  <c:v>3.06</c:v>
                </c:pt>
                <c:pt idx="27">
                  <c:v>3.06</c:v>
                </c:pt>
                <c:pt idx="28">
                  <c:v>3.06</c:v>
                </c:pt>
                <c:pt idx="29">
                  <c:v>3.02</c:v>
                </c:pt>
                <c:pt idx="30">
                  <c:v>2.68</c:v>
                </c:pt>
                <c:pt idx="31">
                  <c:v>2.64</c:v>
                </c:pt>
                <c:pt idx="32">
                  <c:v>2.4799999999999995</c:v>
                </c:pt>
                <c:pt idx="33">
                  <c:v>2.46</c:v>
                </c:pt>
                <c:pt idx="34">
                  <c:v>2.3000000000000003</c:v>
                </c:pt>
                <c:pt idx="35">
                  <c:v>2.2599999999999998</c:v>
                </c:pt>
                <c:pt idx="36">
                  <c:v>1.56</c:v>
                </c:pt>
              </c:numCache>
            </c:numRef>
          </c:val>
          <c:extLst>
            <c:ext xmlns:c16="http://schemas.microsoft.com/office/drawing/2014/chart" uri="{C3380CC4-5D6E-409C-BE32-E72D297353CC}">
              <c16:uniqueId val="{00000008-571B-4D56-85AC-034BC68D043F}"/>
            </c:ext>
          </c:extLst>
        </c:ser>
        <c:dLbls>
          <c:showLegendKey val="0"/>
          <c:showVal val="0"/>
          <c:showCatName val="0"/>
          <c:showSerName val="0"/>
          <c:showPercent val="0"/>
          <c:showBubbleSize val="0"/>
        </c:dLbls>
        <c:gapWidth val="150"/>
        <c:axId val="437029712"/>
        <c:axId val="7790536"/>
      </c:barChart>
      <c:catAx>
        <c:axId val="437029712"/>
        <c:scaling>
          <c:orientation val="minMax"/>
        </c:scaling>
        <c:delete val="0"/>
        <c:axPos val="l"/>
        <c:numFmt formatCode="General" sourceLinked="0"/>
        <c:majorTickMark val="out"/>
        <c:minorTickMark val="none"/>
        <c:tickLblPos val="nextTo"/>
        <c:txPr>
          <a:bodyPr/>
          <a:lstStyle/>
          <a:p>
            <a:pPr>
              <a:defRPr sz="700"/>
            </a:pPr>
            <a:endParaRPr lang="lv-LV"/>
          </a:p>
        </c:txPr>
        <c:crossAx val="7790536"/>
        <c:crosses val="autoZero"/>
        <c:auto val="1"/>
        <c:lblAlgn val="ctr"/>
        <c:lblOffset val="100"/>
        <c:tickLblSkip val="1"/>
        <c:noMultiLvlLbl val="0"/>
      </c:catAx>
      <c:valAx>
        <c:axId val="7790536"/>
        <c:scaling>
          <c:orientation val="minMax"/>
        </c:scaling>
        <c:delete val="0"/>
        <c:axPos val="b"/>
        <c:majorGridlines/>
        <c:numFmt formatCode="General" sourceLinked="1"/>
        <c:majorTickMark val="out"/>
        <c:minorTickMark val="none"/>
        <c:tickLblPos val="nextTo"/>
        <c:crossAx val="437029712"/>
        <c:crosses val="autoZero"/>
        <c:crossBetween val="between"/>
      </c:valAx>
    </c:plotArea>
    <c:plotVisOnly val="1"/>
    <c:dispBlanksAs val="gap"/>
    <c:showDLblsOverMax val="0"/>
  </c:chart>
  <c:spPr>
    <a:ln>
      <a:solidFill>
        <a:sysClr val="window" lastClr="FFFFFF">
          <a:lumMod val="85000"/>
        </a:sysClr>
      </a:solidFill>
    </a:ln>
  </c:spPr>
  <c:txPr>
    <a:bodyPr/>
    <a:lstStyle/>
    <a:p>
      <a:pPr>
        <a:defRPr sz="800" b="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0.90392</cdr:x>
      <cdr:y>0</cdr:y>
    </cdr:from>
    <cdr:to>
      <cdr:x>1</cdr:x>
      <cdr:y>0.055</cdr:y>
    </cdr:to>
    <cdr:sp macro="" textlink="">
      <cdr:nvSpPr>
        <cdr:cNvPr id="2" name="Text Box 1"/>
        <cdr:cNvSpPr txBox="1"/>
      </cdr:nvSpPr>
      <cdr:spPr>
        <a:xfrm xmlns:a="http://schemas.openxmlformats.org/drawingml/2006/main">
          <a:off x="8220075" y="0"/>
          <a:ext cx="873760"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BF95D-005E-4E00-AF25-865657FD0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10045</TotalTime>
  <Pages>78</Pages>
  <Words>116401</Words>
  <Characters>66349</Characters>
  <Application>Microsoft Office Word</Application>
  <DocSecurity>0</DocSecurity>
  <Lines>552</Lines>
  <Paragraphs>364</Paragraphs>
  <ScaleCrop>false</ScaleCrop>
  <HeadingPairs>
    <vt:vector size="2" baseType="variant">
      <vt:variant>
        <vt:lpstr>Title</vt:lpstr>
      </vt:variant>
      <vt:variant>
        <vt:i4>1</vt:i4>
      </vt:variant>
    </vt:vector>
  </HeadingPairs>
  <TitlesOfParts>
    <vt:vector size="1" baseType="lpstr">
      <vt:lpstr>Informatīvais ziņojums</vt:lpstr>
    </vt:vector>
  </TitlesOfParts>
  <Company>Finanšu ministrija</Company>
  <LinksUpToDate>false</LinksUpToDate>
  <CharactersWithSpaces>182386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Klinta Stafecka</dc:creator>
  <cp:keywords/>
  <dc:description>Klinta Stafecka
klinta.stafecka@fm.gov.lv
T.67095438</dc:description>
  <cp:lastModifiedBy>Klinta Stafecka</cp:lastModifiedBy>
  <cp:revision>1205</cp:revision>
  <cp:lastPrinted>2016-05-26T13:28:00Z</cp:lastPrinted>
  <dcterms:created xsi:type="dcterms:W3CDTF">2016-03-15T06:30:00Z</dcterms:created>
  <dcterms:modified xsi:type="dcterms:W3CDTF">2016-06-02T05:48:00Z</dcterms:modified>
</cp:coreProperties>
</file>