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2EC" w:rsidRPr="00EC3DC8" w:rsidRDefault="00AF12EC" w:rsidP="00AF12EC">
      <w:pPr>
        <w:jc w:val="right"/>
        <w:rPr>
          <w:i/>
          <w:sz w:val="22"/>
        </w:rPr>
      </w:pPr>
      <w:r>
        <w:rPr>
          <w:i/>
          <w:sz w:val="22"/>
        </w:rPr>
        <w:t>10</w:t>
      </w:r>
      <w:r w:rsidRPr="00EC3DC8">
        <w:rPr>
          <w:i/>
          <w:sz w:val="22"/>
        </w:rPr>
        <w:t>.pielikums informatīvajam ziņojumam</w:t>
      </w:r>
    </w:p>
    <w:p w:rsidR="00AF12EC" w:rsidRPr="00EC3DC8" w:rsidRDefault="00AF12EC" w:rsidP="00AF12EC">
      <w:pPr>
        <w:jc w:val="right"/>
        <w:rPr>
          <w:i/>
          <w:sz w:val="22"/>
        </w:rPr>
      </w:pPr>
      <w:r w:rsidRPr="00EC3DC8">
        <w:rPr>
          <w:i/>
          <w:sz w:val="22"/>
        </w:rPr>
        <w:t>“Par valsts budžeta izdevumu pārskatīšanas 2017., 2018. un 2019.gadam</w:t>
      </w:r>
    </w:p>
    <w:p w:rsidR="00AF12EC" w:rsidRPr="00EC3DC8" w:rsidRDefault="00AF12EC" w:rsidP="00AF12EC">
      <w:pPr>
        <w:jc w:val="right"/>
        <w:rPr>
          <w:i/>
          <w:sz w:val="22"/>
        </w:rPr>
      </w:pPr>
      <w:r w:rsidRPr="00EC3DC8">
        <w:rPr>
          <w:i/>
          <w:sz w:val="22"/>
        </w:rPr>
        <w:t>rezultātiem un priekšlikumi par šo rezultātu izmantošanu likumprojekta</w:t>
      </w:r>
    </w:p>
    <w:p w:rsidR="00AF12EC" w:rsidRPr="00EC3DC8" w:rsidRDefault="00AF12EC" w:rsidP="00AF12EC">
      <w:pPr>
        <w:jc w:val="right"/>
        <w:rPr>
          <w:i/>
          <w:sz w:val="22"/>
        </w:rPr>
      </w:pPr>
      <w:r w:rsidRPr="00EC3DC8">
        <w:rPr>
          <w:i/>
          <w:sz w:val="22"/>
        </w:rPr>
        <w:t>“Par vidēja termiņa budžeta 2017., 2018. un 2019.gadam” un likumprojekta</w:t>
      </w:r>
    </w:p>
    <w:p w:rsidR="00AF12EC" w:rsidRPr="00EC3DC8" w:rsidRDefault="00AF12EC" w:rsidP="00AF12EC">
      <w:pPr>
        <w:jc w:val="right"/>
        <w:rPr>
          <w:i/>
          <w:sz w:val="22"/>
        </w:rPr>
      </w:pPr>
      <w:r w:rsidRPr="00EC3DC8">
        <w:rPr>
          <w:i/>
          <w:sz w:val="22"/>
        </w:rPr>
        <w:t>“Par valsts budžetu 2017.gadam” izstrādes procesā”</w:t>
      </w:r>
    </w:p>
    <w:p w:rsidR="00C57036" w:rsidRDefault="00C57036"/>
    <w:p w:rsidR="00262B9C" w:rsidRPr="004A563C" w:rsidRDefault="00262B9C" w:rsidP="004A563C">
      <w:pPr>
        <w:jc w:val="center"/>
        <w:rPr>
          <w:b/>
        </w:rPr>
      </w:pPr>
      <w:r w:rsidRPr="004A563C">
        <w:rPr>
          <w:b/>
        </w:rPr>
        <w:t>GALVENIE SECINĀJUMI PAR STACIONĀRO VESELĪBAS APRŪPES PAKALPOJUMU DAĻU UN AMBULATORO VESELĪBAS APRŪPI</w:t>
      </w:r>
    </w:p>
    <w:p w:rsidR="00262B9C" w:rsidRDefault="00262B9C" w:rsidP="00262B9C">
      <w:pPr>
        <w:jc w:val="both"/>
      </w:pPr>
    </w:p>
    <w:p w:rsidR="004A563C" w:rsidRPr="004A563C" w:rsidRDefault="004A563C" w:rsidP="004A563C">
      <w:pPr>
        <w:pBdr>
          <w:bottom w:val="thickThinSmallGap" w:sz="24" w:space="1" w:color="auto"/>
        </w:pBdr>
        <w:jc w:val="both"/>
        <w:rPr>
          <w:b/>
        </w:rPr>
      </w:pPr>
      <w:r w:rsidRPr="004A563C">
        <w:rPr>
          <w:b/>
        </w:rPr>
        <w:t>VESELĪBAS MINISTRIJA</w:t>
      </w:r>
    </w:p>
    <w:p w:rsidR="004A563C" w:rsidRDefault="004A563C" w:rsidP="00262B9C">
      <w:pPr>
        <w:jc w:val="both"/>
        <w:rPr>
          <w:b/>
          <w:u w:val="single"/>
        </w:rPr>
      </w:pPr>
    </w:p>
    <w:p w:rsidR="00262B9C" w:rsidRDefault="00262B9C" w:rsidP="00262B9C">
      <w:pPr>
        <w:jc w:val="both"/>
        <w:rPr>
          <w:b/>
          <w:u w:val="single"/>
        </w:rPr>
      </w:pPr>
      <w:r w:rsidRPr="00262B9C">
        <w:rPr>
          <w:b/>
          <w:u w:val="single"/>
        </w:rPr>
        <w:t>Stacionārā veselības aprūpes pakalpojumu daļa</w:t>
      </w:r>
    </w:p>
    <w:p w:rsidR="00F71869" w:rsidRDefault="00262B9C" w:rsidP="00F71869">
      <w:pPr>
        <w:pStyle w:val="ListParagraph"/>
        <w:numPr>
          <w:ilvl w:val="0"/>
          <w:numId w:val="3"/>
        </w:numPr>
        <w:tabs>
          <w:tab w:val="left" w:pos="709"/>
        </w:tabs>
        <w:ind w:left="284" w:hanging="284"/>
        <w:jc w:val="both"/>
        <w:rPr>
          <w:szCs w:val="24"/>
        </w:rPr>
      </w:pPr>
      <w:r w:rsidRPr="00F71869">
        <w:rPr>
          <w:szCs w:val="24"/>
        </w:rPr>
        <w:t>Finansējuma sadali starp slimnīcām nosaka vēsturiski pēc 2002.gadā uzsāktā tarifa ieviešanas principa, nevērtējot faktiskās izmaksas. Finansējumu sadala atbilstoši MK 2013.gada 17.decembra noteikumiem Nr.1529 “Veselības aprūpes organizēšanas un finansēšanas kārtība” (iepriekš MK 2006.gada 19.decembra noteikumi Nr.1046), kuri ir sarežģīti, vairākkārt precizēti un necaurspīdīgi. Līdz ar to netiek sasniegts mērķis, kā arī tarifu sadalē netiek ņemta vērā kvalitāte un efektivitāte.</w:t>
      </w:r>
    </w:p>
    <w:p w:rsidR="00F71869" w:rsidRDefault="00262B9C" w:rsidP="00F71869">
      <w:pPr>
        <w:pStyle w:val="ListParagraph"/>
        <w:numPr>
          <w:ilvl w:val="0"/>
          <w:numId w:val="3"/>
        </w:numPr>
        <w:tabs>
          <w:tab w:val="left" w:pos="709"/>
        </w:tabs>
        <w:ind w:left="284" w:hanging="284"/>
        <w:jc w:val="both"/>
        <w:rPr>
          <w:szCs w:val="24"/>
        </w:rPr>
      </w:pPr>
      <w:r w:rsidRPr="00F71869">
        <w:rPr>
          <w:szCs w:val="24"/>
        </w:rPr>
        <w:t xml:space="preserve">Secināms, ka stacionārajā veselības aprūpē vērojama tendence daļēji pildīt sociālās aprūpes funkcijas, kā piemēram, pacientiem, kuriem nav nepieciešama akūta veselības aprūpe, bet tiek nodrošināta tikai mākslīgā plaušu ventilācija vai </w:t>
      </w:r>
      <w:proofErr w:type="spellStart"/>
      <w:r w:rsidRPr="00F71869">
        <w:rPr>
          <w:rStyle w:val="Emphasis"/>
          <w:bCs/>
          <w:i w:val="0"/>
          <w:iCs w:val="0"/>
          <w:shd w:val="clear" w:color="auto" w:fill="FFFFFF"/>
        </w:rPr>
        <w:t>parenterālā</w:t>
      </w:r>
      <w:proofErr w:type="spellEnd"/>
      <w:r w:rsidRPr="00F71869">
        <w:rPr>
          <w:szCs w:val="24"/>
        </w:rPr>
        <w:t xml:space="preserve"> barošana. VM sadarbībā ar LM jāizvērtē jaunas ilgtermiņa (hronisko pacientu) aprūpes sistēmas, kas būtu paralēla sociālajai aprūpei un veselības aprūpei, izveidošana, izmantojot infrastruktūru, kura vairs nav nepieciešama akūtās veselības aprūpes sniegšanai.</w:t>
      </w:r>
    </w:p>
    <w:p w:rsidR="00262B9C" w:rsidRPr="00F71869" w:rsidRDefault="00262B9C" w:rsidP="00F71869">
      <w:pPr>
        <w:pStyle w:val="ListParagraph"/>
        <w:numPr>
          <w:ilvl w:val="0"/>
          <w:numId w:val="3"/>
        </w:numPr>
        <w:tabs>
          <w:tab w:val="left" w:pos="709"/>
        </w:tabs>
        <w:ind w:left="284" w:hanging="284"/>
        <w:jc w:val="both"/>
        <w:rPr>
          <w:szCs w:val="24"/>
        </w:rPr>
      </w:pPr>
      <w:r w:rsidRPr="001A7151">
        <w:t>Finansējums veselības aprūpei tiek piešķirts, nesasaistot to ar faktiski nepieciešamo pakalpojumu apjomu.</w:t>
      </w:r>
    </w:p>
    <w:p w:rsidR="00262B9C" w:rsidRPr="00F71869" w:rsidRDefault="00262B9C" w:rsidP="00262B9C">
      <w:pPr>
        <w:tabs>
          <w:tab w:val="left" w:pos="709"/>
        </w:tabs>
        <w:jc w:val="both"/>
        <w:rPr>
          <w:sz w:val="12"/>
          <w:szCs w:val="12"/>
        </w:rPr>
      </w:pPr>
    </w:p>
    <w:p w:rsidR="00262B9C" w:rsidRPr="001A7151" w:rsidRDefault="00262B9C" w:rsidP="00262B9C">
      <w:pPr>
        <w:pStyle w:val="ListParagraph"/>
        <w:tabs>
          <w:tab w:val="left" w:pos="709"/>
        </w:tabs>
        <w:spacing w:after="120"/>
        <w:ind w:left="0" w:right="-58"/>
        <w:jc w:val="center"/>
        <w:rPr>
          <w:szCs w:val="24"/>
        </w:rPr>
      </w:pPr>
      <w:r>
        <w:rPr>
          <w:noProof/>
          <w:szCs w:val="24"/>
          <w:lang w:eastAsia="lv-LV"/>
        </w:rPr>
        <w:drawing>
          <wp:inline distT="0" distB="0" distL="0" distR="0" wp14:anchorId="1693EBD3">
            <wp:extent cx="4915815" cy="2932447"/>
            <wp:effectExtent l="19050" t="19050" r="18415" b="203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61301" cy="2959581"/>
                    </a:xfrm>
                    <a:prstGeom prst="rect">
                      <a:avLst/>
                    </a:prstGeom>
                    <a:noFill/>
                    <a:ln>
                      <a:solidFill>
                        <a:schemeClr val="bg1">
                          <a:lumMod val="85000"/>
                        </a:schemeClr>
                      </a:solidFill>
                    </a:ln>
                  </pic:spPr>
                </pic:pic>
              </a:graphicData>
            </a:graphic>
          </wp:inline>
        </w:drawing>
      </w:r>
    </w:p>
    <w:p w:rsidR="00262B9C" w:rsidRPr="00262B9C" w:rsidRDefault="00262B9C" w:rsidP="00262B9C">
      <w:pPr>
        <w:jc w:val="center"/>
        <w:rPr>
          <w:bCs/>
          <w:sz w:val="22"/>
        </w:rPr>
      </w:pPr>
      <w:r w:rsidRPr="00262B9C">
        <w:rPr>
          <w:i/>
          <w:sz w:val="22"/>
        </w:rPr>
        <w:t>1.att</w:t>
      </w:r>
      <w:r w:rsidRPr="00262B9C">
        <w:rPr>
          <w:sz w:val="22"/>
        </w:rPr>
        <w:t xml:space="preserve">. </w:t>
      </w:r>
      <w:r w:rsidRPr="00262B9C">
        <w:rPr>
          <w:b/>
          <w:sz w:val="22"/>
        </w:rPr>
        <w:t xml:space="preserve">Kārtējā gadā izmaksas (pēc naudas plūsmas) kopsakarībā </w:t>
      </w:r>
      <w:r w:rsidRPr="00262B9C">
        <w:rPr>
          <w:b/>
          <w:bCs/>
          <w:sz w:val="22"/>
        </w:rPr>
        <w:t>ar kopējo hospitalizācijas skaitu</w:t>
      </w:r>
    </w:p>
    <w:p w:rsidR="00262B9C" w:rsidRPr="001A7151" w:rsidRDefault="00262B9C" w:rsidP="00262B9C">
      <w:pPr>
        <w:jc w:val="center"/>
        <w:rPr>
          <w:bCs/>
        </w:rPr>
      </w:pPr>
    </w:p>
    <w:p w:rsidR="00262B9C" w:rsidRPr="001A7151" w:rsidRDefault="00262B9C" w:rsidP="00262B9C">
      <w:pPr>
        <w:ind w:firstLine="709"/>
        <w:jc w:val="both"/>
        <w:rPr>
          <w:bCs/>
        </w:rPr>
      </w:pPr>
      <w:r w:rsidRPr="001A7151">
        <w:rPr>
          <w:bCs/>
        </w:rPr>
        <w:t xml:space="preserve">Veicot </w:t>
      </w:r>
      <w:r>
        <w:rPr>
          <w:bCs/>
        </w:rPr>
        <w:t>VM</w:t>
      </w:r>
      <w:r w:rsidRPr="001A7151">
        <w:rPr>
          <w:bCs/>
        </w:rPr>
        <w:t xml:space="preserve"> iesniegto datu analīzi par faktiskajām hospitalizācijām un faktiskajām izmaksām, secināms, ka no</w:t>
      </w:r>
      <w:r>
        <w:rPr>
          <w:bCs/>
        </w:rPr>
        <w:t xml:space="preserve"> 2012.–</w:t>
      </w:r>
      <w:r w:rsidRPr="001A7151">
        <w:rPr>
          <w:bCs/>
        </w:rPr>
        <w:t xml:space="preserve">2015.gadam finansējums stacionāram ir pieaudzis par 24%, savukārt hospitalizāciju skaits ir samazinājies par 3%. 2012.gadā viena vidējā hospitalizācija izmaksāja 648,68 </w:t>
      </w:r>
      <w:r w:rsidRPr="001A7151">
        <w:rPr>
          <w:bCs/>
          <w:i/>
        </w:rPr>
        <w:t>euro</w:t>
      </w:r>
      <w:r w:rsidRPr="001A7151">
        <w:rPr>
          <w:bCs/>
        </w:rPr>
        <w:t xml:space="preserve">, bet 2015.gadā jau 827,33 </w:t>
      </w:r>
      <w:r w:rsidRPr="001A7151">
        <w:rPr>
          <w:bCs/>
          <w:i/>
        </w:rPr>
        <w:t>euro</w:t>
      </w:r>
      <w:r w:rsidRPr="001A7151">
        <w:rPr>
          <w:bCs/>
        </w:rPr>
        <w:t>.</w:t>
      </w:r>
    </w:p>
    <w:p w:rsidR="00F71869" w:rsidRPr="00F71869" w:rsidRDefault="00262B9C" w:rsidP="00F71869">
      <w:pPr>
        <w:pStyle w:val="ListParagraph"/>
        <w:numPr>
          <w:ilvl w:val="0"/>
          <w:numId w:val="3"/>
        </w:numPr>
        <w:tabs>
          <w:tab w:val="left" w:pos="709"/>
        </w:tabs>
        <w:ind w:left="284" w:hanging="284"/>
        <w:jc w:val="both"/>
        <w:rPr>
          <w:bCs/>
        </w:rPr>
      </w:pPr>
      <w:r w:rsidRPr="001A7151">
        <w:lastRenderedPageBreak/>
        <w:t>Tarifi neatbilst patiesajām pakalpojumu izmaksām, jo tie veidoti 2005.gadā un neatspoguļo patreizējo situāciju. Slimnīcas deficītu, kas rodas no neatbilstoša tarifa, kompensē uz tā rēķina, ka līgumos ir iekļauts lielāks stacionāro pacientu skait</w:t>
      </w:r>
      <w:r w:rsidR="00F71869">
        <w:t>s nekā faktiski tiek apkalpots.</w:t>
      </w:r>
    </w:p>
    <w:p w:rsidR="00F71869" w:rsidRPr="00F71869" w:rsidRDefault="00262B9C" w:rsidP="00F71869">
      <w:pPr>
        <w:pStyle w:val="ListParagraph"/>
        <w:numPr>
          <w:ilvl w:val="0"/>
          <w:numId w:val="3"/>
        </w:numPr>
        <w:tabs>
          <w:tab w:val="left" w:pos="709"/>
        </w:tabs>
        <w:ind w:left="284" w:hanging="284"/>
        <w:jc w:val="both"/>
        <w:rPr>
          <w:bCs/>
        </w:rPr>
      </w:pPr>
      <w:r w:rsidRPr="00F71869">
        <w:rPr>
          <w:bCs/>
          <w:szCs w:val="24"/>
        </w:rPr>
        <w:t>Eksistē necaurredzamība veselības aprūpes pakalpojumu tarifu un kvotu sadales mehānismā.</w:t>
      </w:r>
    </w:p>
    <w:p w:rsidR="00F71869" w:rsidRPr="00F71869" w:rsidRDefault="00262B9C" w:rsidP="00F71869">
      <w:pPr>
        <w:pStyle w:val="ListParagraph"/>
        <w:numPr>
          <w:ilvl w:val="0"/>
          <w:numId w:val="3"/>
        </w:numPr>
        <w:tabs>
          <w:tab w:val="left" w:pos="709"/>
        </w:tabs>
        <w:ind w:left="284" w:hanging="284"/>
        <w:jc w:val="both"/>
        <w:rPr>
          <w:bCs/>
        </w:rPr>
      </w:pPr>
      <w:r w:rsidRPr="00F71869">
        <w:rPr>
          <w:szCs w:val="24"/>
        </w:rPr>
        <w:t>Iesniegtā informācija sadalījumā pa slimnīcām liecina, ka slimnīcu starpā pastāv liela variācija par to, cik izmaksā viens pacients, tāpēc būtu vērts izskaidrot un saprast, vai ir iespēja veikt optimizācijas pasākumus un sniegt pakalpojumus efektīvāk, kā arī vai netiek pārfinansētas dažas no slimnīcām situācijā, kad vairākām slimnīcām ilglaicīgi netiek samaksāts par faktiski paveikto.</w:t>
      </w:r>
    </w:p>
    <w:p w:rsidR="00262B9C" w:rsidRPr="00F71869" w:rsidRDefault="00262B9C" w:rsidP="00F71869">
      <w:pPr>
        <w:pStyle w:val="ListParagraph"/>
        <w:numPr>
          <w:ilvl w:val="0"/>
          <w:numId w:val="3"/>
        </w:numPr>
        <w:tabs>
          <w:tab w:val="left" w:pos="709"/>
        </w:tabs>
        <w:ind w:left="284" w:hanging="284"/>
        <w:jc w:val="both"/>
        <w:rPr>
          <w:bCs/>
        </w:rPr>
      </w:pPr>
      <w:r w:rsidRPr="00F71869">
        <w:rPr>
          <w:bCs/>
          <w:szCs w:val="24"/>
        </w:rPr>
        <w:t>Nav izveidots mehānisms, kas slimnīcām neļautu mākslīgi celt pakalpojumu pašizmaksu, piemēram uz administratīvajām izmaksām, veidojot DRG diagnožu grupu cenas.</w:t>
      </w:r>
    </w:p>
    <w:p w:rsidR="00262B9C" w:rsidRDefault="00262B9C" w:rsidP="00CF39F9">
      <w:pPr>
        <w:pStyle w:val="ListParagraph"/>
        <w:tabs>
          <w:tab w:val="left" w:pos="709"/>
        </w:tabs>
        <w:spacing w:after="120"/>
        <w:ind w:left="0" w:right="-57"/>
        <w:contextualSpacing w:val="0"/>
        <w:jc w:val="both"/>
        <w:rPr>
          <w:bCs/>
          <w:szCs w:val="24"/>
        </w:rPr>
      </w:pPr>
      <w:r w:rsidRPr="001A7151">
        <w:rPr>
          <w:bCs/>
          <w:szCs w:val="24"/>
        </w:rPr>
        <w:tab/>
        <w:t xml:space="preserve">Analizējot </w:t>
      </w:r>
      <w:r w:rsidR="00CF39F9">
        <w:rPr>
          <w:bCs/>
          <w:szCs w:val="24"/>
        </w:rPr>
        <w:t>VM</w:t>
      </w:r>
      <w:r w:rsidRPr="001A7151">
        <w:rPr>
          <w:bCs/>
          <w:szCs w:val="24"/>
        </w:rPr>
        <w:t xml:space="preserve"> iesniegto informāciju par medicīnas iestādēs nodarbinātā personāla atalgojumu uz vienu slodzi sadalījumā pa slimnīcām, secināts, ka vislielākā variācija uz atalgojumu par vienu slodzi ir tieši administrācijas personālam, kur 2015.gadā lielākais vidējais administrācijas atalgojums uz slodzi ir bijis Rīgas Dzemdību namā 2 697 </w:t>
      </w:r>
      <w:r w:rsidRPr="001A7151">
        <w:rPr>
          <w:bCs/>
          <w:i/>
          <w:szCs w:val="24"/>
        </w:rPr>
        <w:t>euro</w:t>
      </w:r>
      <w:r w:rsidRPr="001A7151">
        <w:rPr>
          <w:bCs/>
          <w:szCs w:val="24"/>
        </w:rPr>
        <w:t xml:space="preserve"> apmērā, savukārt zemākais atalgojums ir bijis Ludzas medicīnas centrā 844 </w:t>
      </w:r>
      <w:r w:rsidRPr="001A7151">
        <w:rPr>
          <w:bCs/>
          <w:i/>
          <w:szCs w:val="24"/>
        </w:rPr>
        <w:t>euro</w:t>
      </w:r>
      <w:r w:rsidRPr="001A7151">
        <w:rPr>
          <w:bCs/>
          <w:szCs w:val="24"/>
        </w:rPr>
        <w:t xml:space="preserve"> apmērā.</w:t>
      </w:r>
    </w:p>
    <w:p w:rsidR="00262B9C" w:rsidRPr="00167E29" w:rsidRDefault="00CF39F9" w:rsidP="00262B9C">
      <w:pPr>
        <w:pStyle w:val="ListParagraph"/>
        <w:tabs>
          <w:tab w:val="left" w:pos="709"/>
        </w:tabs>
        <w:spacing w:after="120"/>
        <w:ind w:left="0" w:right="-58"/>
        <w:jc w:val="center"/>
        <w:rPr>
          <w:bCs/>
          <w:szCs w:val="24"/>
        </w:rPr>
      </w:pPr>
      <w:r>
        <w:rPr>
          <w:bCs/>
          <w:noProof/>
          <w:szCs w:val="24"/>
          <w:lang w:eastAsia="lv-LV"/>
        </w:rPr>
        <w:drawing>
          <wp:inline distT="0" distB="0" distL="0" distR="0" wp14:anchorId="1ADE115B">
            <wp:extent cx="4305650" cy="4228185"/>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7459" cy="4279062"/>
                    </a:xfrm>
                    <a:prstGeom prst="rect">
                      <a:avLst/>
                    </a:prstGeom>
                    <a:noFill/>
                  </pic:spPr>
                </pic:pic>
              </a:graphicData>
            </a:graphic>
          </wp:inline>
        </w:drawing>
      </w:r>
    </w:p>
    <w:p w:rsidR="00262B9C" w:rsidRPr="00CF39F9" w:rsidRDefault="00CF39F9" w:rsidP="00CF39F9">
      <w:pPr>
        <w:pStyle w:val="ListParagraph"/>
        <w:tabs>
          <w:tab w:val="left" w:pos="709"/>
        </w:tabs>
        <w:spacing w:before="120" w:after="120"/>
        <w:ind w:left="0" w:right="-57"/>
        <w:contextualSpacing w:val="0"/>
        <w:jc w:val="center"/>
        <w:rPr>
          <w:b/>
          <w:bCs/>
          <w:sz w:val="22"/>
        </w:rPr>
      </w:pPr>
      <w:r w:rsidRPr="00CF39F9">
        <w:rPr>
          <w:bCs/>
          <w:i/>
          <w:sz w:val="22"/>
        </w:rPr>
        <w:t>2.att.</w:t>
      </w:r>
      <w:r w:rsidR="00262B9C" w:rsidRPr="00CF39F9">
        <w:rPr>
          <w:bCs/>
          <w:sz w:val="22"/>
        </w:rPr>
        <w:t xml:space="preserve"> </w:t>
      </w:r>
      <w:r w:rsidR="00262B9C" w:rsidRPr="00CF39F9">
        <w:rPr>
          <w:b/>
          <w:bCs/>
          <w:sz w:val="22"/>
        </w:rPr>
        <w:t>Vidējā atlīdzība pa amata kategorijām uz vienu slodzi, 2015.gadā</w:t>
      </w:r>
    </w:p>
    <w:p w:rsidR="00262B9C" w:rsidRPr="001A7151" w:rsidRDefault="00262B9C" w:rsidP="00CF39F9">
      <w:pPr>
        <w:pStyle w:val="ListParagraph"/>
        <w:tabs>
          <w:tab w:val="left" w:pos="709"/>
        </w:tabs>
        <w:spacing w:after="120"/>
        <w:ind w:left="0" w:right="-58" w:firstLine="709"/>
        <w:jc w:val="both"/>
        <w:rPr>
          <w:bCs/>
          <w:szCs w:val="24"/>
        </w:rPr>
      </w:pPr>
      <w:r w:rsidRPr="001A7151">
        <w:t xml:space="preserve">Medicīnas personāla augstākais atalgojums ir bijis Bērnu klīniskajā universitātes slimnīcā </w:t>
      </w:r>
      <w:r w:rsidRPr="001A7151">
        <w:rPr>
          <w:bCs/>
          <w:szCs w:val="24"/>
        </w:rPr>
        <w:t>1</w:t>
      </w:r>
      <w:r>
        <w:rPr>
          <w:bCs/>
          <w:szCs w:val="24"/>
        </w:rPr>
        <w:t> </w:t>
      </w:r>
      <w:r w:rsidRPr="001A7151">
        <w:rPr>
          <w:bCs/>
          <w:szCs w:val="24"/>
        </w:rPr>
        <w:t>213</w:t>
      </w:r>
      <w:r>
        <w:rPr>
          <w:bCs/>
          <w:szCs w:val="24"/>
        </w:rPr>
        <w:t xml:space="preserve"> </w:t>
      </w:r>
      <w:r w:rsidRPr="001A7151">
        <w:rPr>
          <w:bCs/>
          <w:i/>
          <w:szCs w:val="24"/>
        </w:rPr>
        <w:t>euro</w:t>
      </w:r>
      <w:r w:rsidRPr="001A7151">
        <w:rPr>
          <w:bCs/>
          <w:szCs w:val="24"/>
        </w:rPr>
        <w:t xml:space="preserve"> apmērā, savukārt zemākais atalgojums ir bijis Aknīstes psihoneiroloģiskā slimnīcā 677</w:t>
      </w:r>
      <w:r w:rsidR="009C2FB3">
        <w:rPr>
          <w:bCs/>
          <w:szCs w:val="24"/>
        </w:rPr>
        <w:t xml:space="preserve"> </w:t>
      </w:r>
      <w:r w:rsidRPr="001A7151">
        <w:rPr>
          <w:bCs/>
          <w:i/>
          <w:szCs w:val="24"/>
        </w:rPr>
        <w:t>euro</w:t>
      </w:r>
      <w:r w:rsidRPr="001A7151">
        <w:rPr>
          <w:bCs/>
          <w:szCs w:val="24"/>
        </w:rPr>
        <w:t xml:space="preserve"> apmērā. </w:t>
      </w:r>
    </w:p>
    <w:p w:rsidR="00262B9C" w:rsidRPr="001A7151" w:rsidRDefault="00CF39F9" w:rsidP="00262B9C">
      <w:pPr>
        <w:pStyle w:val="ListParagraph"/>
        <w:tabs>
          <w:tab w:val="left" w:pos="709"/>
        </w:tabs>
        <w:spacing w:after="120"/>
        <w:ind w:left="0" w:right="-58" w:firstLine="709"/>
        <w:jc w:val="right"/>
        <w:rPr>
          <w:bCs/>
          <w:szCs w:val="24"/>
        </w:rPr>
      </w:pPr>
      <w:r>
        <w:rPr>
          <w:bCs/>
          <w:szCs w:val="24"/>
        </w:rPr>
        <w:t>Tabula Nr.1</w:t>
      </w:r>
    </w:p>
    <w:p w:rsidR="00262B9C" w:rsidRPr="001A7151" w:rsidRDefault="00262B9C" w:rsidP="00262B9C">
      <w:pPr>
        <w:pStyle w:val="ListParagraph"/>
        <w:tabs>
          <w:tab w:val="left" w:pos="709"/>
        </w:tabs>
        <w:spacing w:after="120"/>
        <w:ind w:left="0" w:right="-58" w:firstLine="709"/>
        <w:jc w:val="center"/>
        <w:rPr>
          <w:bCs/>
          <w:szCs w:val="24"/>
        </w:rPr>
      </w:pPr>
      <w:r w:rsidRPr="001A7151">
        <w:rPr>
          <w:bCs/>
          <w:szCs w:val="24"/>
        </w:rPr>
        <w:t>Universitāšu slimnīcu vidējā atlīdzība mēnesī uz 1 slodzi,</w:t>
      </w:r>
      <w:r w:rsidRPr="001A7151">
        <w:rPr>
          <w:bCs/>
          <w:i/>
          <w:szCs w:val="24"/>
        </w:rPr>
        <w:t xml:space="preserve"> euro</w:t>
      </w:r>
    </w:p>
    <w:tbl>
      <w:tblPr>
        <w:tblW w:w="9322" w:type="dxa"/>
        <w:tblInd w:w="103" w:type="dxa"/>
        <w:tblLook w:val="04A0" w:firstRow="1" w:lastRow="0" w:firstColumn="1" w:lastColumn="0" w:noHBand="0" w:noVBand="1"/>
      </w:tblPr>
      <w:tblGrid>
        <w:gridCol w:w="4995"/>
        <w:gridCol w:w="1374"/>
        <w:gridCol w:w="1763"/>
        <w:gridCol w:w="1190"/>
      </w:tblGrid>
      <w:tr w:rsidR="00262B9C" w:rsidRPr="002E6A23" w:rsidTr="002E6A23">
        <w:trPr>
          <w:trHeight w:val="20"/>
          <w:tblHeader/>
        </w:trPr>
        <w:tc>
          <w:tcPr>
            <w:tcW w:w="4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62B9C" w:rsidRPr="002E6A23" w:rsidRDefault="00262B9C" w:rsidP="008C656B">
            <w:pPr>
              <w:rPr>
                <w:rFonts w:eastAsia="Times New Roman"/>
                <w:b/>
                <w:bCs/>
                <w:sz w:val="22"/>
              </w:rPr>
            </w:pPr>
            <w:r w:rsidRPr="002E6A23">
              <w:rPr>
                <w:rFonts w:eastAsia="Times New Roman"/>
                <w:b/>
                <w:bCs/>
                <w:sz w:val="22"/>
              </w:rPr>
              <w:t>Ārstniecības iestādes nosaukums</w:t>
            </w:r>
          </w:p>
        </w:tc>
        <w:tc>
          <w:tcPr>
            <w:tcW w:w="137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62B9C" w:rsidRPr="002E6A23" w:rsidRDefault="00262B9C" w:rsidP="008C656B">
            <w:pPr>
              <w:jc w:val="center"/>
              <w:rPr>
                <w:rFonts w:eastAsia="Times New Roman"/>
                <w:b/>
                <w:bCs/>
                <w:sz w:val="22"/>
              </w:rPr>
            </w:pPr>
            <w:r w:rsidRPr="002E6A23">
              <w:rPr>
                <w:rFonts w:eastAsia="Times New Roman"/>
                <w:b/>
                <w:bCs/>
                <w:sz w:val="22"/>
              </w:rPr>
              <w:t>Medicīnas personāls *</w:t>
            </w:r>
          </w:p>
        </w:tc>
        <w:tc>
          <w:tcPr>
            <w:tcW w:w="176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62B9C" w:rsidRPr="002E6A23" w:rsidRDefault="00262B9C" w:rsidP="008C656B">
            <w:pPr>
              <w:jc w:val="center"/>
              <w:rPr>
                <w:rFonts w:eastAsia="Times New Roman"/>
                <w:b/>
                <w:bCs/>
                <w:sz w:val="22"/>
              </w:rPr>
            </w:pPr>
            <w:r w:rsidRPr="002E6A23">
              <w:rPr>
                <w:rFonts w:eastAsia="Times New Roman"/>
                <w:b/>
                <w:bCs/>
                <w:sz w:val="22"/>
              </w:rPr>
              <w:t>Administrācija</w:t>
            </w:r>
          </w:p>
        </w:tc>
        <w:tc>
          <w:tcPr>
            <w:tcW w:w="11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62B9C" w:rsidRPr="002E6A23" w:rsidRDefault="00262B9C" w:rsidP="008C656B">
            <w:pPr>
              <w:jc w:val="center"/>
              <w:rPr>
                <w:rFonts w:eastAsia="Times New Roman"/>
                <w:b/>
                <w:bCs/>
                <w:sz w:val="22"/>
              </w:rPr>
            </w:pPr>
            <w:r w:rsidRPr="002E6A23">
              <w:rPr>
                <w:rFonts w:eastAsia="Times New Roman"/>
                <w:b/>
                <w:bCs/>
                <w:sz w:val="22"/>
              </w:rPr>
              <w:t>Pārējais personāls</w:t>
            </w:r>
          </w:p>
        </w:tc>
      </w:tr>
      <w:tr w:rsidR="00262B9C" w:rsidRPr="002E6A23" w:rsidTr="00CF39F9">
        <w:trPr>
          <w:trHeight w:val="20"/>
        </w:trPr>
        <w:tc>
          <w:tcPr>
            <w:tcW w:w="4995" w:type="dxa"/>
            <w:tcBorders>
              <w:top w:val="nil"/>
              <w:left w:val="single" w:sz="4" w:space="0" w:color="auto"/>
              <w:bottom w:val="single" w:sz="4" w:space="0" w:color="auto"/>
              <w:right w:val="single" w:sz="4" w:space="0" w:color="auto"/>
            </w:tcBorders>
            <w:shd w:val="clear" w:color="auto" w:fill="auto"/>
            <w:vAlign w:val="bottom"/>
            <w:hideMark/>
          </w:tcPr>
          <w:p w:rsidR="00262B9C" w:rsidRPr="002E6A23" w:rsidRDefault="00262B9C" w:rsidP="008C656B">
            <w:pPr>
              <w:rPr>
                <w:rFonts w:eastAsia="Times New Roman"/>
                <w:sz w:val="22"/>
              </w:rPr>
            </w:pPr>
            <w:r w:rsidRPr="002E6A23">
              <w:rPr>
                <w:rFonts w:eastAsia="Times New Roman"/>
                <w:sz w:val="22"/>
              </w:rPr>
              <w:t>Rīgas Austrumu klīniskā universitātes slimnīca</w:t>
            </w:r>
          </w:p>
        </w:tc>
        <w:tc>
          <w:tcPr>
            <w:tcW w:w="1374" w:type="dxa"/>
            <w:tcBorders>
              <w:top w:val="nil"/>
              <w:left w:val="nil"/>
              <w:bottom w:val="single" w:sz="4" w:space="0" w:color="auto"/>
              <w:right w:val="single" w:sz="4" w:space="0" w:color="auto"/>
            </w:tcBorders>
            <w:shd w:val="clear" w:color="auto" w:fill="auto"/>
            <w:vAlign w:val="center"/>
            <w:hideMark/>
          </w:tcPr>
          <w:p w:rsidR="00262B9C" w:rsidRPr="002E6A23" w:rsidRDefault="00262B9C" w:rsidP="008C656B">
            <w:pPr>
              <w:jc w:val="center"/>
              <w:rPr>
                <w:rFonts w:eastAsia="Times New Roman"/>
                <w:sz w:val="22"/>
              </w:rPr>
            </w:pPr>
            <w:r w:rsidRPr="002E6A23">
              <w:rPr>
                <w:rFonts w:eastAsia="Times New Roman"/>
                <w:sz w:val="22"/>
              </w:rPr>
              <w:t>921</w:t>
            </w:r>
          </w:p>
        </w:tc>
        <w:tc>
          <w:tcPr>
            <w:tcW w:w="1763" w:type="dxa"/>
            <w:tcBorders>
              <w:top w:val="nil"/>
              <w:left w:val="nil"/>
              <w:bottom w:val="single" w:sz="4" w:space="0" w:color="auto"/>
              <w:right w:val="single" w:sz="4" w:space="0" w:color="auto"/>
            </w:tcBorders>
            <w:shd w:val="clear" w:color="auto" w:fill="auto"/>
            <w:vAlign w:val="center"/>
            <w:hideMark/>
          </w:tcPr>
          <w:p w:rsidR="00262B9C" w:rsidRPr="002E6A23" w:rsidRDefault="00262B9C" w:rsidP="008C656B">
            <w:pPr>
              <w:jc w:val="center"/>
              <w:rPr>
                <w:rFonts w:eastAsia="Times New Roman"/>
                <w:sz w:val="22"/>
              </w:rPr>
            </w:pPr>
            <w:r w:rsidRPr="002E6A23">
              <w:rPr>
                <w:rFonts w:eastAsia="Times New Roman"/>
                <w:sz w:val="22"/>
              </w:rPr>
              <w:t>1 282</w:t>
            </w:r>
          </w:p>
        </w:tc>
        <w:tc>
          <w:tcPr>
            <w:tcW w:w="1190" w:type="dxa"/>
            <w:tcBorders>
              <w:top w:val="nil"/>
              <w:left w:val="nil"/>
              <w:bottom w:val="single" w:sz="4" w:space="0" w:color="auto"/>
              <w:right w:val="single" w:sz="4" w:space="0" w:color="auto"/>
            </w:tcBorders>
            <w:shd w:val="clear" w:color="auto" w:fill="auto"/>
            <w:noWrap/>
            <w:vAlign w:val="center"/>
            <w:hideMark/>
          </w:tcPr>
          <w:p w:rsidR="00262B9C" w:rsidRPr="002E6A23" w:rsidRDefault="00262B9C" w:rsidP="008C656B">
            <w:pPr>
              <w:jc w:val="center"/>
              <w:rPr>
                <w:rFonts w:eastAsia="Times New Roman"/>
                <w:sz w:val="22"/>
              </w:rPr>
            </w:pPr>
            <w:r w:rsidRPr="002E6A23">
              <w:rPr>
                <w:rFonts w:eastAsia="Times New Roman"/>
                <w:sz w:val="22"/>
              </w:rPr>
              <w:t>710</w:t>
            </w:r>
          </w:p>
        </w:tc>
      </w:tr>
      <w:tr w:rsidR="00262B9C" w:rsidRPr="002E6A23" w:rsidTr="00CF39F9">
        <w:trPr>
          <w:trHeight w:val="20"/>
        </w:trPr>
        <w:tc>
          <w:tcPr>
            <w:tcW w:w="4995" w:type="dxa"/>
            <w:tcBorders>
              <w:top w:val="nil"/>
              <w:left w:val="single" w:sz="4" w:space="0" w:color="auto"/>
              <w:bottom w:val="single" w:sz="4" w:space="0" w:color="auto"/>
              <w:right w:val="single" w:sz="4" w:space="0" w:color="auto"/>
            </w:tcBorders>
            <w:shd w:val="clear" w:color="auto" w:fill="auto"/>
            <w:vAlign w:val="bottom"/>
            <w:hideMark/>
          </w:tcPr>
          <w:p w:rsidR="00262B9C" w:rsidRPr="002E6A23" w:rsidRDefault="00262B9C" w:rsidP="008C656B">
            <w:pPr>
              <w:rPr>
                <w:rFonts w:eastAsia="Times New Roman"/>
                <w:sz w:val="22"/>
              </w:rPr>
            </w:pPr>
            <w:r w:rsidRPr="002E6A23">
              <w:rPr>
                <w:rFonts w:eastAsia="Times New Roman"/>
                <w:sz w:val="22"/>
              </w:rPr>
              <w:t>Bērnu klīniskā universitātes slimnīca</w:t>
            </w:r>
          </w:p>
        </w:tc>
        <w:tc>
          <w:tcPr>
            <w:tcW w:w="1374" w:type="dxa"/>
            <w:tcBorders>
              <w:top w:val="nil"/>
              <w:left w:val="nil"/>
              <w:bottom w:val="single" w:sz="4" w:space="0" w:color="auto"/>
              <w:right w:val="single" w:sz="4" w:space="0" w:color="auto"/>
            </w:tcBorders>
            <w:shd w:val="clear" w:color="auto" w:fill="auto"/>
            <w:vAlign w:val="center"/>
            <w:hideMark/>
          </w:tcPr>
          <w:p w:rsidR="00262B9C" w:rsidRPr="002E6A23" w:rsidRDefault="00262B9C" w:rsidP="008C656B">
            <w:pPr>
              <w:jc w:val="center"/>
              <w:rPr>
                <w:rFonts w:eastAsia="Times New Roman"/>
                <w:sz w:val="22"/>
              </w:rPr>
            </w:pPr>
            <w:r w:rsidRPr="002E6A23">
              <w:rPr>
                <w:rFonts w:eastAsia="Times New Roman"/>
                <w:sz w:val="22"/>
              </w:rPr>
              <w:t>1 213</w:t>
            </w:r>
          </w:p>
        </w:tc>
        <w:tc>
          <w:tcPr>
            <w:tcW w:w="1763" w:type="dxa"/>
            <w:tcBorders>
              <w:top w:val="nil"/>
              <w:left w:val="nil"/>
              <w:bottom w:val="single" w:sz="4" w:space="0" w:color="auto"/>
              <w:right w:val="single" w:sz="4" w:space="0" w:color="auto"/>
            </w:tcBorders>
            <w:shd w:val="clear" w:color="auto" w:fill="auto"/>
            <w:vAlign w:val="center"/>
            <w:hideMark/>
          </w:tcPr>
          <w:p w:rsidR="00262B9C" w:rsidRPr="002E6A23" w:rsidRDefault="00262B9C" w:rsidP="008C656B">
            <w:pPr>
              <w:jc w:val="center"/>
              <w:rPr>
                <w:rFonts w:eastAsia="Times New Roman"/>
                <w:sz w:val="22"/>
              </w:rPr>
            </w:pPr>
            <w:r w:rsidRPr="002E6A23">
              <w:rPr>
                <w:rFonts w:eastAsia="Times New Roman"/>
                <w:sz w:val="22"/>
              </w:rPr>
              <w:t>1 501</w:t>
            </w:r>
          </w:p>
        </w:tc>
        <w:tc>
          <w:tcPr>
            <w:tcW w:w="1190" w:type="dxa"/>
            <w:tcBorders>
              <w:top w:val="nil"/>
              <w:left w:val="nil"/>
              <w:bottom w:val="single" w:sz="4" w:space="0" w:color="auto"/>
              <w:right w:val="single" w:sz="4" w:space="0" w:color="auto"/>
            </w:tcBorders>
            <w:shd w:val="clear" w:color="auto" w:fill="auto"/>
            <w:noWrap/>
            <w:vAlign w:val="center"/>
            <w:hideMark/>
          </w:tcPr>
          <w:p w:rsidR="00262B9C" w:rsidRPr="002E6A23" w:rsidRDefault="00262B9C" w:rsidP="008C656B">
            <w:pPr>
              <w:jc w:val="center"/>
              <w:rPr>
                <w:rFonts w:eastAsia="Times New Roman"/>
                <w:sz w:val="22"/>
              </w:rPr>
            </w:pPr>
            <w:r w:rsidRPr="002E6A23">
              <w:rPr>
                <w:rFonts w:eastAsia="Times New Roman"/>
                <w:sz w:val="22"/>
              </w:rPr>
              <w:t>711</w:t>
            </w:r>
          </w:p>
        </w:tc>
      </w:tr>
      <w:tr w:rsidR="00262B9C" w:rsidRPr="002E6A23" w:rsidTr="00CF39F9">
        <w:trPr>
          <w:trHeight w:val="20"/>
        </w:trPr>
        <w:tc>
          <w:tcPr>
            <w:tcW w:w="4995" w:type="dxa"/>
            <w:tcBorders>
              <w:top w:val="nil"/>
              <w:left w:val="single" w:sz="4" w:space="0" w:color="auto"/>
              <w:bottom w:val="single" w:sz="4" w:space="0" w:color="auto"/>
              <w:right w:val="single" w:sz="4" w:space="0" w:color="auto"/>
            </w:tcBorders>
            <w:shd w:val="clear" w:color="auto" w:fill="auto"/>
            <w:vAlign w:val="bottom"/>
            <w:hideMark/>
          </w:tcPr>
          <w:p w:rsidR="00262B9C" w:rsidRPr="002E6A23" w:rsidRDefault="00262B9C" w:rsidP="008C656B">
            <w:pPr>
              <w:rPr>
                <w:rFonts w:eastAsia="Times New Roman"/>
                <w:sz w:val="22"/>
              </w:rPr>
            </w:pPr>
            <w:proofErr w:type="spellStart"/>
            <w:r w:rsidRPr="002E6A23">
              <w:rPr>
                <w:rFonts w:eastAsia="Times New Roman"/>
                <w:sz w:val="22"/>
              </w:rPr>
              <w:lastRenderedPageBreak/>
              <w:t>P.Stradiņa</w:t>
            </w:r>
            <w:proofErr w:type="spellEnd"/>
            <w:r w:rsidRPr="002E6A23">
              <w:rPr>
                <w:rFonts w:eastAsia="Times New Roman"/>
                <w:sz w:val="22"/>
              </w:rPr>
              <w:t xml:space="preserve"> klīniskā universitātes slimnīca</w:t>
            </w:r>
          </w:p>
        </w:tc>
        <w:tc>
          <w:tcPr>
            <w:tcW w:w="1374" w:type="dxa"/>
            <w:tcBorders>
              <w:top w:val="nil"/>
              <w:left w:val="nil"/>
              <w:bottom w:val="single" w:sz="4" w:space="0" w:color="auto"/>
              <w:right w:val="single" w:sz="4" w:space="0" w:color="auto"/>
            </w:tcBorders>
            <w:shd w:val="clear" w:color="auto" w:fill="auto"/>
            <w:vAlign w:val="center"/>
            <w:hideMark/>
          </w:tcPr>
          <w:p w:rsidR="00262B9C" w:rsidRPr="002E6A23" w:rsidRDefault="00262B9C" w:rsidP="008C656B">
            <w:pPr>
              <w:jc w:val="center"/>
              <w:rPr>
                <w:rFonts w:eastAsia="Times New Roman"/>
                <w:sz w:val="22"/>
              </w:rPr>
            </w:pPr>
            <w:r w:rsidRPr="002E6A23">
              <w:rPr>
                <w:rFonts w:eastAsia="Times New Roman"/>
                <w:sz w:val="22"/>
              </w:rPr>
              <w:t>1 135</w:t>
            </w:r>
          </w:p>
        </w:tc>
        <w:tc>
          <w:tcPr>
            <w:tcW w:w="1763" w:type="dxa"/>
            <w:tcBorders>
              <w:top w:val="nil"/>
              <w:left w:val="nil"/>
              <w:bottom w:val="single" w:sz="4" w:space="0" w:color="auto"/>
              <w:right w:val="single" w:sz="4" w:space="0" w:color="auto"/>
            </w:tcBorders>
            <w:shd w:val="clear" w:color="auto" w:fill="auto"/>
            <w:vAlign w:val="center"/>
            <w:hideMark/>
          </w:tcPr>
          <w:p w:rsidR="00262B9C" w:rsidRPr="002E6A23" w:rsidRDefault="00262B9C" w:rsidP="008C656B">
            <w:pPr>
              <w:jc w:val="center"/>
              <w:rPr>
                <w:rFonts w:eastAsia="Times New Roman"/>
                <w:sz w:val="22"/>
              </w:rPr>
            </w:pPr>
            <w:r w:rsidRPr="002E6A23">
              <w:rPr>
                <w:rFonts w:eastAsia="Times New Roman"/>
                <w:sz w:val="22"/>
              </w:rPr>
              <w:t>1 673</w:t>
            </w:r>
          </w:p>
        </w:tc>
        <w:tc>
          <w:tcPr>
            <w:tcW w:w="1190" w:type="dxa"/>
            <w:tcBorders>
              <w:top w:val="nil"/>
              <w:left w:val="nil"/>
              <w:bottom w:val="single" w:sz="4" w:space="0" w:color="auto"/>
              <w:right w:val="single" w:sz="4" w:space="0" w:color="auto"/>
            </w:tcBorders>
            <w:shd w:val="clear" w:color="auto" w:fill="auto"/>
            <w:noWrap/>
            <w:vAlign w:val="center"/>
            <w:hideMark/>
          </w:tcPr>
          <w:p w:rsidR="00262B9C" w:rsidRPr="002E6A23" w:rsidRDefault="00262B9C" w:rsidP="008C656B">
            <w:pPr>
              <w:jc w:val="center"/>
              <w:rPr>
                <w:rFonts w:eastAsia="Times New Roman"/>
                <w:sz w:val="22"/>
              </w:rPr>
            </w:pPr>
            <w:r w:rsidRPr="002E6A23">
              <w:rPr>
                <w:rFonts w:eastAsia="Times New Roman"/>
                <w:sz w:val="22"/>
              </w:rPr>
              <w:t>711</w:t>
            </w:r>
          </w:p>
        </w:tc>
      </w:tr>
    </w:tbl>
    <w:p w:rsidR="00262B9C" w:rsidRPr="00CF39F9" w:rsidRDefault="00262B9C" w:rsidP="00CF39F9">
      <w:pPr>
        <w:pStyle w:val="ListParagraph"/>
        <w:tabs>
          <w:tab w:val="left" w:pos="709"/>
        </w:tabs>
        <w:ind w:left="0" w:firstLine="709"/>
        <w:jc w:val="both"/>
        <w:rPr>
          <w:bCs/>
          <w:szCs w:val="24"/>
          <w:vertAlign w:val="superscript"/>
        </w:rPr>
      </w:pPr>
      <w:r w:rsidRPr="001A7151">
        <w:rPr>
          <w:bCs/>
          <w:szCs w:val="24"/>
          <w:vertAlign w:val="superscript"/>
        </w:rPr>
        <w:t>* Medicīnas personāls - ārsti, ārstniecības un pacientu aprūpes personāls, ārstniecības un pacientu aprūpes atbalsta personāls, sanitāri.</w:t>
      </w:r>
    </w:p>
    <w:p w:rsidR="00F71869" w:rsidRDefault="00262B9C" w:rsidP="00F71869">
      <w:pPr>
        <w:pStyle w:val="ListParagraph"/>
        <w:tabs>
          <w:tab w:val="left" w:pos="709"/>
        </w:tabs>
        <w:spacing w:after="120"/>
        <w:ind w:left="0" w:right="-57" w:firstLine="709"/>
        <w:contextualSpacing w:val="0"/>
        <w:jc w:val="both"/>
        <w:rPr>
          <w:bCs/>
          <w:szCs w:val="24"/>
        </w:rPr>
      </w:pPr>
      <w:r w:rsidRPr="001A7151">
        <w:rPr>
          <w:bCs/>
          <w:szCs w:val="24"/>
        </w:rPr>
        <w:t>Kā redzams 1.tabulā, arī starp universitāšu slimnīcās strādājošo vidējo atalgojumu pastāv nozīmīga variācija gan medicīnas personālam, gan administrācijai, līdzīgs vidējais atalgojums uz vienu slodzi 2015.gadā ir bijis tikai pārējam personālam.</w:t>
      </w:r>
    </w:p>
    <w:p w:rsidR="00262B9C" w:rsidRPr="00CF39F9" w:rsidRDefault="00262B9C" w:rsidP="00F71869">
      <w:pPr>
        <w:pStyle w:val="ListParagraph"/>
        <w:numPr>
          <w:ilvl w:val="0"/>
          <w:numId w:val="3"/>
        </w:numPr>
        <w:tabs>
          <w:tab w:val="left" w:pos="709"/>
        </w:tabs>
        <w:spacing w:before="120" w:after="120"/>
        <w:ind w:left="284" w:right="-57" w:hanging="284"/>
        <w:jc w:val="both"/>
        <w:rPr>
          <w:bCs/>
          <w:szCs w:val="24"/>
        </w:rPr>
      </w:pPr>
      <w:r w:rsidRPr="00CF39F9">
        <w:rPr>
          <w:bCs/>
          <w:szCs w:val="24"/>
        </w:rPr>
        <w:t>Pēc stacionārajiem veselības aprūpes pakalpojumiem veidojas sistemātiskas pacientu gaidīšanas rindas, jo pakalpojumi nav pieejami pilnā apmērā nepietiekama finansējuma dēļ.</w:t>
      </w:r>
    </w:p>
    <w:p w:rsidR="00262B9C" w:rsidRPr="001A7151" w:rsidRDefault="00CF39F9" w:rsidP="00CF39F9">
      <w:pPr>
        <w:pStyle w:val="ListParagraph"/>
        <w:tabs>
          <w:tab w:val="left" w:pos="709"/>
        </w:tabs>
        <w:spacing w:before="120" w:after="120"/>
        <w:ind w:left="0" w:right="-57" w:firstLine="709"/>
        <w:contextualSpacing w:val="0"/>
        <w:jc w:val="right"/>
        <w:rPr>
          <w:bCs/>
          <w:szCs w:val="24"/>
        </w:rPr>
      </w:pPr>
      <w:r>
        <w:rPr>
          <w:bCs/>
          <w:szCs w:val="24"/>
        </w:rPr>
        <w:t>Tabula Nr.2</w:t>
      </w:r>
    </w:p>
    <w:p w:rsidR="00262B9C" w:rsidRPr="001A7151" w:rsidRDefault="00262B9C" w:rsidP="00262B9C">
      <w:pPr>
        <w:pStyle w:val="ListParagraph"/>
        <w:tabs>
          <w:tab w:val="left" w:pos="709"/>
        </w:tabs>
        <w:spacing w:after="120"/>
        <w:ind w:left="0" w:right="-58"/>
        <w:jc w:val="center"/>
        <w:rPr>
          <w:bCs/>
          <w:szCs w:val="24"/>
        </w:rPr>
      </w:pPr>
      <w:r w:rsidRPr="001A7151">
        <w:rPr>
          <w:bCs/>
          <w:szCs w:val="24"/>
        </w:rPr>
        <w:t>Rindu garumi periodā no 2014.gada līdz 2016.gadam (marts) plānveida stacionāro pakalpojumu saņemšanai (NVD iesniegtā informācija)</w:t>
      </w:r>
    </w:p>
    <w:tbl>
      <w:tblPr>
        <w:tblW w:w="936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1422"/>
        <w:gridCol w:w="1276"/>
        <w:gridCol w:w="1134"/>
      </w:tblGrid>
      <w:tr w:rsidR="00262B9C" w:rsidRPr="002E6A23" w:rsidTr="00CF39F9">
        <w:trPr>
          <w:trHeight w:val="276"/>
        </w:trPr>
        <w:tc>
          <w:tcPr>
            <w:tcW w:w="5529" w:type="dxa"/>
            <w:vMerge w:val="restart"/>
            <w:shd w:val="clear" w:color="auto" w:fill="D9D9D9" w:themeFill="background1" w:themeFillShade="D9"/>
            <w:vAlign w:val="center"/>
            <w:hideMark/>
          </w:tcPr>
          <w:p w:rsidR="00262B9C" w:rsidRPr="002E6A23" w:rsidRDefault="00262B9C" w:rsidP="00CF39F9">
            <w:pPr>
              <w:jc w:val="center"/>
              <w:rPr>
                <w:rFonts w:eastAsia="Times New Roman"/>
                <w:b/>
                <w:bCs/>
                <w:sz w:val="22"/>
                <w:lang w:eastAsia="lv-LV"/>
              </w:rPr>
            </w:pPr>
            <w:r w:rsidRPr="002E6A23">
              <w:rPr>
                <w:rFonts w:eastAsia="Times New Roman"/>
                <w:b/>
                <w:bCs/>
                <w:sz w:val="22"/>
                <w:lang w:eastAsia="lv-LV"/>
              </w:rPr>
              <w:t xml:space="preserve">Veselības aprūpes pakalpojumi </w:t>
            </w:r>
          </w:p>
        </w:tc>
        <w:tc>
          <w:tcPr>
            <w:tcW w:w="1422" w:type="dxa"/>
            <w:vMerge w:val="restart"/>
            <w:shd w:val="clear" w:color="auto" w:fill="D9D9D9" w:themeFill="background1" w:themeFillShade="D9"/>
            <w:noWrap/>
            <w:vAlign w:val="center"/>
            <w:hideMark/>
          </w:tcPr>
          <w:p w:rsidR="00262B9C" w:rsidRPr="002E6A23" w:rsidRDefault="00262B9C" w:rsidP="00CF39F9">
            <w:pPr>
              <w:jc w:val="center"/>
              <w:rPr>
                <w:rFonts w:eastAsia="Times New Roman"/>
                <w:b/>
                <w:bCs/>
                <w:sz w:val="22"/>
                <w:lang w:eastAsia="lv-LV"/>
              </w:rPr>
            </w:pPr>
            <w:r w:rsidRPr="002E6A23">
              <w:rPr>
                <w:rFonts w:eastAsia="Times New Roman"/>
                <w:b/>
                <w:bCs/>
                <w:sz w:val="22"/>
                <w:lang w:eastAsia="lv-LV"/>
              </w:rPr>
              <w:t>2014</w:t>
            </w:r>
          </w:p>
        </w:tc>
        <w:tc>
          <w:tcPr>
            <w:tcW w:w="1276" w:type="dxa"/>
            <w:vMerge w:val="restart"/>
            <w:shd w:val="clear" w:color="auto" w:fill="D9D9D9" w:themeFill="background1" w:themeFillShade="D9"/>
            <w:noWrap/>
            <w:vAlign w:val="center"/>
            <w:hideMark/>
          </w:tcPr>
          <w:p w:rsidR="00262B9C" w:rsidRPr="002E6A23" w:rsidRDefault="00262B9C" w:rsidP="00CF39F9">
            <w:pPr>
              <w:jc w:val="center"/>
              <w:rPr>
                <w:rFonts w:eastAsia="Times New Roman"/>
                <w:b/>
                <w:bCs/>
                <w:sz w:val="22"/>
                <w:lang w:eastAsia="lv-LV"/>
              </w:rPr>
            </w:pPr>
            <w:r w:rsidRPr="002E6A23">
              <w:rPr>
                <w:rFonts w:eastAsia="Times New Roman"/>
                <w:b/>
                <w:bCs/>
                <w:sz w:val="22"/>
                <w:lang w:eastAsia="lv-LV"/>
              </w:rPr>
              <w:t>2015</w:t>
            </w:r>
          </w:p>
        </w:tc>
        <w:tc>
          <w:tcPr>
            <w:tcW w:w="1134" w:type="dxa"/>
            <w:vMerge w:val="restart"/>
            <w:shd w:val="clear" w:color="auto" w:fill="D9D9D9" w:themeFill="background1" w:themeFillShade="D9"/>
            <w:noWrap/>
            <w:vAlign w:val="center"/>
            <w:hideMark/>
          </w:tcPr>
          <w:p w:rsidR="00262B9C" w:rsidRPr="002E6A23" w:rsidRDefault="00262B9C" w:rsidP="00CF39F9">
            <w:pPr>
              <w:jc w:val="center"/>
              <w:rPr>
                <w:rFonts w:eastAsia="Times New Roman"/>
                <w:b/>
                <w:bCs/>
                <w:sz w:val="22"/>
                <w:lang w:eastAsia="lv-LV"/>
              </w:rPr>
            </w:pPr>
            <w:r w:rsidRPr="002E6A23">
              <w:rPr>
                <w:rFonts w:eastAsia="Times New Roman"/>
                <w:b/>
                <w:bCs/>
                <w:sz w:val="22"/>
                <w:lang w:eastAsia="lv-LV"/>
              </w:rPr>
              <w:t>2016</w:t>
            </w:r>
          </w:p>
          <w:p w:rsidR="00262B9C" w:rsidRPr="002E6A23" w:rsidRDefault="00262B9C" w:rsidP="00CF39F9">
            <w:pPr>
              <w:jc w:val="center"/>
              <w:rPr>
                <w:rFonts w:eastAsia="Times New Roman"/>
                <w:b/>
                <w:bCs/>
                <w:sz w:val="22"/>
                <w:lang w:eastAsia="lv-LV"/>
              </w:rPr>
            </w:pPr>
            <w:r w:rsidRPr="002E6A23">
              <w:rPr>
                <w:rFonts w:eastAsia="Times New Roman"/>
                <w:b/>
                <w:bCs/>
                <w:sz w:val="22"/>
                <w:lang w:eastAsia="lv-LV"/>
              </w:rPr>
              <w:t>(marts)</w:t>
            </w:r>
          </w:p>
        </w:tc>
      </w:tr>
      <w:tr w:rsidR="00262B9C" w:rsidRPr="002E6A23" w:rsidTr="00CF39F9">
        <w:trPr>
          <w:trHeight w:val="276"/>
        </w:trPr>
        <w:tc>
          <w:tcPr>
            <w:tcW w:w="5529" w:type="dxa"/>
            <w:vMerge/>
            <w:shd w:val="clear" w:color="auto" w:fill="D9D9D9" w:themeFill="background1" w:themeFillShade="D9"/>
            <w:vAlign w:val="center"/>
            <w:hideMark/>
          </w:tcPr>
          <w:p w:rsidR="00262B9C" w:rsidRPr="002E6A23" w:rsidRDefault="00262B9C" w:rsidP="00CF39F9">
            <w:pPr>
              <w:rPr>
                <w:rFonts w:eastAsia="Times New Roman"/>
                <w:b/>
                <w:bCs/>
                <w:sz w:val="22"/>
                <w:lang w:eastAsia="lv-LV"/>
              </w:rPr>
            </w:pPr>
          </w:p>
        </w:tc>
        <w:tc>
          <w:tcPr>
            <w:tcW w:w="1422" w:type="dxa"/>
            <w:vMerge/>
            <w:shd w:val="clear" w:color="auto" w:fill="D9D9D9" w:themeFill="background1" w:themeFillShade="D9"/>
            <w:vAlign w:val="center"/>
            <w:hideMark/>
          </w:tcPr>
          <w:p w:rsidR="00262B9C" w:rsidRPr="002E6A23" w:rsidRDefault="00262B9C" w:rsidP="00CF39F9">
            <w:pPr>
              <w:rPr>
                <w:rFonts w:eastAsia="Times New Roman"/>
                <w:b/>
                <w:bCs/>
                <w:sz w:val="22"/>
                <w:lang w:eastAsia="lv-LV"/>
              </w:rPr>
            </w:pPr>
          </w:p>
        </w:tc>
        <w:tc>
          <w:tcPr>
            <w:tcW w:w="1276" w:type="dxa"/>
            <w:vMerge/>
            <w:shd w:val="clear" w:color="auto" w:fill="D9D9D9" w:themeFill="background1" w:themeFillShade="D9"/>
            <w:vAlign w:val="center"/>
            <w:hideMark/>
          </w:tcPr>
          <w:p w:rsidR="00262B9C" w:rsidRPr="002E6A23" w:rsidRDefault="00262B9C" w:rsidP="00CF39F9">
            <w:pPr>
              <w:rPr>
                <w:rFonts w:eastAsia="Times New Roman"/>
                <w:b/>
                <w:bCs/>
                <w:sz w:val="22"/>
                <w:lang w:eastAsia="lv-LV"/>
              </w:rPr>
            </w:pPr>
          </w:p>
        </w:tc>
        <w:tc>
          <w:tcPr>
            <w:tcW w:w="1134" w:type="dxa"/>
            <w:vMerge/>
            <w:shd w:val="clear" w:color="auto" w:fill="D9D9D9" w:themeFill="background1" w:themeFillShade="D9"/>
            <w:vAlign w:val="center"/>
            <w:hideMark/>
          </w:tcPr>
          <w:p w:rsidR="00262B9C" w:rsidRPr="002E6A23" w:rsidRDefault="00262B9C" w:rsidP="00CF39F9">
            <w:pPr>
              <w:rPr>
                <w:rFonts w:eastAsia="Times New Roman"/>
                <w:b/>
                <w:bCs/>
                <w:sz w:val="22"/>
                <w:lang w:eastAsia="lv-LV"/>
              </w:rPr>
            </w:pPr>
          </w:p>
        </w:tc>
      </w:tr>
      <w:tr w:rsidR="00262B9C" w:rsidRPr="002E6A23" w:rsidTr="00CF39F9">
        <w:trPr>
          <w:trHeight w:val="276"/>
        </w:trPr>
        <w:tc>
          <w:tcPr>
            <w:tcW w:w="5529" w:type="dxa"/>
            <w:vMerge/>
            <w:shd w:val="clear" w:color="auto" w:fill="D9D9D9" w:themeFill="background1" w:themeFillShade="D9"/>
            <w:vAlign w:val="center"/>
            <w:hideMark/>
          </w:tcPr>
          <w:p w:rsidR="00262B9C" w:rsidRPr="002E6A23" w:rsidRDefault="00262B9C" w:rsidP="00CF39F9">
            <w:pPr>
              <w:rPr>
                <w:rFonts w:eastAsia="Times New Roman"/>
                <w:b/>
                <w:bCs/>
                <w:sz w:val="22"/>
                <w:lang w:eastAsia="lv-LV"/>
              </w:rPr>
            </w:pPr>
          </w:p>
        </w:tc>
        <w:tc>
          <w:tcPr>
            <w:tcW w:w="1422" w:type="dxa"/>
            <w:vMerge/>
            <w:shd w:val="clear" w:color="auto" w:fill="D9D9D9" w:themeFill="background1" w:themeFillShade="D9"/>
            <w:vAlign w:val="center"/>
            <w:hideMark/>
          </w:tcPr>
          <w:p w:rsidR="00262B9C" w:rsidRPr="002E6A23" w:rsidRDefault="00262B9C" w:rsidP="00CF39F9">
            <w:pPr>
              <w:rPr>
                <w:rFonts w:eastAsia="Times New Roman"/>
                <w:b/>
                <w:bCs/>
                <w:sz w:val="22"/>
                <w:lang w:eastAsia="lv-LV"/>
              </w:rPr>
            </w:pPr>
          </w:p>
        </w:tc>
        <w:tc>
          <w:tcPr>
            <w:tcW w:w="1276" w:type="dxa"/>
            <w:vMerge/>
            <w:shd w:val="clear" w:color="auto" w:fill="D9D9D9" w:themeFill="background1" w:themeFillShade="D9"/>
            <w:vAlign w:val="center"/>
            <w:hideMark/>
          </w:tcPr>
          <w:p w:rsidR="00262B9C" w:rsidRPr="002E6A23" w:rsidRDefault="00262B9C" w:rsidP="00CF39F9">
            <w:pPr>
              <w:rPr>
                <w:rFonts w:eastAsia="Times New Roman"/>
                <w:b/>
                <w:bCs/>
                <w:sz w:val="22"/>
                <w:lang w:eastAsia="lv-LV"/>
              </w:rPr>
            </w:pPr>
          </w:p>
        </w:tc>
        <w:tc>
          <w:tcPr>
            <w:tcW w:w="1134" w:type="dxa"/>
            <w:vMerge/>
            <w:shd w:val="clear" w:color="auto" w:fill="D9D9D9" w:themeFill="background1" w:themeFillShade="D9"/>
            <w:vAlign w:val="center"/>
            <w:hideMark/>
          </w:tcPr>
          <w:p w:rsidR="00262B9C" w:rsidRPr="002E6A23" w:rsidRDefault="00262B9C" w:rsidP="00CF39F9">
            <w:pPr>
              <w:rPr>
                <w:rFonts w:eastAsia="Times New Roman"/>
                <w:b/>
                <w:bCs/>
                <w:sz w:val="22"/>
                <w:lang w:eastAsia="lv-LV"/>
              </w:rPr>
            </w:pPr>
          </w:p>
        </w:tc>
      </w:tr>
      <w:tr w:rsidR="00262B9C" w:rsidRPr="002E6A23" w:rsidTr="00CF39F9">
        <w:trPr>
          <w:trHeight w:val="20"/>
        </w:trPr>
        <w:tc>
          <w:tcPr>
            <w:tcW w:w="5529" w:type="dxa"/>
            <w:shd w:val="clear" w:color="auto" w:fill="auto"/>
            <w:noWrap/>
            <w:vAlign w:val="bottom"/>
            <w:hideMark/>
          </w:tcPr>
          <w:p w:rsidR="00262B9C" w:rsidRPr="002E6A23" w:rsidRDefault="00262B9C" w:rsidP="00CF39F9">
            <w:pPr>
              <w:rPr>
                <w:rFonts w:eastAsia="Times New Roman"/>
                <w:sz w:val="22"/>
                <w:lang w:eastAsia="lv-LV"/>
              </w:rPr>
            </w:pPr>
            <w:r w:rsidRPr="002E6A23">
              <w:rPr>
                <w:rFonts w:eastAsia="Times New Roman"/>
                <w:sz w:val="22"/>
                <w:lang w:eastAsia="lv-LV"/>
              </w:rPr>
              <w:t>Rindā gaidošais pacientu skaits</w:t>
            </w:r>
          </w:p>
        </w:tc>
        <w:tc>
          <w:tcPr>
            <w:tcW w:w="1422" w:type="dxa"/>
            <w:shd w:val="clear" w:color="auto" w:fill="auto"/>
            <w:noWrap/>
            <w:vAlign w:val="bottom"/>
            <w:hideMark/>
          </w:tcPr>
          <w:p w:rsidR="00262B9C" w:rsidRPr="002E6A23" w:rsidRDefault="00262B9C" w:rsidP="00CF39F9">
            <w:pPr>
              <w:jc w:val="right"/>
              <w:rPr>
                <w:rFonts w:eastAsia="Times New Roman"/>
                <w:b/>
                <w:bCs/>
                <w:sz w:val="22"/>
                <w:lang w:eastAsia="lv-LV"/>
              </w:rPr>
            </w:pPr>
            <w:r w:rsidRPr="002E6A23">
              <w:rPr>
                <w:rFonts w:eastAsia="Times New Roman"/>
                <w:b/>
                <w:bCs/>
                <w:sz w:val="22"/>
                <w:lang w:eastAsia="lv-LV"/>
              </w:rPr>
              <w:t>26 993</w:t>
            </w:r>
          </w:p>
        </w:tc>
        <w:tc>
          <w:tcPr>
            <w:tcW w:w="1276" w:type="dxa"/>
            <w:shd w:val="clear" w:color="auto" w:fill="auto"/>
            <w:noWrap/>
            <w:vAlign w:val="bottom"/>
            <w:hideMark/>
          </w:tcPr>
          <w:p w:rsidR="00262B9C" w:rsidRPr="002E6A23" w:rsidRDefault="00262B9C" w:rsidP="00CF39F9">
            <w:pPr>
              <w:jc w:val="right"/>
              <w:rPr>
                <w:rFonts w:eastAsia="Times New Roman"/>
                <w:b/>
                <w:bCs/>
                <w:sz w:val="22"/>
                <w:lang w:eastAsia="lv-LV"/>
              </w:rPr>
            </w:pPr>
            <w:r w:rsidRPr="002E6A23">
              <w:rPr>
                <w:rFonts w:eastAsia="Times New Roman"/>
                <w:b/>
                <w:bCs/>
                <w:sz w:val="22"/>
                <w:lang w:eastAsia="lv-LV"/>
              </w:rPr>
              <w:t>30 130</w:t>
            </w:r>
          </w:p>
        </w:tc>
        <w:tc>
          <w:tcPr>
            <w:tcW w:w="1134" w:type="dxa"/>
            <w:shd w:val="clear" w:color="auto" w:fill="auto"/>
            <w:noWrap/>
            <w:vAlign w:val="bottom"/>
            <w:hideMark/>
          </w:tcPr>
          <w:p w:rsidR="00262B9C" w:rsidRPr="002E6A23" w:rsidRDefault="00262B9C" w:rsidP="00CF39F9">
            <w:pPr>
              <w:jc w:val="right"/>
              <w:rPr>
                <w:rFonts w:eastAsia="Times New Roman"/>
                <w:b/>
                <w:bCs/>
                <w:sz w:val="22"/>
                <w:lang w:eastAsia="lv-LV"/>
              </w:rPr>
            </w:pPr>
            <w:r w:rsidRPr="002E6A23">
              <w:rPr>
                <w:rFonts w:eastAsia="Times New Roman"/>
                <w:b/>
                <w:bCs/>
                <w:sz w:val="22"/>
                <w:lang w:eastAsia="lv-LV"/>
              </w:rPr>
              <w:t>29 091</w:t>
            </w:r>
          </w:p>
        </w:tc>
      </w:tr>
      <w:tr w:rsidR="00262B9C" w:rsidRPr="002E6A23" w:rsidTr="00CF39F9">
        <w:trPr>
          <w:trHeight w:val="20"/>
        </w:trPr>
        <w:tc>
          <w:tcPr>
            <w:tcW w:w="9361" w:type="dxa"/>
            <w:gridSpan w:val="4"/>
            <w:shd w:val="clear" w:color="auto" w:fill="auto"/>
            <w:noWrap/>
            <w:vAlign w:val="bottom"/>
          </w:tcPr>
          <w:p w:rsidR="00262B9C" w:rsidRPr="002E6A23" w:rsidRDefault="00262B9C" w:rsidP="00CF39F9">
            <w:pPr>
              <w:rPr>
                <w:rFonts w:eastAsia="Times New Roman"/>
                <w:bCs/>
                <w:i/>
                <w:sz w:val="22"/>
                <w:lang w:eastAsia="lv-LV"/>
              </w:rPr>
            </w:pPr>
            <w:r w:rsidRPr="002E6A23">
              <w:rPr>
                <w:rFonts w:eastAsia="Times New Roman"/>
                <w:bCs/>
                <w:i/>
                <w:sz w:val="22"/>
                <w:lang w:eastAsia="lv-LV"/>
              </w:rPr>
              <w:t>Tajā skaitā:</w:t>
            </w:r>
          </w:p>
        </w:tc>
      </w:tr>
      <w:tr w:rsidR="00262B9C" w:rsidRPr="002E6A23" w:rsidTr="00CF39F9">
        <w:trPr>
          <w:trHeight w:val="20"/>
        </w:trPr>
        <w:tc>
          <w:tcPr>
            <w:tcW w:w="5529" w:type="dxa"/>
            <w:shd w:val="clear" w:color="auto" w:fill="auto"/>
            <w:vAlign w:val="center"/>
            <w:hideMark/>
          </w:tcPr>
          <w:p w:rsidR="00262B9C" w:rsidRPr="002E6A23" w:rsidRDefault="00262B9C" w:rsidP="00CF39F9">
            <w:pPr>
              <w:jc w:val="right"/>
              <w:rPr>
                <w:rFonts w:eastAsia="Times New Roman"/>
                <w:sz w:val="22"/>
                <w:lang w:eastAsia="lv-LV"/>
              </w:rPr>
            </w:pPr>
            <w:r w:rsidRPr="002E6A23">
              <w:rPr>
                <w:rFonts w:eastAsia="Times New Roman"/>
                <w:sz w:val="22"/>
                <w:lang w:eastAsia="lv-LV"/>
              </w:rPr>
              <w:t xml:space="preserve">Plānveida </w:t>
            </w:r>
            <w:proofErr w:type="spellStart"/>
            <w:r w:rsidRPr="002E6A23">
              <w:rPr>
                <w:rFonts w:eastAsia="Times New Roman"/>
                <w:sz w:val="22"/>
                <w:lang w:eastAsia="lv-LV"/>
              </w:rPr>
              <w:t>invazīvā</w:t>
            </w:r>
            <w:proofErr w:type="spellEnd"/>
            <w:r w:rsidRPr="002E6A23">
              <w:rPr>
                <w:rFonts w:eastAsia="Times New Roman"/>
                <w:sz w:val="22"/>
                <w:lang w:eastAsia="lv-LV"/>
              </w:rPr>
              <w:t xml:space="preserve"> kardioloģija</w:t>
            </w:r>
          </w:p>
        </w:tc>
        <w:tc>
          <w:tcPr>
            <w:tcW w:w="1422" w:type="dxa"/>
            <w:shd w:val="clear" w:color="auto" w:fill="auto"/>
            <w:noWrap/>
            <w:vAlign w:val="bottom"/>
            <w:hideMark/>
          </w:tcPr>
          <w:p w:rsidR="00262B9C" w:rsidRPr="002E6A23" w:rsidRDefault="00262B9C" w:rsidP="00CF39F9">
            <w:pPr>
              <w:jc w:val="right"/>
              <w:rPr>
                <w:rFonts w:eastAsia="Times New Roman"/>
                <w:sz w:val="22"/>
                <w:lang w:eastAsia="lv-LV"/>
              </w:rPr>
            </w:pPr>
            <w:r w:rsidRPr="002E6A23">
              <w:rPr>
                <w:rFonts w:eastAsia="Times New Roman"/>
                <w:sz w:val="22"/>
                <w:lang w:eastAsia="lv-LV"/>
              </w:rPr>
              <w:t>781</w:t>
            </w:r>
          </w:p>
        </w:tc>
        <w:tc>
          <w:tcPr>
            <w:tcW w:w="1276" w:type="dxa"/>
            <w:shd w:val="clear" w:color="auto" w:fill="auto"/>
            <w:noWrap/>
            <w:vAlign w:val="bottom"/>
            <w:hideMark/>
          </w:tcPr>
          <w:p w:rsidR="00262B9C" w:rsidRPr="002E6A23" w:rsidRDefault="00262B9C" w:rsidP="00CF39F9">
            <w:pPr>
              <w:jc w:val="right"/>
              <w:rPr>
                <w:rFonts w:eastAsia="Times New Roman"/>
                <w:sz w:val="22"/>
                <w:lang w:eastAsia="lv-LV"/>
              </w:rPr>
            </w:pPr>
            <w:r w:rsidRPr="002E6A23">
              <w:rPr>
                <w:rFonts w:eastAsia="Times New Roman"/>
                <w:sz w:val="22"/>
                <w:lang w:eastAsia="lv-LV"/>
              </w:rPr>
              <w:t>913</w:t>
            </w:r>
          </w:p>
        </w:tc>
        <w:tc>
          <w:tcPr>
            <w:tcW w:w="1134" w:type="dxa"/>
            <w:shd w:val="clear" w:color="auto" w:fill="auto"/>
            <w:noWrap/>
            <w:vAlign w:val="bottom"/>
            <w:hideMark/>
          </w:tcPr>
          <w:p w:rsidR="00262B9C" w:rsidRPr="002E6A23" w:rsidRDefault="00262B9C" w:rsidP="00CF39F9">
            <w:pPr>
              <w:jc w:val="right"/>
              <w:rPr>
                <w:rFonts w:eastAsia="Times New Roman"/>
                <w:sz w:val="22"/>
                <w:lang w:eastAsia="lv-LV"/>
              </w:rPr>
            </w:pPr>
            <w:r w:rsidRPr="002E6A23">
              <w:rPr>
                <w:rFonts w:eastAsia="Times New Roman"/>
                <w:sz w:val="22"/>
                <w:lang w:eastAsia="lv-LV"/>
              </w:rPr>
              <w:t>772</w:t>
            </w:r>
          </w:p>
        </w:tc>
      </w:tr>
      <w:tr w:rsidR="00262B9C" w:rsidRPr="002E6A23" w:rsidTr="00CF39F9">
        <w:trPr>
          <w:trHeight w:val="20"/>
        </w:trPr>
        <w:tc>
          <w:tcPr>
            <w:tcW w:w="5529" w:type="dxa"/>
            <w:shd w:val="clear" w:color="auto" w:fill="auto"/>
            <w:vAlign w:val="center"/>
            <w:hideMark/>
          </w:tcPr>
          <w:p w:rsidR="00262B9C" w:rsidRPr="002E6A23" w:rsidRDefault="00262B9C" w:rsidP="00CF39F9">
            <w:pPr>
              <w:jc w:val="right"/>
              <w:rPr>
                <w:rFonts w:eastAsia="Times New Roman"/>
                <w:sz w:val="22"/>
                <w:lang w:eastAsia="lv-LV"/>
              </w:rPr>
            </w:pPr>
            <w:r w:rsidRPr="002E6A23">
              <w:rPr>
                <w:rFonts w:eastAsia="Times New Roman"/>
                <w:sz w:val="22"/>
                <w:lang w:eastAsia="lv-LV"/>
              </w:rPr>
              <w:t>Medicīniskā rehabilitācija stacionārā</w:t>
            </w:r>
          </w:p>
        </w:tc>
        <w:tc>
          <w:tcPr>
            <w:tcW w:w="1422" w:type="dxa"/>
            <w:shd w:val="clear" w:color="auto" w:fill="auto"/>
            <w:noWrap/>
            <w:vAlign w:val="bottom"/>
            <w:hideMark/>
          </w:tcPr>
          <w:p w:rsidR="00262B9C" w:rsidRPr="002E6A23" w:rsidRDefault="00262B9C" w:rsidP="00CF39F9">
            <w:pPr>
              <w:jc w:val="right"/>
              <w:rPr>
                <w:rFonts w:eastAsia="Times New Roman"/>
                <w:sz w:val="22"/>
                <w:lang w:eastAsia="lv-LV"/>
              </w:rPr>
            </w:pPr>
            <w:r w:rsidRPr="002E6A23">
              <w:rPr>
                <w:rFonts w:eastAsia="Times New Roman"/>
                <w:sz w:val="22"/>
                <w:lang w:eastAsia="lv-LV"/>
              </w:rPr>
              <w:t>2 287</w:t>
            </w:r>
          </w:p>
        </w:tc>
        <w:tc>
          <w:tcPr>
            <w:tcW w:w="1276" w:type="dxa"/>
            <w:shd w:val="clear" w:color="auto" w:fill="auto"/>
            <w:noWrap/>
            <w:vAlign w:val="bottom"/>
            <w:hideMark/>
          </w:tcPr>
          <w:p w:rsidR="00262B9C" w:rsidRPr="002E6A23" w:rsidRDefault="00262B9C" w:rsidP="00CF39F9">
            <w:pPr>
              <w:jc w:val="right"/>
              <w:rPr>
                <w:rFonts w:eastAsia="Times New Roman"/>
                <w:sz w:val="22"/>
                <w:lang w:eastAsia="lv-LV"/>
              </w:rPr>
            </w:pPr>
            <w:r w:rsidRPr="002E6A23">
              <w:rPr>
                <w:rFonts w:eastAsia="Times New Roman"/>
                <w:sz w:val="22"/>
                <w:lang w:eastAsia="lv-LV"/>
              </w:rPr>
              <w:t>3 035</w:t>
            </w:r>
          </w:p>
        </w:tc>
        <w:tc>
          <w:tcPr>
            <w:tcW w:w="1134" w:type="dxa"/>
            <w:shd w:val="clear" w:color="auto" w:fill="auto"/>
            <w:noWrap/>
            <w:vAlign w:val="bottom"/>
            <w:hideMark/>
          </w:tcPr>
          <w:p w:rsidR="00262B9C" w:rsidRPr="002E6A23" w:rsidRDefault="00262B9C" w:rsidP="00CF39F9">
            <w:pPr>
              <w:jc w:val="right"/>
              <w:rPr>
                <w:rFonts w:eastAsia="Times New Roman"/>
                <w:sz w:val="22"/>
                <w:lang w:eastAsia="lv-LV"/>
              </w:rPr>
            </w:pPr>
            <w:r w:rsidRPr="002E6A23">
              <w:rPr>
                <w:rFonts w:eastAsia="Times New Roman"/>
                <w:sz w:val="22"/>
                <w:lang w:eastAsia="lv-LV"/>
              </w:rPr>
              <w:t>3 063</w:t>
            </w:r>
          </w:p>
        </w:tc>
      </w:tr>
      <w:tr w:rsidR="00262B9C" w:rsidRPr="002E6A23" w:rsidTr="00CF39F9">
        <w:trPr>
          <w:trHeight w:val="20"/>
        </w:trPr>
        <w:tc>
          <w:tcPr>
            <w:tcW w:w="5529" w:type="dxa"/>
            <w:shd w:val="clear" w:color="auto" w:fill="auto"/>
            <w:vAlign w:val="center"/>
            <w:hideMark/>
          </w:tcPr>
          <w:p w:rsidR="00262B9C" w:rsidRPr="002E6A23" w:rsidRDefault="00262B9C" w:rsidP="00CF39F9">
            <w:pPr>
              <w:jc w:val="right"/>
              <w:rPr>
                <w:rFonts w:eastAsia="Times New Roman"/>
                <w:sz w:val="22"/>
                <w:lang w:eastAsia="lv-LV"/>
              </w:rPr>
            </w:pPr>
            <w:r w:rsidRPr="002E6A23">
              <w:rPr>
                <w:rFonts w:eastAsia="Times New Roman"/>
                <w:sz w:val="22"/>
                <w:lang w:eastAsia="lv-LV"/>
              </w:rPr>
              <w:t>Paliatīvā aprūpe</w:t>
            </w:r>
          </w:p>
        </w:tc>
        <w:tc>
          <w:tcPr>
            <w:tcW w:w="1422" w:type="dxa"/>
            <w:shd w:val="clear" w:color="auto" w:fill="auto"/>
            <w:noWrap/>
            <w:vAlign w:val="bottom"/>
            <w:hideMark/>
          </w:tcPr>
          <w:p w:rsidR="00262B9C" w:rsidRPr="002E6A23" w:rsidRDefault="00262B9C" w:rsidP="00CF39F9">
            <w:pPr>
              <w:jc w:val="right"/>
              <w:rPr>
                <w:rFonts w:eastAsia="Times New Roman"/>
                <w:sz w:val="22"/>
                <w:lang w:eastAsia="lv-LV"/>
              </w:rPr>
            </w:pPr>
            <w:r w:rsidRPr="002E6A23">
              <w:rPr>
                <w:rFonts w:eastAsia="Times New Roman"/>
                <w:sz w:val="22"/>
                <w:lang w:eastAsia="lv-LV"/>
              </w:rPr>
              <w:t>180</w:t>
            </w:r>
          </w:p>
        </w:tc>
        <w:tc>
          <w:tcPr>
            <w:tcW w:w="1276" w:type="dxa"/>
            <w:shd w:val="clear" w:color="auto" w:fill="auto"/>
            <w:noWrap/>
            <w:vAlign w:val="bottom"/>
            <w:hideMark/>
          </w:tcPr>
          <w:p w:rsidR="00262B9C" w:rsidRPr="002E6A23" w:rsidRDefault="00262B9C" w:rsidP="00CF39F9">
            <w:pPr>
              <w:jc w:val="right"/>
              <w:rPr>
                <w:rFonts w:eastAsia="Times New Roman"/>
                <w:sz w:val="22"/>
                <w:lang w:eastAsia="lv-LV"/>
              </w:rPr>
            </w:pPr>
            <w:r w:rsidRPr="002E6A23">
              <w:rPr>
                <w:rFonts w:eastAsia="Times New Roman"/>
                <w:sz w:val="22"/>
                <w:lang w:eastAsia="lv-LV"/>
              </w:rPr>
              <w:t>161</w:t>
            </w:r>
          </w:p>
        </w:tc>
        <w:tc>
          <w:tcPr>
            <w:tcW w:w="1134" w:type="dxa"/>
            <w:shd w:val="clear" w:color="auto" w:fill="auto"/>
            <w:noWrap/>
            <w:vAlign w:val="bottom"/>
            <w:hideMark/>
          </w:tcPr>
          <w:p w:rsidR="00262B9C" w:rsidRPr="002E6A23" w:rsidRDefault="00262B9C" w:rsidP="00CF39F9">
            <w:pPr>
              <w:jc w:val="right"/>
              <w:rPr>
                <w:rFonts w:eastAsia="Times New Roman"/>
                <w:sz w:val="22"/>
                <w:lang w:eastAsia="lv-LV"/>
              </w:rPr>
            </w:pPr>
            <w:r w:rsidRPr="002E6A23">
              <w:rPr>
                <w:rFonts w:eastAsia="Times New Roman"/>
                <w:sz w:val="22"/>
                <w:lang w:eastAsia="lv-LV"/>
              </w:rPr>
              <w:t>215</w:t>
            </w:r>
          </w:p>
        </w:tc>
      </w:tr>
      <w:tr w:rsidR="00262B9C" w:rsidRPr="002E6A23" w:rsidTr="00CF39F9">
        <w:trPr>
          <w:trHeight w:val="20"/>
        </w:trPr>
        <w:tc>
          <w:tcPr>
            <w:tcW w:w="5529" w:type="dxa"/>
            <w:shd w:val="clear" w:color="auto" w:fill="auto"/>
            <w:vAlign w:val="center"/>
            <w:hideMark/>
          </w:tcPr>
          <w:p w:rsidR="00262B9C" w:rsidRPr="002E6A23" w:rsidRDefault="00262B9C" w:rsidP="00CF39F9">
            <w:pPr>
              <w:jc w:val="right"/>
              <w:rPr>
                <w:rFonts w:eastAsia="Times New Roman"/>
                <w:sz w:val="22"/>
                <w:lang w:eastAsia="lv-LV"/>
              </w:rPr>
            </w:pPr>
            <w:r w:rsidRPr="002E6A23">
              <w:rPr>
                <w:rFonts w:eastAsia="Times New Roman"/>
                <w:sz w:val="22"/>
                <w:lang w:eastAsia="lv-LV"/>
              </w:rPr>
              <w:t xml:space="preserve">Lielo locītavu </w:t>
            </w:r>
            <w:proofErr w:type="spellStart"/>
            <w:r w:rsidRPr="002E6A23">
              <w:rPr>
                <w:rFonts w:eastAsia="Times New Roman"/>
                <w:sz w:val="22"/>
                <w:lang w:eastAsia="lv-LV"/>
              </w:rPr>
              <w:t>endoprotezēšana</w:t>
            </w:r>
            <w:proofErr w:type="spellEnd"/>
          </w:p>
        </w:tc>
        <w:tc>
          <w:tcPr>
            <w:tcW w:w="1422" w:type="dxa"/>
            <w:shd w:val="clear" w:color="auto" w:fill="auto"/>
            <w:noWrap/>
            <w:vAlign w:val="bottom"/>
            <w:hideMark/>
          </w:tcPr>
          <w:p w:rsidR="00262B9C" w:rsidRPr="002E6A23" w:rsidRDefault="00262B9C" w:rsidP="00CF39F9">
            <w:pPr>
              <w:jc w:val="right"/>
              <w:rPr>
                <w:rFonts w:eastAsia="Times New Roman"/>
                <w:sz w:val="22"/>
                <w:lang w:eastAsia="lv-LV"/>
              </w:rPr>
            </w:pPr>
            <w:r w:rsidRPr="002E6A23">
              <w:rPr>
                <w:rFonts w:eastAsia="Times New Roman"/>
                <w:sz w:val="22"/>
                <w:lang w:eastAsia="lv-LV"/>
              </w:rPr>
              <w:t>22 829</w:t>
            </w:r>
          </w:p>
        </w:tc>
        <w:tc>
          <w:tcPr>
            <w:tcW w:w="1276" w:type="dxa"/>
            <w:shd w:val="clear" w:color="auto" w:fill="auto"/>
            <w:noWrap/>
            <w:vAlign w:val="bottom"/>
            <w:hideMark/>
          </w:tcPr>
          <w:p w:rsidR="00262B9C" w:rsidRPr="002E6A23" w:rsidRDefault="00262B9C" w:rsidP="00CF39F9">
            <w:pPr>
              <w:jc w:val="right"/>
              <w:rPr>
                <w:rFonts w:eastAsia="Times New Roman"/>
                <w:sz w:val="22"/>
                <w:lang w:eastAsia="lv-LV"/>
              </w:rPr>
            </w:pPr>
            <w:r w:rsidRPr="002E6A23">
              <w:rPr>
                <w:rFonts w:eastAsia="Times New Roman"/>
                <w:sz w:val="22"/>
                <w:lang w:eastAsia="lv-LV"/>
              </w:rPr>
              <w:t>24 924</w:t>
            </w:r>
          </w:p>
        </w:tc>
        <w:tc>
          <w:tcPr>
            <w:tcW w:w="1134" w:type="dxa"/>
            <w:shd w:val="clear" w:color="auto" w:fill="auto"/>
            <w:noWrap/>
            <w:vAlign w:val="bottom"/>
            <w:hideMark/>
          </w:tcPr>
          <w:p w:rsidR="00262B9C" w:rsidRPr="002E6A23" w:rsidRDefault="00262B9C" w:rsidP="00CF39F9">
            <w:pPr>
              <w:jc w:val="right"/>
              <w:rPr>
                <w:rFonts w:eastAsia="Times New Roman"/>
                <w:sz w:val="22"/>
                <w:lang w:eastAsia="lv-LV"/>
              </w:rPr>
            </w:pPr>
            <w:r w:rsidRPr="002E6A23">
              <w:rPr>
                <w:rFonts w:eastAsia="Times New Roman"/>
                <w:sz w:val="22"/>
                <w:lang w:eastAsia="lv-LV"/>
              </w:rPr>
              <w:t>23 970</w:t>
            </w:r>
          </w:p>
        </w:tc>
      </w:tr>
      <w:tr w:rsidR="00262B9C" w:rsidRPr="002E6A23" w:rsidTr="00CF39F9">
        <w:trPr>
          <w:trHeight w:val="20"/>
        </w:trPr>
        <w:tc>
          <w:tcPr>
            <w:tcW w:w="5529" w:type="dxa"/>
            <w:shd w:val="clear" w:color="auto" w:fill="auto"/>
            <w:vAlign w:val="center"/>
            <w:hideMark/>
          </w:tcPr>
          <w:p w:rsidR="00262B9C" w:rsidRPr="002E6A23" w:rsidRDefault="00262B9C" w:rsidP="00CF39F9">
            <w:pPr>
              <w:jc w:val="right"/>
              <w:rPr>
                <w:rFonts w:eastAsia="Times New Roman"/>
                <w:sz w:val="22"/>
                <w:lang w:eastAsia="lv-LV"/>
              </w:rPr>
            </w:pPr>
            <w:r w:rsidRPr="002E6A23">
              <w:rPr>
                <w:rFonts w:eastAsia="Times New Roman"/>
                <w:sz w:val="22"/>
                <w:lang w:eastAsia="lv-LV"/>
              </w:rPr>
              <w:t>Onkoloģija</w:t>
            </w:r>
          </w:p>
        </w:tc>
        <w:tc>
          <w:tcPr>
            <w:tcW w:w="1422" w:type="dxa"/>
            <w:shd w:val="clear" w:color="auto" w:fill="auto"/>
            <w:noWrap/>
            <w:vAlign w:val="bottom"/>
            <w:hideMark/>
          </w:tcPr>
          <w:p w:rsidR="00262B9C" w:rsidRPr="002E6A23" w:rsidRDefault="00262B9C" w:rsidP="00CF39F9">
            <w:pPr>
              <w:jc w:val="right"/>
              <w:rPr>
                <w:rFonts w:eastAsia="Times New Roman"/>
                <w:sz w:val="22"/>
                <w:lang w:eastAsia="lv-LV"/>
              </w:rPr>
            </w:pPr>
            <w:r w:rsidRPr="002E6A23">
              <w:rPr>
                <w:rFonts w:eastAsia="Times New Roman"/>
                <w:sz w:val="22"/>
                <w:lang w:eastAsia="lv-LV"/>
              </w:rPr>
              <w:t>916</w:t>
            </w:r>
          </w:p>
        </w:tc>
        <w:tc>
          <w:tcPr>
            <w:tcW w:w="1276" w:type="dxa"/>
            <w:shd w:val="clear" w:color="auto" w:fill="auto"/>
            <w:noWrap/>
            <w:vAlign w:val="bottom"/>
            <w:hideMark/>
          </w:tcPr>
          <w:p w:rsidR="00262B9C" w:rsidRPr="002E6A23" w:rsidRDefault="00262B9C" w:rsidP="00CF39F9">
            <w:pPr>
              <w:jc w:val="right"/>
              <w:rPr>
                <w:rFonts w:eastAsia="Times New Roman"/>
                <w:sz w:val="22"/>
                <w:lang w:eastAsia="lv-LV"/>
              </w:rPr>
            </w:pPr>
            <w:r w:rsidRPr="002E6A23">
              <w:rPr>
                <w:rFonts w:eastAsia="Times New Roman"/>
                <w:sz w:val="22"/>
                <w:lang w:eastAsia="lv-LV"/>
              </w:rPr>
              <w:t>1 097</w:t>
            </w:r>
          </w:p>
        </w:tc>
        <w:tc>
          <w:tcPr>
            <w:tcW w:w="1134" w:type="dxa"/>
            <w:shd w:val="clear" w:color="auto" w:fill="auto"/>
            <w:noWrap/>
            <w:vAlign w:val="bottom"/>
            <w:hideMark/>
          </w:tcPr>
          <w:p w:rsidR="00262B9C" w:rsidRPr="002E6A23" w:rsidRDefault="00262B9C" w:rsidP="00CF39F9">
            <w:pPr>
              <w:jc w:val="right"/>
              <w:rPr>
                <w:rFonts w:eastAsia="Times New Roman"/>
                <w:sz w:val="22"/>
                <w:lang w:eastAsia="lv-LV"/>
              </w:rPr>
            </w:pPr>
            <w:r w:rsidRPr="002E6A23">
              <w:rPr>
                <w:rFonts w:eastAsia="Times New Roman"/>
                <w:sz w:val="22"/>
                <w:lang w:eastAsia="lv-LV"/>
              </w:rPr>
              <w:t>1 071</w:t>
            </w:r>
          </w:p>
        </w:tc>
      </w:tr>
    </w:tbl>
    <w:p w:rsidR="00262B9C" w:rsidRPr="001A7151" w:rsidRDefault="00262B9C" w:rsidP="00262B9C">
      <w:pPr>
        <w:pStyle w:val="ListParagraph"/>
        <w:tabs>
          <w:tab w:val="left" w:pos="709"/>
        </w:tabs>
        <w:spacing w:after="120"/>
        <w:ind w:left="0" w:right="-58" w:firstLine="709"/>
        <w:jc w:val="both"/>
        <w:rPr>
          <w:bCs/>
          <w:szCs w:val="24"/>
        </w:rPr>
      </w:pPr>
    </w:p>
    <w:p w:rsidR="00262B9C" w:rsidRPr="001A7151" w:rsidRDefault="00262B9C" w:rsidP="00F71869">
      <w:pPr>
        <w:pStyle w:val="ListParagraph"/>
        <w:tabs>
          <w:tab w:val="left" w:pos="709"/>
        </w:tabs>
        <w:spacing w:after="120"/>
        <w:ind w:left="0" w:right="-57" w:firstLine="709"/>
        <w:contextualSpacing w:val="0"/>
        <w:jc w:val="both"/>
        <w:rPr>
          <w:bCs/>
          <w:szCs w:val="24"/>
        </w:rPr>
      </w:pPr>
      <w:r w:rsidRPr="001A7151">
        <w:rPr>
          <w:bCs/>
          <w:szCs w:val="24"/>
        </w:rPr>
        <w:t xml:space="preserve">Kā redzams 2.tabulā lielākais rindu garums ir uz lielo locītavu </w:t>
      </w:r>
      <w:proofErr w:type="spellStart"/>
      <w:r w:rsidRPr="001A7151">
        <w:rPr>
          <w:bCs/>
          <w:szCs w:val="24"/>
        </w:rPr>
        <w:t>endoprotozēšanu</w:t>
      </w:r>
      <w:proofErr w:type="spellEnd"/>
      <w:r w:rsidRPr="001A7151">
        <w:rPr>
          <w:bCs/>
          <w:szCs w:val="24"/>
        </w:rPr>
        <w:t xml:space="preserve"> un medicīnisko rehabilitāciju stacionārā, kā arī sistemātiski rindās gaidošo pacientu skaits turpina augt (2016.gadā martā rindu garums tikai nedaudz atpaliek no 2015.gada), neskatoties uz to, ka valsts budžeta finansējums stacionārajai palīdzībai pieaudzis. </w:t>
      </w:r>
    </w:p>
    <w:p w:rsidR="00262B9C" w:rsidRPr="00F71869" w:rsidRDefault="00262B9C" w:rsidP="00F71869">
      <w:pPr>
        <w:pStyle w:val="ListParagraph"/>
        <w:numPr>
          <w:ilvl w:val="0"/>
          <w:numId w:val="3"/>
        </w:numPr>
        <w:tabs>
          <w:tab w:val="left" w:pos="709"/>
        </w:tabs>
        <w:spacing w:before="120" w:after="120"/>
        <w:ind w:left="284" w:right="-57" w:hanging="284"/>
        <w:contextualSpacing w:val="0"/>
        <w:jc w:val="both"/>
        <w:rPr>
          <w:bCs/>
          <w:szCs w:val="24"/>
        </w:rPr>
      </w:pPr>
      <w:r w:rsidRPr="00F71869">
        <w:rPr>
          <w:bCs/>
          <w:szCs w:val="24"/>
        </w:rPr>
        <w:t>Izvērtējot iesniegto informāciju par valsts stacionāro ārstniecības iestāžu finanšu rādītājiem, secināms, ka laika periodā no 2011.</w:t>
      </w:r>
      <w:r w:rsidR="00CF39F9" w:rsidRPr="00F71869">
        <w:rPr>
          <w:bCs/>
          <w:szCs w:val="24"/>
        </w:rPr>
        <w:t>–</w:t>
      </w:r>
      <w:r w:rsidRPr="00F71869">
        <w:rPr>
          <w:bCs/>
          <w:szCs w:val="24"/>
        </w:rPr>
        <w:t xml:space="preserve">2015.gadam lielākā daļa slimnīcu darbojušās ar nelielu peļņu, izņemot Rīgas Austrumu klīnisko universitātes slimnīcu. Kā redzams 3.tabulā Rīgas Austrumu klīniskā universitātes slimnīca katru gadu ir strādājusi ar ievērojamiem zaudējumiem, kas izveidojušies nenofinansētu faktiski sniegto pakalpojumu dēļ, kuriem pa gadiem ir tendence pieaugt. </w:t>
      </w:r>
    </w:p>
    <w:p w:rsidR="00262B9C" w:rsidRPr="001A7151" w:rsidRDefault="00CF39F9" w:rsidP="00262B9C">
      <w:pPr>
        <w:pStyle w:val="ListParagraph"/>
        <w:tabs>
          <w:tab w:val="left" w:pos="709"/>
        </w:tabs>
        <w:spacing w:after="120"/>
        <w:ind w:left="1080" w:right="-58"/>
        <w:jc w:val="right"/>
        <w:rPr>
          <w:bCs/>
          <w:szCs w:val="24"/>
        </w:rPr>
      </w:pPr>
      <w:r>
        <w:rPr>
          <w:bCs/>
          <w:szCs w:val="24"/>
        </w:rPr>
        <w:t>Tabula Nr.3</w:t>
      </w:r>
    </w:p>
    <w:p w:rsidR="00262B9C" w:rsidRPr="009C2FB3" w:rsidRDefault="00262B9C" w:rsidP="00262B9C">
      <w:pPr>
        <w:pStyle w:val="ListParagraph"/>
        <w:tabs>
          <w:tab w:val="left" w:pos="709"/>
        </w:tabs>
        <w:spacing w:after="120"/>
        <w:ind w:left="0" w:right="-58"/>
        <w:jc w:val="center"/>
        <w:rPr>
          <w:bCs/>
          <w:szCs w:val="24"/>
        </w:rPr>
      </w:pPr>
      <w:r w:rsidRPr="009C2FB3">
        <w:rPr>
          <w:bCs/>
          <w:szCs w:val="24"/>
        </w:rPr>
        <w:t>Valsts stacionāro ārstniecības iestāžu peļņa/ zaudējumi dinamikā (VM iesniegtā informācija uz 18.03.2016.)</w:t>
      </w:r>
    </w:p>
    <w:tbl>
      <w:tblPr>
        <w:tblW w:w="9493" w:type="dxa"/>
        <w:tblLook w:val="04A0" w:firstRow="1" w:lastRow="0" w:firstColumn="1" w:lastColumn="0" w:noHBand="0" w:noVBand="1"/>
      </w:tblPr>
      <w:tblGrid>
        <w:gridCol w:w="2972"/>
        <w:gridCol w:w="1418"/>
        <w:gridCol w:w="1276"/>
        <w:gridCol w:w="1275"/>
        <w:gridCol w:w="1276"/>
        <w:gridCol w:w="1276"/>
      </w:tblGrid>
      <w:tr w:rsidR="00262B9C" w:rsidRPr="002E6A23" w:rsidTr="00CF39F9">
        <w:trPr>
          <w:trHeight w:val="20"/>
          <w:tblHeader/>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262B9C" w:rsidRPr="002E6A23" w:rsidRDefault="00262B9C" w:rsidP="00CF39F9">
            <w:pPr>
              <w:jc w:val="center"/>
              <w:rPr>
                <w:rFonts w:eastAsia="Times New Roman"/>
                <w:b/>
                <w:bCs/>
                <w:color w:val="000000"/>
                <w:sz w:val="22"/>
                <w:lang w:eastAsia="lv-LV"/>
              </w:rPr>
            </w:pPr>
            <w:r w:rsidRPr="002E6A23">
              <w:rPr>
                <w:rFonts w:eastAsia="Times New Roman"/>
                <w:b/>
                <w:bCs/>
                <w:color w:val="000000"/>
                <w:sz w:val="22"/>
                <w:lang w:eastAsia="lv-LV"/>
              </w:rPr>
              <w:t>Nosaukums</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262B9C" w:rsidRPr="002E6A23" w:rsidRDefault="00262B9C" w:rsidP="00CF39F9">
            <w:pPr>
              <w:jc w:val="center"/>
              <w:rPr>
                <w:rFonts w:eastAsia="Times New Roman"/>
                <w:b/>
                <w:bCs/>
                <w:color w:val="000000"/>
                <w:sz w:val="22"/>
                <w:lang w:eastAsia="lv-LV"/>
              </w:rPr>
            </w:pPr>
            <w:r w:rsidRPr="002E6A23">
              <w:rPr>
                <w:rFonts w:eastAsia="Times New Roman"/>
                <w:b/>
                <w:bCs/>
                <w:color w:val="000000"/>
                <w:sz w:val="22"/>
                <w:lang w:eastAsia="lv-LV"/>
              </w:rPr>
              <w:t>2011</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262B9C" w:rsidRPr="002E6A23" w:rsidRDefault="00262B9C" w:rsidP="00CF39F9">
            <w:pPr>
              <w:jc w:val="center"/>
              <w:rPr>
                <w:rFonts w:eastAsia="Times New Roman"/>
                <w:b/>
                <w:bCs/>
                <w:color w:val="000000"/>
                <w:sz w:val="22"/>
                <w:lang w:eastAsia="lv-LV"/>
              </w:rPr>
            </w:pPr>
            <w:r w:rsidRPr="002E6A23">
              <w:rPr>
                <w:rFonts w:eastAsia="Times New Roman"/>
                <w:b/>
                <w:bCs/>
                <w:color w:val="000000"/>
                <w:sz w:val="22"/>
                <w:lang w:eastAsia="lv-LV"/>
              </w:rPr>
              <w:t>2012</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262B9C" w:rsidRPr="002E6A23" w:rsidRDefault="00262B9C" w:rsidP="00CF39F9">
            <w:pPr>
              <w:jc w:val="center"/>
              <w:rPr>
                <w:rFonts w:eastAsia="Times New Roman"/>
                <w:b/>
                <w:bCs/>
                <w:color w:val="000000"/>
                <w:sz w:val="22"/>
                <w:lang w:eastAsia="lv-LV"/>
              </w:rPr>
            </w:pPr>
            <w:r w:rsidRPr="002E6A23">
              <w:rPr>
                <w:rFonts w:eastAsia="Times New Roman"/>
                <w:b/>
                <w:bCs/>
                <w:color w:val="000000"/>
                <w:sz w:val="22"/>
                <w:lang w:eastAsia="lv-LV"/>
              </w:rPr>
              <w:t>2013</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262B9C" w:rsidRPr="002E6A23" w:rsidRDefault="00262B9C" w:rsidP="00CF39F9">
            <w:pPr>
              <w:jc w:val="center"/>
              <w:rPr>
                <w:rFonts w:eastAsia="Times New Roman"/>
                <w:b/>
                <w:bCs/>
                <w:color w:val="000000"/>
                <w:sz w:val="22"/>
                <w:lang w:eastAsia="lv-LV"/>
              </w:rPr>
            </w:pPr>
            <w:r w:rsidRPr="002E6A23">
              <w:rPr>
                <w:rFonts w:eastAsia="Times New Roman"/>
                <w:b/>
                <w:bCs/>
                <w:color w:val="000000"/>
                <w:sz w:val="22"/>
                <w:lang w:eastAsia="lv-LV"/>
              </w:rPr>
              <w:t>2014</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262B9C" w:rsidRPr="002E6A23" w:rsidRDefault="00262B9C" w:rsidP="00CF39F9">
            <w:pPr>
              <w:jc w:val="center"/>
              <w:rPr>
                <w:rFonts w:eastAsia="Times New Roman"/>
                <w:b/>
                <w:bCs/>
                <w:color w:val="000000"/>
                <w:sz w:val="22"/>
                <w:lang w:eastAsia="lv-LV"/>
              </w:rPr>
            </w:pPr>
            <w:r w:rsidRPr="002E6A23">
              <w:rPr>
                <w:rFonts w:eastAsia="Times New Roman"/>
                <w:b/>
                <w:bCs/>
                <w:color w:val="000000"/>
                <w:sz w:val="22"/>
                <w:lang w:eastAsia="lv-LV"/>
              </w:rPr>
              <w:t>2015</w:t>
            </w:r>
          </w:p>
        </w:tc>
      </w:tr>
      <w:tr w:rsidR="00262B9C" w:rsidRPr="002E6A23" w:rsidTr="00CF39F9">
        <w:trPr>
          <w:trHeight w:val="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262B9C" w:rsidRPr="002E6A23" w:rsidRDefault="00262B9C" w:rsidP="00CF39F9">
            <w:pPr>
              <w:rPr>
                <w:rFonts w:eastAsia="Times New Roman"/>
                <w:color w:val="000000"/>
                <w:sz w:val="22"/>
                <w:lang w:eastAsia="lv-LV"/>
              </w:rPr>
            </w:pPr>
            <w:r w:rsidRPr="002E6A23">
              <w:rPr>
                <w:rFonts w:eastAsia="Times New Roman"/>
                <w:color w:val="000000"/>
                <w:sz w:val="22"/>
                <w:lang w:eastAsia="lv-LV"/>
              </w:rPr>
              <w:t>Rīgas Austrumu klīniskā universitātes slimnīca</w:t>
            </w:r>
          </w:p>
        </w:tc>
        <w:tc>
          <w:tcPr>
            <w:tcW w:w="1418"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-4 173 437</w:t>
            </w:r>
          </w:p>
        </w:tc>
        <w:tc>
          <w:tcPr>
            <w:tcW w:w="1276"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-5 044 054</w:t>
            </w:r>
          </w:p>
        </w:tc>
        <w:tc>
          <w:tcPr>
            <w:tcW w:w="1275"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-5 634 207</w:t>
            </w:r>
          </w:p>
        </w:tc>
        <w:tc>
          <w:tcPr>
            <w:tcW w:w="1276"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-8 735 834</w:t>
            </w:r>
          </w:p>
        </w:tc>
        <w:tc>
          <w:tcPr>
            <w:tcW w:w="1276"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-4 951 850</w:t>
            </w:r>
          </w:p>
        </w:tc>
      </w:tr>
      <w:tr w:rsidR="00262B9C" w:rsidRPr="002E6A23" w:rsidTr="00CF39F9">
        <w:trPr>
          <w:trHeight w:val="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262B9C" w:rsidRPr="002E6A23" w:rsidRDefault="00262B9C" w:rsidP="00CF39F9">
            <w:pPr>
              <w:rPr>
                <w:rFonts w:eastAsia="Times New Roman"/>
                <w:color w:val="000000"/>
                <w:sz w:val="22"/>
                <w:lang w:eastAsia="lv-LV"/>
              </w:rPr>
            </w:pPr>
            <w:r w:rsidRPr="002E6A23">
              <w:rPr>
                <w:rFonts w:eastAsia="Times New Roman"/>
                <w:color w:val="000000"/>
                <w:sz w:val="22"/>
                <w:lang w:eastAsia="lv-LV"/>
              </w:rPr>
              <w:t>Paula Stradiņa klīniskā universitātes slimnīca</w:t>
            </w:r>
          </w:p>
        </w:tc>
        <w:tc>
          <w:tcPr>
            <w:tcW w:w="1418"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-12 679 300</w:t>
            </w:r>
          </w:p>
        </w:tc>
        <w:tc>
          <w:tcPr>
            <w:tcW w:w="1276"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-3 531 737</w:t>
            </w:r>
          </w:p>
        </w:tc>
        <w:tc>
          <w:tcPr>
            <w:tcW w:w="1275"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12 089</w:t>
            </w:r>
          </w:p>
        </w:tc>
        <w:tc>
          <w:tcPr>
            <w:tcW w:w="1276"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147 333</w:t>
            </w:r>
          </w:p>
        </w:tc>
        <w:tc>
          <w:tcPr>
            <w:tcW w:w="1276"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152 364</w:t>
            </w:r>
          </w:p>
        </w:tc>
      </w:tr>
      <w:tr w:rsidR="00262B9C" w:rsidRPr="002E6A23" w:rsidTr="00CF39F9">
        <w:trPr>
          <w:trHeight w:val="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262B9C" w:rsidRPr="002E6A23" w:rsidRDefault="00262B9C" w:rsidP="00CF39F9">
            <w:pPr>
              <w:rPr>
                <w:rFonts w:eastAsia="Times New Roman"/>
                <w:color w:val="000000"/>
                <w:sz w:val="22"/>
                <w:lang w:eastAsia="lv-LV"/>
              </w:rPr>
            </w:pPr>
            <w:r w:rsidRPr="002E6A23">
              <w:rPr>
                <w:rFonts w:eastAsia="Times New Roman"/>
                <w:color w:val="000000"/>
                <w:sz w:val="22"/>
                <w:lang w:eastAsia="lv-LV"/>
              </w:rPr>
              <w:t>Bērnu klīniskā universitātes slimnīca</w:t>
            </w:r>
          </w:p>
        </w:tc>
        <w:tc>
          <w:tcPr>
            <w:tcW w:w="1418"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26 761</w:t>
            </w:r>
          </w:p>
        </w:tc>
        <w:tc>
          <w:tcPr>
            <w:tcW w:w="1276"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-1 588 311</w:t>
            </w:r>
          </w:p>
        </w:tc>
        <w:tc>
          <w:tcPr>
            <w:tcW w:w="1275"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245 817</w:t>
            </w:r>
          </w:p>
        </w:tc>
        <w:tc>
          <w:tcPr>
            <w:tcW w:w="1276"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141 359</w:t>
            </w:r>
          </w:p>
        </w:tc>
        <w:tc>
          <w:tcPr>
            <w:tcW w:w="1276"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4 670</w:t>
            </w:r>
          </w:p>
        </w:tc>
      </w:tr>
      <w:tr w:rsidR="00262B9C" w:rsidRPr="002E6A23" w:rsidTr="00CF39F9">
        <w:trPr>
          <w:trHeight w:val="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262B9C" w:rsidRPr="002E6A23" w:rsidRDefault="00262B9C" w:rsidP="00CF39F9">
            <w:pPr>
              <w:rPr>
                <w:rFonts w:eastAsia="Times New Roman"/>
                <w:color w:val="000000"/>
                <w:sz w:val="22"/>
                <w:lang w:eastAsia="lv-LV"/>
              </w:rPr>
            </w:pPr>
            <w:r w:rsidRPr="002E6A23">
              <w:rPr>
                <w:rFonts w:eastAsia="Times New Roman"/>
                <w:color w:val="000000"/>
                <w:sz w:val="22"/>
                <w:lang w:eastAsia="lv-LV"/>
              </w:rPr>
              <w:t>Rīgas psihiatrijas un narkoloģijas centrs</w:t>
            </w:r>
          </w:p>
        </w:tc>
        <w:tc>
          <w:tcPr>
            <w:tcW w:w="1418"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-3 020 471</w:t>
            </w:r>
          </w:p>
        </w:tc>
        <w:tc>
          <w:tcPr>
            <w:tcW w:w="1276"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21 245</w:t>
            </w:r>
          </w:p>
        </w:tc>
        <w:tc>
          <w:tcPr>
            <w:tcW w:w="1275"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11 912</w:t>
            </w:r>
          </w:p>
        </w:tc>
        <w:tc>
          <w:tcPr>
            <w:tcW w:w="1276"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2 090</w:t>
            </w:r>
          </w:p>
        </w:tc>
        <w:tc>
          <w:tcPr>
            <w:tcW w:w="1276"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52 259</w:t>
            </w:r>
          </w:p>
        </w:tc>
      </w:tr>
      <w:tr w:rsidR="00262B9C" w:rsidRPr="002E6A23" w:rsidTr="00CF39F9">
        <w:trPr>
          <w:trHeight w:val="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262B9C" w:rsidRPr="002E6A23" w:rsidRDefault="00262B9C" w:rsidP="00CF39F9">
            <w:pPr>
              <w:rPr>
                <w:rFonts w:eastAsia="Times New Roman"/>
                <w:color w:val="000000"/>
                <w:sz w:val="22"/>
                <w:lang w:eastAsia="lv-LV"/>
              </w:rPr>
            </w:pPr>
            <w:r w:rsidRPr="002E6A23">
              <w:rPr>
                <w:rFonts w:eastAsia="Times New Roman"/>
                <w:color w:val="000000"/>
                <w:sz w:val="22"/>
                <w:lang w:eastAsia="lv-LV"/>
              </w:rPr>
              <w:t>Traumatoloģijas un ortopēdijas slimnīca</w:t>
            </w:r>
          </w:p>
        </w:tc>
        <w:tc>
          <w:tcPr>
            <w:tcW w:w="1418"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122 334</w:t>
            </w:r>
          </w:p>
        </w:tc>
        <w:tc>
          <w:tcPr>
            <w:tcW w:w="1276"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69 994</w:t>
            </w:r>
          </w:p>
        </w:tc>
        <w:tc>
          <w:tcPr>
            <w:tcW w:w="1275"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190 197</w:t>
            </w:r>
          </w:p>
        </w:tc>
        <w:tc>
          <w:tcPr>
            <w:tcW w:w="1276"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76 176</w:t>
            </w:r>
          </w:p>
        </w:tc>
        <w:tc>
          <w:tcPr>
            <w:tcW w:w="1276"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-61 176</w:t>
            </w:r>
          </w:p>
        </w:tc>
      </w:tr>
      <w:tr w:rsidR="00262B9C" w:rsidRPr="002E6A23" w:rsidTr="00CF39F9">
        <w:trPr>
          <w:trHeight w:val="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262B9C" w:rsidRPr="002E6A23" w:rsidRDefault="00262B9C" w:rsidP="00CF39F9">
            <w:pPr>
              <w:rPr>
                <w:rFonts w:eastAsia="Times New Roman"/>
                <w:color w:val="000000"/>
                <w:sz w:val="22"/>
                <w:lang w:eastAsia="lv-LV"/>
              </w:rPr>
            </w:pPr>
            <w:r w:rsidRPr="002E6A23">
              <w:rPr>
                <w:rFonts w:eastAsia="Times New Roman"/>
                <w:color w:val="000000"/>
                <w:sz w:val="22"/>
                <w:lang w:eastAsia="lv-LV"/>
              </w:rPr>
              <w:t>Naci</w:t>
            </w:r>
            <w:r w:rsidR="00CF39F9" w:rsidRPr="002E6A23">
              <w:rPr>
                <w:rFonts w:eastAsia="Times New Roman"/>
                <w:color w:val="000000"/>
                <w:sz w:val="22"/>
                <w:lang w:eastAsia="lv-LV"/>
              </w:rPr>
              <w:t>onālais rehabilitācijas centrs “</w:t>
            </w:r>
            <w:r w:rsidRPr="002E6A23">
              <w:rPr>
                <w:rFonts w:eastAsia="Times New Roman"/>
                <w:color w:val="000000"/>
                <w:sz w:val="22"/>
                <w:lang w:eastAsia="lv-LV"/>
              </w:rPr>
              <w:t>Vaivari</w:t>
            </w:r>
            <w:r w:rsidR="00CF39F9" w:rsidRPr="002E6A23">
              <w:rPr>
                <w:rFonts w:eastAsia="Times New Roman"/>
                <w:color w:val="000000"/>
                <w:sz w:val="22"/>
                <w:lang w:eastAsia="lv-LV"/>
              </w:rPr>
              <w:t>”</w:t>
            </w:r>
          </w:p>
        </w:tc>
        <w:tc>
          <w:tcPr>
            <w:tcW w:w="1418"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-44 347</w:t>
            </w:r>
          </w:p>
        </w:tc>
        <w:tc>
          <w:tcPr>
            <w:tcW w:w="1276"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176 691</w:t>
            </w:r>
          </w:p>
        </w:tc>
        <w:tc>
          <w:tcPr>
            <w:tcW w:w="1275"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98 154</w:t>
            </w:r>
          </w:p>
        </w:tc>
        <w:tc>
          <w:tcPr>
            <w:tcW w:w="1276"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86 522</w:t>
            </w:r>
          </w:p>
        </w:tc>
        <w:tc>
          <w:tcPr>
            <w:tcW w:w="1276"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10 147</w:t>
            </w:r>
          </w:p>
        </w:tc>
      </w:tr>
      <w:tr w:rsidR="00262B9C" w:rsidRPr="002E6A23" w:rsidTr="00CF39F9">
        <w:trPr>
          <w:trHeight w:val="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262B9C" w:rsidRPr="002E6A23" w:rsidRDefault="00CF39F9" w:rsidP="00CF39F9">
            <w:pPr>
              <w:rPr>
                <w:rFonts w:eastAsia="Times New Roman"/>
                <w:color w:val="000000"/>
                <w:sz w:val="22"/>
                <w:lang w:eastAsia="lv-LV"/>
              </w:rPr>
            </w:pPr>
            <w:r w:rsidRPr="002E6A23">
              <w:rPr>
                <w:rFonts w:eastAsia="Times New Roman"/>
                <w:color w:val="000000"/>
                <w:sz w:val="22"/>
                <w:lang w:eastAsia="lv-LV"/>
              </w:rPr>
              <w:lastRenderedPageBreak/>
              <w:t>Slimnīca “</w:t>
            </w:r>
            <w:r w:rsidR="00262B9C" w:rsidRPr="002E6A23">
              <w:rPr>
                <w:rFonts w:eastAsia="Times New Roman"/>
                <w:color w:val="000000"/>
                <w:sz w:val="22"/>
                <w:lang w:eastAsia="lv-LV"/>
              </w:rPr>
              <w:t>Ģintermuiža</w:t>
            </w:r>
            <w:r w:rsidRPr="002E6A23">
              <w:rPr>
                <w:rFonts w:eastAsia="Times New Roman"/>
                <w:color w:val="000000"/>
                <w:sz w:val="22"/>
                <w:lang w:eastAsia="lv-LV"/>
              </w:rPr>
              <w:t>”</w:t>
            </w:r>
          </w:p>
        </w:tc>
        <w:tc>
          <w:tcPr>
            <w:tcW w:w="1418"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23 786</w:t>
            </w:r>
          </w:p>
        </w:tc>
        <w:tc>
          <w:tcPr>
            <w:tcW w:w="1276"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-279 904</w:t>
            </w:r>
          </w:p>
        </w:tc>
        <w:tc>
          <w:tcPr>
            <w:tcW w:w="1275"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2 718</w:t>
            </w:r>
          </w:p>
        </w:tc>
        <w:tc>
          <w:tcPr>
            <w:tcW w:w="1276"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8 453</w:t>
            </w:r>
          </w:p>
        </w:tc>
        <w:tc>
          <w:tcPr>
            <w:tcW w:w="1276"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162 245</w:t>
            </w:r>
          </w:p>
        </w:tc>
      </w:tr>
      <w:tr w:rsidR="00262B9C" w:rsidRPr="002E6A23" w:rsidTr="00CF39F9">
        <w:trPr>
          <w:trHeight w:val="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262B9C" w:rsidRPr="002E6A23" w:rsidRDefault="00262B9C" w:rsidP="00CF39F9">
            <w:pPr>
              <w:rPr>
                <w:rFonts w:eastAsia="Times New Roman"/>
                <w:color w:val="000000"/>
                <w:sz w:val="22"/>
                <w:lang w:eastAsia="lv-LV"/>
              </w:rPr>
            </w:pPr>
            <w:r w:rsidRPr="002E6A23">
              <w:rPr>
                <w:rFonts w:eastAsia="Times New Roman"/>
                <w:color w:val="000000"/>
                <w:sz w:val="22"/>
                <w:lang w:eastAsia="lv-LV"/>
              </w:rPr>
              <w:t>Aknīstes psihoneiroloģiskā slimnīca</w:t>
            </w:r>
          </w:p>
        </w:tc>
        <w:tc>
          <w:tcPr>
            <w:tcW w:w="1418"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-139 861</w:t>
            </w:r>
          </w:p>
        </w:tc>
        <w:tc>
          <w:tcPr>
            <w:tcW w:w="1276"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-286 339</w:t>
            </w:r>
          </w:p>
        </w:tc>
        <w:tc>
          <w:tcPr>
            <w:tcW w:w="1275"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39 571</w:t>
            </w:r>
          </w:p>
        </w:tc>
        <w:tc>
          <w:tcPr>
            <w:tcW w:w="1276"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31 752</w:t>
            </w:r>
          </w:p>
        </w:tc>
        <w:tc>
          <w:tcPr>
            <w:tcW w:w="1276"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3 029</w:t>
            </w:r>
          </w:p>
        </w:tc>
      </w:tr>
      <w:tr w:rsidR="00262B9C" w:rsidRPr="002E6A23" w:rsidTr="00CF39F9">
        <w:trPr>
          <w:trHeight w:val="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262B9C" w:rsidRPr="002E6A23" w:rsidRDefault="00262B9C" w:rsidP="00CF39F9">
            <w:pPr>
              <w:rPr>
                <w:rFonts w:eastAsia="Times New Roman"/>
                <w:color w:val="000000"/>
                <w:sz w:val="22"/>
                <w:lang w:eastAsia="lv-LV"/>
              </w:rPr>
            </w:pPr>
            <w:r w:rsidRPr="002E6A23">
              <w:rPr>
                <w:rFonts w:eastAsia="Times New Roman"/>
                <w:color w:val="000000"/>
                <w:sz w:val="22"/>
                <w:lang w:eastAsia="lv-LV"/>
              </w:rPr>
              <w:t>Strenču psihoneiroloģiskā slimnīca</w:t>
            </w:r>
          </w:p>
        </w:tc>
        <w:tc>
          <w:tcPr>
            <w:tcW w:w="1418"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5 552</w:t>
            </w:r>
          </w:p>
        </w:tc>
        <w:tc>
          <w:tcPr>
            <w:tcW w:w="1276"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3 896</w:t>
            </w:r>
          </w:p>
        </w:tc>
        <w:tc>
          <w:tcPr>
            <w:tcW w:w="1275"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12 214</w:t>
            </w:r>
          </w:p>
        </w:tc>
        <w:tc>
          <w:tcPr>
            <w:tcW w:w="1276"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119 218</w:t>
            </w:r>
          </w:p>
        </w:tc>
        <w:tc>
          <w:tcPr>
            <w:tcW w:w="1276"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47 406</w:t>
            </w:r>
          </w:p>
        </w:tc>
      </w:tr>
      <w:tr w:rsidR="00262B9C" w:rsidRPr="002E6A23" w:rsidTr="00CF39F9">
        <w:trPr>
          <w:trHeight w:val="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262B9C" w:rsidRPr="002E6A23" w:rsidRDefault="00262B9C" w:rsidP="00CF39F9">
            <w:pPr>
              <w:rPr>
                <w:rFonts w:eastAsia="Times New Roman"/>
                <w:color w:val="000000"/>
                <w:sz w:val="22"/>
                <w:lang w:eastAsia="lv-LV"/>
              </w:rPr>
            </w:pPr>
            <w:r w:rsidRPr="002E6A23">
              <w:rPr>
                <w:rFonts w:eastAsia="Times New Roman"/>
                <w:color w:val="000000"/>
                <w:sz w:val="22"/>
                <w:lang w:eastAsia="lv-LV"/>
              </w:rPr>
              <w:t>Bērnu psi</w:t>
            </w:r>
            <w:r w:rsidR="00FB1C57" w:rsidRPr="002E6A23">
              <w:rPr>
                <w:rFonts w:eastAsia="Times New Roman"/>
                <w:color w:val="000000"/>
                <w:sz w:val="22"/>
                <w:lang w:eastAsia="lv-LV"/>
              </w:rPr>
              <w:t>honeiroloģiskā slimnīca “Ainaži”</w:t>
            </w:r>
          </w:p>
        </w:tc>
        <w:tc>
          <w:tcPr>
            <w:tcW w:w="1418"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-40 651</w:t>
            </w:r>
          </w:p>
        </w:tc>
        <w:tc>
          <w:tcPr>
            <w:tcW w:w="1276"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-2 442</w:t>
            </w:r>
          </w:p>
        </w:tc>
        <w:tc>
          <w:tcPr>
            <w:tcW w:w="1275"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11 737</w:t>
            </w:r>
          </w:p>
        </w:tc>
        <w:tc>
          <w:tcPr>
            <w:tcW w:w="1276"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44 857</w:t>
            </w:r>
          </w:p>
        </w:tc>
        <w:tc>
          <w:tcPr>
            <w:tcW w:w="1276"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5 883</w:t>
            </w:r>
          </w:p>
        </w:tc>
      </w:tr>
      <w:tr w:rsidR="00262B9C" w:rsidRPr="002E6A23" w:rsidTr="00CF39F9">
        <w:trPr>
          <w:trHeight w:val="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262B9C" w:rsidRPr="002E6A23" w:rsidRDefault="00262B9C" w:rsidP="00CF39F9">
            <w:pPr>
              <w:rPr>
                <w:rFonts w:eastAsia="Times New Roman"/>
                <w:color w:val="000000"/>
                <w:sz w:val="22"/>
                <w:lang w:eastAsia="lv-LV"/>
              </w:rPr>
            </w:pPr>
            <w:r w:rsidRPr="002E6A23">
              <w:rPr>
                <w:rFonts w:eastAsia="Times New Roman"/>
                <w:color w:val="000000"/>
                <w:sz w:val="22"/>
                <w:lang w:eastAsia="lv-LV"/>
              </w:rPr>
              <w:t>Daugavpils psihoneiroloģiskā slimnīca</w:t>
            </w:r>
          </w:p>
        </w:tc>
        <w:tc>
          <w:tcPr>
            <w:tcW w:w="1418"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29 054</w:t>
            </w:r>
          </w:p>
        </w:tc>
        <w:tc>
          <w:tcPr>
            <w:tcW w:w="1276"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7 351</w:t>
            </w:r>
          </w:p>
        </w:tc>
        <w:tc>
          <w:tcPr>
            <w:tcW w:w="1275"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35 175</w:t>
            </w:r>
          </w:p>
        </w:tc>
        <w:tc>
          <w:tcPr>
            <w:tcW w:w="1276"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20 030</w:t>
            </w:r>
          </w:p>
        </w:tc>
        <w:tc>
          <w:tcPr>
            <w:tcW w:w="1276"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9 045</w:t>
            </w:r>
          </w:p>
        </w:tc>
      </w:tr>
      <w:tr w:rsidR="00262B9C" w:rsidRPr="002E6A23" w:rsidTr="00CF39F9">
        <w:trPr>
          <w:trHeight w:val="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262B9C" w:rsidRPr="002E6A23" w:rsidRDefault="00262B9C" w:rsidP="00CF39F9">
            <w:pPr>
              <w:rPr>
                <w:rFonts w:eastAsia="Times New Roman"/>
                <w:color w:val="000000"/>
                <w:sz w:val="22"/>
                <w:lang w:eastAsia="lv-LV"/>
              </w:rPr>
            </w:pPr>
            <w:r w:rsidRPr="002E6A23">
              <w:rPr>
                <w:rFonts w:eastAsia="Times New Roman"/>
                <w:color w:val="000000"/>
                <w:sz w:val="22"/>
                <w:lang w:eastAsia="lv-LV"/>
              </w:rPr>
              <w:t>Piejūras slimnīca</w:t>
            </w:r>
          </w:p>
        </w:tc>
        <w:tc>
          <w:tcPr>
            <w:tcW w:w="1418"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153 470</w:t>
            </w:r>
          </w:p>
        </w:tc>
        <w:tc>
          <w:tcPr>
            <w:tcW w:w="1276"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10 139</w:t>
            </w:r>
          </w:p>
        </w:tc>
        <w:tc>
          <w:tcPr>
            <w:tcW w:w="1275"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-94 372</w:t>
            </w:r>
          </w:p>
        </w:tc>
        <w:tc>
          <w:tcPr>
            <w:tcW w:w="1276"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-96 041</w:t>
            </w:r>
          </w:p>
        </w:tc>
        <w:tc>
          <w:tcPr>
            <w:tcW w:w="1276"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-4 446</w:t>
            </w:r>
          </w:p>
        </w:tc>
      </w:tr>
      <w:tr w:rsidR="00262B9C" w:rsidRPr="002E6A23" w:rsidTr="00CF39F9">
        <w:trPr>
          <w:trHeight w:val="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262B9C" w:rsidRPr="002E6A23" w:rsidRDefault="00262B9C" w:rsidP="00CF39F9">
            <w:pPr>
              <w:rPr>
                <w:rFonts w:eastAsia="Times New Roman"/>
                <w:color w:val="000000"/>
                <w:sz w:val="22"/>
                <w:lang w:eastAsia="lv-LV"/>
              </w:rPr>
            </w:pPr>
            <w:r w:rsidRPr="002E6A23">
              <w:rPr>
                <w:rFonts w:eastAsia="Times New Roman"/>
                <w:color w:val="000000"/>
                <w:sz w:val="22"/>
                <w:lang w:eastAsia="lv-LV"/>
              </w:rPr>
              <w:t>Straupes narkoloģiskā slimnīca</w:t>
            </w:r>
          </w:p>
        </w:tc>
        <w:tc>
          <w:tcPr>
            <w:tcW w:w="1418"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4 704</w:t>
            </w:r>
          </w:p>
        </w:tc>
        <w:tc>
          <w:tcPr>
            <w:tcW w:w="1276"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3 206</w:t>
            </w:r>
          </w:p>
        </w:tc>
        <w:tc>
          <w:tcPr>
            <w:tcW w:w="1275"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-1 350</w:t>
            </w:r>
          </w:p>
        </w:tc>
        <w:tc>
          <w:tcPr>
            <w:tcW w:w="1276"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-27 412</w:t>
            </w:r>
          </w:p>
        </w:tc>
        <w:tc>
          <w:tcPr>
            <w:tcW w:w="1276" w:type="dxa"/>
            <w:tcBorders>
              <w:top w:val="nil"/>
              <w:left w:val="nil"/>
              <w:bottom w:val="single" w:sz="4" w:space="0" w:color="auto"/>
              <w:right w:val="single" w:sz="4" w:space="0" w:color="auto"/>
            </w:tcBorders>
            <w:shd w:val="clear" w:color="auto" w:fill="auto"/>
            <w:noWrap/>
            <w:vAlign w:val="bottom"/>
            <w:hideMark/>
          </w:tcPr>
          <w:p w:rsidR="00262B9C" w:rsidRPr="002E6A23" w:rsidRDefault="00262B9C" w:rsidP="00CF39F9">
            <w:pPr>
              <w:jc w:val="right"/>
              <w:rPr>
                <w:rFonts w:eastAsia="Times New Roman"/>
                <w:color w:val="000000"/>
                <w:sz w:val="22"/>
                <w:lang w:eastAsia="lv-LV"/>
              </w:rPr>
            </w:pPr>
            <w:r w:rsidRPr="002E6A23">
              <w:rPr>
                <w:rFonts w:eastAsia="Times New Roman"/>
                <w:color w:val="000000"/>
                <w:sz w:val="22"/>
                <w:lang w:eastAsia="lv-LV"/>
              </w:rPr>
              <w:t>5 900</w:t>
            </w:r>
          </w:p>
        </w:tc>
      </w:tr>
    </w:tbl>
    <w:p w:rsidR="00262B9C" w:rsidRPr="009C2FB3" w:rsidRDefault="00262B9C" w:rsidP="00262B9C">
      <w:pPr>
        <w:pStyle w:val="ListParagraph"/>
        <w:tabs>
          <w:tab w:val="left" w:pos="709"/>
        </w:tabs>
        <w:spacing w:after="120"/>
        <w:ind w:left="1080" w:right="-58"/>
        <w:jc w:val="both"/>
        <w:rPr>
          <w:bCs/>
          <w:sz w:val="8"/>
          <w:szCs w:val="8"/>
        </w:rPr>
      </w:pPr>
    </w:p>
    <w:p w:rsidR="00262B9C" w:rsidRPr="001A7151" w:rsidRDefault="00CF39F9" w:rsidP="009C2FB3">
      <w:pPr>
        <w:pStyle w:val="ListParagraph"/>
        <w:tabs>
          <w:tab w:val="left" w:pos="709"/>
        </w:tabs>
        <w:spacing w:after="120"/>
        <w:ind w:left="0" w:right="-58" w:firstLine="709"/>
        <w:jc w:val="both"/>
        <w:rPr>
          <w:bCs/>
          <w:szCs w:val="24"/>
        </w:rPr>
      </w:pPr>
      <w:r>
        <w:rPr>
          <w:bCs/>
          <w:szCs w:val="24"/>
        </w:rPr>
        <w:t>VM</w:t>
      </w:r>
      <w:r w:rsidR="00262B9C" w:rsidRPr="001A7151">
        <w:rPr>
          <w:bCs/>
          <w:szCs w:val="24"/>
        </w:rPr>
        <w:t xml:space="preserve">, lemjot par valsts budžeta finansējuma apjoma sadalījumu pa valsts stacionārajām ārstniecības iestādēm, nepieciešams analizēt un ņemt vērā datus par slimnīcu </w:t>
      </w:r>
      <w:r w:rsidR="00262B9C">
        <w:rPr>
          <w:bCs/>
          <w:szCs w:val="24"/>
        </w:rPr>
        <w:t>faktiski veiktajiem pakalpojumiem, tajā skaitā neatliekami sniegto palīdzību</w:t>
      </w:r>
      <w:r w:rsidR="00262B9C" w:rsidRPr="001A7151">
        <w:rPr>
          <w:bCs/>
          <w:szCs w:val="24"/>
        </w:rPr>
        <w:t xml:space="preserve">. </w:t>
      </w:r>
    </w:p>
    <w:p w:rsidR="00262B9C" w:rsidRPr="00F71869" w:rsidRDefault="00262B9C" w:rsidP="002E6A23">
      <w:pPr>
        <w:pStyle w:val="ListParagraph"/>
        <w:numPr>
          <w:ilvl w:val="0"/>
          <w:numId w:val="3"/>
        </w:numPr>
        <w:tabs>
          <w:tab w:val="left" w:pos="426"/>
        </w:tabs>
        <w:spacing w:after="120"/>
        <w:ind w:left="284" w:right="-57" w:hanging="284"/>
        <w:contextualSpacing w:val="0"/>
        <w:jc w:val="both"/>
        <w:rPr>
          <w:bCs/>
          <w:szCs w:val="24"/>
        </w:rPr>
      </w:pPr>
      <w:r w:rsidRPr="001A7151">
        <w:t>Veicot publiski pieejamo datu analīzi par radioloģijas iekārtu ekspluatāciju s</w:t>
      </w:r>
      <w:r>
        <w:t>tacionārajā veselības aprūpē (27</w:t>
      </w:r>
      <w:r w:rsidRPr="001A7151">
        <w:t>.attēls), secināms, ka iekārtu produktivitāte ultraskaņas diagnostikas aparātiem krītas, savukārt datortomogrāfijas un magnētiskās rezonanses iekārtu ekspluatācijai no 2008.gada līdz 2014.gadam ir pieauguma tendence.</w:t>
      </w:r>
    </w:p>
    <w:p w:rsidR="00262B9C" w:rsidRPr="001A7151" w:rsidRDefault="00262B9C" w:rsidP="00FB1C57">
      <w:pPr>
        <w:pStyle w:val="ListParagraph"/>
        <w:tabs>
          <w:tab w:val="left" w:pos="993"/>
        </w:tabs>
        <w:ind w:left="0"/>
        <w:jc w:val="center"/>
      </w:pPr>
      <w:r w:rsidRPr="001A7151">
        <w:rPr>
          <w:noProof/>
          <w:szCs w:val="24"/>
          <w:lang w:eastAsia="lv-LV"/>
        </w:rPr>
        <w:drawing>
          <wp:inline distT="0" distB="0" distL="0" distR="0" wp14:anchorId="1B23695B" wp14:editId="388D9383">
            <wp:extent cx="4798771" cy="2332990"/>
            <wp:effectExtent l="19050" t="19050" r="20955" b="10160"/>
            <wp:docPr id="6" name="Picture 14" descr="C:\Users\bd-janev\AppData\Local\Microsoft\Windows\Temporary Internet Files\Content.Outlook\XW2YJBOW\stac_r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bd-janev\AppData\Local\Microsoft\Windows\Temporary Internet Files\Content.Outlook\XW2YJBOW\stac_ra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8771" cy="2332990"/>
                    </a:xfrm>
                    <a:prstGeom prst="rect">
                      <a:avLst/>
                    </a:prstGeom>
                    <a:noFill/>
                    <a:ln>
                      <a:solidFill>
                        <a:schemeClr val="bg1">
                          <a:lumMod val="85000"/>
                        </a:schemeClr>
                      </a:solidFill>
                    </a:ln>
                  </pic:spPr>
                </pic:pic>
              </a:graphicData>
            </a:graphic>
          </wp:inline>
        </w:drawing>
      </w:r>
    </w:p>
    <w:p w:rsidR="00262B9C" w:rsidRPr="00FB1C57" w:rsidRDefault="00FB1C57" w:rsidP="009C2FB3">
      <w:pPr>
        <w:pStyle w:val="ListParagraph"/>
        <w:spacing w:before="120"/>
        <w:ind w:left="0"/>
        <w:contextualSpacing w:val="0"/>
        <w:jc w:val="center"/>
        <w:rPr>
          <w:sz w:val="22"/>
        </w:rPr>
      </w:pPr>
      <w:r w:rsidRPr="00FB1C57">
        <w:rPr>
          <w:i/>
          <w:sz w:val="22"/>
        </w:rPr>
        <w:t>3.att.</w:t>
      </w:r>
      <w:r w:rsidR="00262B9C" w:rsidRPr="00FB1C57">
        <w:rPr>
          <w:sz w:val="22"/>
        </w:rPr>
        <w:t xml:space="preserve"> </w:t>
      </w:r>
      <w:r w:rsidR="00262B9C" w:rsidRPr="00FB1C57">
        <w:rPr>
          <w:b/>
          <w:sz w:val="22"/>
        </w:rPr>
        <w:t>Radioloģijas aparatūras noslodze (stacionāri)</w:t>
      </w:r>
    </w:p>
    <w:p w:rsidR="00262B9C" w:rsidRPr="009C2FB3" w:rsidRDefault="00262B9C" w:rsidP="00262B9C">
      <w:pPr>
        <w:pStyle w:val="ListParagraph"/>
        <w:tabs>
          <w:tab w:val="left" w:pos="993"/>
        </w:tabs>
        <w:ind w:left="567"/>
        <w:jc w:val="both"/>
        <w:rPr>
          <w:sz w:val="8"/>
          <w:szCs w:val="8"/>
        </w:rPr>
      </w:pPr>
    </w:p>
    <w:p w:rsidR="00262B9C" w:rsidRPr="001A7151" w:rsidRDefault="00262B9C" w:rsidP="00F71869">
      <w:pPr>
        <w:pStyle w:val="ListParagraph"/>
        <w:numPr>
          <w:ilvl w:val="0"/>
          <w:numId w:val="3"/>
        </w:numPr>
        <w:tabs>
          <w:tab w:val="left" w:pos="709"/>
        </w:tabs>
        <w:ind w:left="426" w:hanging="426"/>
        <w:jc w:val="both"/>
      </w:pPr>
      <w:r w:rsidRPr="000302EF">
        <w:t xml:space="preserve">Finansējuma sadale pārsvarā notiek pēc novecojušiem </w:t>
      </w:r>
      <w:proofErr w:type="spellStart"/>
      <w:r w:rsidRPr="000302EF">
        <w:t>pirmskrīzes</w:t>
      </w:r>
      <w:proofErr w:type="spellEnd"/>
      <w:r w:rsidRPr="000302EF">
        <w:t xml:space="preserve"> laika tarifiem, līdz ar to, lai ārstniecības iestādes iekļautos pieejamos līdzekļos, pārsvarā gadījumu tiek apkalpots mazāks pacientu skaits nekā paredzēts līgumā. Tas sistēmu padara necaurspīdīgu visām iesaistītajām pusēm (pacientiem, ārstniecības iestādēm, uzraugošajām un kontrolējošām iestādēm), noved pie dažkārt tendencioziem secinājumiem, vērtējot līdzekļu izlietojumu, nedod iespēju nodefinēt “pakalpojumu grozu”, ko ar esošo finansējumu valsts spēj nodrošināt (kvalitatīvi un atbilstoši pieprasījuma apmēram), un precīzi aprēķināt papildu nepieciešamo valsts budžeta līdzekļu apmēru, lai nodrošinātu “pakalpojumu grozu”.</w:t>
      </w:r>
    </w:p>
    <w:p w:rsidR="00262B9C" w:rsidRPr="000015EF" w:rsidRDefault="000015EF" w:rsidP="000015EF">
      <w:pPr>
        <w:tabs>
          <w:tab w:val="left" w:pos="567"/>
        </w:tabs>
        <w:spacing w:before="120" w:after="120"/>
        <w:rPr>
          <w:b/>
          <w:u w:val="single"/>
        </w:rPr>
      </w:pPr>
      <w:r w:rsidRPr="000015EF">
        <w:rPr>
          <w:b/>
          <w:u w:val="single"/>
        </w:rPr>
        <w:t>A</w:t>
      </w:r>
      <w:r w:rsidR="00262B9C" w:rsidRPr="000015EF">
        <w:rPr>
          <w:b/>
          <w:u w:val="single"/>
        </w:rPr>
        <w:t>mbulator</w:t>
      </w:r>
      <w:r w:rsidRPr="000015EF">
        <w:rPr>
          <w:b/>
          <w:u w:val="single"/>
        </w:rPr>
        <w:t>ā</w:t>
      </w:r>
      <w:r w:rsidR="00262B9C" w:rsidRPr="000015EF">
        <w:rPr>
          <w:b/>
          <w:u w:val="single"/>
        </w:rPr>
        <w:t xml:space="preserve"> veselības aprūp</w:t>
      </w:r>
      <w:r w:rsidRPr="000015EF">
        <w:rPr>
          <w:b/>
          <w:u w:val="single"/>
        </w:rPr>
        <w:t>e</w:t>
      </w:r>
    </w:p>
    <w:p w:rsidR="00F71869" w:rsidRDefault="00262B9C" w:rsidP="00F71869">
      <w:pPr>
        <w:pStyle w:val="ListParagraph"/>
        <w:numPr>
          <w:ilvl w:val="0"/>
          <w:numId w:val="1"/>
        </w:numPr>
        <w:tabs>
          <w:tab w:val="left" w:pos="709"/>
        </w:tabs>
        <w:ind w:left="284" w:hanging="284"/>
        <w:jc w:val="both"/>
      </w:pPr>
      <w:r w:rsidRPr="00010F7A">
        <w:t>Izvērtējot informāciju par sistēmu, kā tiek veikta jaunu sekundāro ambulatoro pakalpojumu sniedzēju atlase, secināms, ka konkurss par pakalpojumu sniegšanu tiek rīkots tikai tad, kad pakalpojums vairs nav pieejams konkrētā reģionā. Vērtējot potenciālos pakalpojumu sniedzējus, tiek izvirzītas dažādas prasības, tomēr netiek vērtētas pakalpojuma izmaksas.</w:t>
      </w:r>
    </w:p>
    <w:p w:rsidR="00262B9C" w:rsidRPr="001A7151" w:rsidRDefault="00262B9C" w:rsidP="00F71869">
      <w:pPr>
        <w:pStyle w:val="ListParagraph"/>
        <w:numPr>
          <w:ilvl w:val="0"/>
          <w:numId w:val="1"/>
        </w:numPr>
        <w:tabs>
          <w:tab w:val="left" w:pos="709"/>
        </w:tabs>
        <w:ind w:left="284" w:hanging="284"/>
        <w:jc w:val="both"/>
      </w:pPr>
      <w:r w:rsidRPr="001A7151">
        <w:t>Lielākais ģimenes ārstu saņemtais finansējums no valsts budžeta ir fiksētie maksājumi, kas balstīti uz reģistrēto pacientu skaitu neatkarīgi no tā vai pacients ir vērsies pēc pakalpojuma pie ģimenes ārsta</w:t>
      </w:r>
      <w:r>
        <w:t>.</w:t>
      </w:r>
    </w:p>
    <w:p w:rsidR="00262B9C" w:rsidRDefault="00262B9C" w:rsidP="000015EF">
      <w:pPr>
        <w:pStyle w:val="ListParagraph"/>
        <w:tabs>
          <w:tab w:val="left" w:pos="709"/>
        </w:tabs>
        <w:spacing w:after="120"/>
        <w:ind w:left="0" w:firstLine="284"/>
        <w:contextualSpacing w:val="0"/>
        <w:jc w:val="both"/>
      </w:pPr>
      <w:r w:rsidRPr="001A7151">
        <w:lastRenderedPageBreak/>
        <w:t xml:space="preserve">Kā redzams </w:t>
      </w:r>
      <w:r w:rsidR="000015EF">
        <w:t>4</w:t>
      </w:r>
      <w:r w:rsidRPr="001A7151">
        <w:t>.attēlā kopumā fiksētie maksājumi ģimenes ārstu praksēs ir 85,3%, savukārt faktiski paveiktā darba un sasniegto rezultātu maksājumi ir tikai 14,7% no kopējiem apmaksātajiem ģimenes ārstu pakalpojumiem.</w:t>
      </w:r>
    </w:p>
    <w:p w:rsidR="00262B9C" w:rsidRPr="001A7151" w:rsidRDefault="00262B9C" w:rsidP="000015EF">
      <w:pPr>
        <w:pStyle w:val="ListParagraph"/>
        <w:tabs>
          <w:tab w:val="left" w:pos="709"/>
        </w:tabs>
        <w:ind w:left="0" w:firstLine="284"/>
        <w:jc w:val="center"/>
      </w:pPr>
      <w:r w:rsidRPr="000015EF">
        <w:rPr>
          <w:noProof/>
          <w:lang w:eastAsia="lv-LV"/>
        </w:rPr>
        <w:drawing>
          <wp:inline distT="0" distB="0" distL="0" distR="0" wp14:anchorId="2A60DF0F" wp14:editId="615A0D73">
            <wp:extent cx="4555887" cy="2677363"/>
            <wp:effectExtent l="0" t="0" r="0" b="889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66150" cy="2683394"/>
                    </a:xfrm>
                    <a:prstGeom prst="rect">
                      <a:avLst/>
                    </a:prstGeom>
                    <a:noFill/>
                    <a:ln>
                      <a:noFill/>
                    </a:ln>
                  </pic:spPr>
                </pic:pic>
              </a:graphicData>
            </a:graphic>
          </wp:inline>
        </w:drawing>
      </w:r>
    </w:p>
    <w:p w:rsidR="00262B9C" w:rsidRPr="000015EF" w:rsidRDefault="000015EF" w:rsidP="00262B9C">
      <w:pPr>
        <w:jc w:val="center"/>
        <w:rPr>
          <w:sz w:val="22"/>
        </w:rPr>
      </w:pPr>
      <w:r w:rsidRPr="000015EF">
        <w:rPr>
          <w:i/>
          <w:sz w:val="22"/>
        </w:rPr>
        <w:t>4. att.</w:t>
      </w:r>
      <w:r w:rsidR="00262B9C" w:rsidRPr="000015EF">
        <w:rPr>
          <w:sz w:val="22"/>
        </w:rPr>
        <w:t xml:space="preserve"> </w:t>
      </w:r>
      <w:r w:rsidR="00262B9C" w:rsidRPr="000015EF">
        <w:rPr>
          <w:b/>
          <w:sz w:val="22"/>
        </w:rPr>
        <w:t>Ģimenes ārstu pakalpojumu apmaksa (NVD sniegtā informācija)</w:t>
      </w:r>
    </w:p>
    <w:p w:rsidR="00262B9C" w:rsidRPr="009C2FB3" w:rsidRDefault="00262B9C" w:rsidP="00262B9C">
      <w:pPr>
        <w:jc w:val="both"/>
        <w:rPr>
          <w:sz w:val="12"/>
          <w:szCs w:val="12"/>
        </w:rPr>
      </w:pPr>
    </w:p>
    <w:p w:rsidR="00F71869" w:rsidRPr="00F71869" w:rsidRDefault="000015EF" w:rsidP="002E6A23">
      <w:pPr>
        <w:pStyle w:val="ListParagraph"/>
        <w:numPr>
          <w:ilvl w:val="0"/>
          <w:numId w:val="1"/>
        </w:numPr>
        <w:ind w:left="284" w:hanging="284"/>
        <w:contextualSpacing w:val="0"/>
        <w:jc w:val="both"/>
        <w:rPr>
          <w:rStyle w:val="Strong"/>
          <w:b w:val="0"/>
          <w:bCs w:val="0"/>
        </w:rPr>
      </w:pPr>
      <w:r w:rsidRPr="00F71869">
        <w:rPr>
          <w:rStyle w:val="Strong"/>
          <w:b w:val="0"/>
          <w:szCs w:val="24"/>
          <w:shd w:val="clear" w:color="auto" w:fill="FFFFFF"/>
        </w:rPr>
        <w:t>NVD</w:t>
      </w:r>
      <w:r w:rsidR="00262B9C" w:rsidRPr="00F71869">
        <w:rPr>
          <w:rStyle w:val="Strong"/>
          <w:b w:val="0"/>
          <w:szCs w:val="24"/>
          <w:shd w:val="clear" w:color="auto" w:fill="FFFFFF"/>
        </w:rPr>
        <w:t xml:space="preserve"> piekrīt, ka ģimenes ārstu pakalpojumu apmaksas procentuālais sadalījums nav efektīvs un tas būtu jāpārskata.</w:t>
      </w:r>
      <w:r w:rsidR="00262B9C" w:rsidRPr="00F71869">
        <w:rPr>
          <w:rStyle w:val="Strong"/>
          <w:b w:val="0"/>
          <w:bCs w:val="0"/>
        </w:rPr>
        <w:t xml:space="preserve"> </w:t>
      </w:r>
      <w:r w:rsidR="00262B9C" w:rsidRPr="00F71869">
        <w:rPr>
          <w:rStyle w:val="Strong"/>
          <w:b w:val="0"/>
          <w:szCs w:val="24"/>
          <w:shd w:val="clear" w:color="auto" w:fill="FFFFFF"/>
        </w:rPr>
        <w:t xml:space="preserve">Vienlaikus </w:t>
      </w:r>
      <w:r w:rsidRPr="00F71869">
        <w:rPr>
          <w:rStyle w:val="Strong"/>
          <w:b w:val="0"/>
          <w:szCs w:val="24"/>
          <w:shd w:val="clear" w:color="auto" w:fill="FFFFFF"/>
        </w:rPr>
        <w:t>NVD</w:t>
      </w:r>
      <w:r w:rsidR="00262B9C" w:rsidRPr="00F71869">
        <w:rPr>
          <w:rStyle w:val="Strong"/>
          <w:b w:val="0"/>
          <w:szCs w:val="24"/>
          <w:shd w:val="clear" w:color="auto" w:fill="FFFFFF"/>
        </w:rPr>
        <w:t xml:space="preserve"> informēja darba grupu, ka 2016.gada jūlijā tiks pacelts fiksētais ģimenes ārsta maksājums (</w:t>
      </w:r>
      <w:proofErr w:type="spellStart"/>
      <w:r w:rsidR="00262B9C" w:rsidRPr="00F71869">
        <w:rPr>
          <w:rStyle w:val="Strong"/>
          <w:b w:val="0"/>
          <w:szCs w:val="24"/>
          <w:shd w:val="clear" w:color="auto" w:fill="FFFFFF"/>
        </w:rPr>
        <w:t>kapitācijas</w:t>
      </w:r>
      <w:proofErr w:type="spellEnd"/>
      <w:r w:rsidR="00262B9C" w:rsidRPr="00F71869">
        <w:rPr>
          <w:rStyle w:val="Strong"/>
          <w:b w:val="0"/>
          <w:szCs w:val="24"/>
          <w:shd w:val="clear" w:color="auto" w:fill="FFFFFF"/>
        </w:rPr>
        <w:t xml:space="preserve"> nauda). Atbilstoši </w:t>
      </w:r>
      <w:r w:rsidRPr="00F71869">
        <w:rPr>
          <w:rStyle w:val="Strong"/>
          <w:b w:val="0"/>
          <w:szCs w:val="24"/>
          <w:shd w:val="clear" w:color="auto" w:fill="FFFFFF"/>
        </w:rPr>
        <w:t>NVD</w:t>
      </w:r>
      <w:r w:rsidR="000F63D6">
        <w:rPr>
          <w:rStyle w:val="Strong"/>
          <w:b w:val="0"/>
          <w:szCs w:val="24"/>
          <w:shd w:val="clear" w:color="auto" w:fill="FFFFFF"/>
        </w:rPr>
        <w:t xml:space="preserve"> </w:t>
      </w:r>
      <w:r w:rsidR="00262B9C" w:rsidRPr="00F71869">
        <w:rPr>
          <w:rStyle w:val="Strong"/>
          <w:b w:val="0"/>
          <w:szCs w:val="24"/>
          <w:shd w:val="clear" w:color="auto" w:fill="FFFFFF"/>
        </w:rPr>
        <w:t xml:space="preserve">sniegtajai informācijai </w:t>
      </w:r>
      <w:proofErr w:type="spellStart"/>
      <w:r w:rsidR="00262B9C" w:rsidRPr="00F71869">
        <w:rPr>
          <w:rStyle w:val="Strong"/>
          <w:b w:val="0"/>
          <w:szCs w:val="24"/>
          <w:shd w:val="clear" w:color="auto" w:fill="FFFFFF"/>
        </w:rPr>
        <w:t>kapitācijas</w:t>
      </w:r>
      <w:proofErr w:type="spellEnd"/>
      <w:r w:rsidR="00262B9C" w:rsidRPr="00F71869">
        <w:rPr>
          <w:rStyle w:val="Strong"/>
          <w:b w:val="0"/>
          <w:szCs w:val="24"/>
          <w:shd w:val="clear" w:color="auto" w:fill="FFFFFF"/>
        </w:rPr>
        <w:t xml:space="preserve"> naudas pieauguma nodrošināšanai nepieciešams finansējums 1,1 milj. </w:t>
      </w:r>
      <w:r w:rsidR="00262B9C" w:rsidRPr="00F71869">
        <w:rPr>
          <w:rStyle w:val="Strong"/>
          <w:b w:val="0"/>
          <w:i/>
          <w:szCs w:val="24"/>
          <w:shd w:val="clear" w:color="auto" w:fill="FFFFFF"/>
        </w:rPr>
        <w:t>euro</w:t>
      </w:r>
      <w:r w:rsidR="00262B9C" w:rsidRPr="00F71869">
        <w:rPr>
          <w:rStyle w:val="Strong"/>
          <w:b w:val="0"/>
          <w:szCs w:val="24"/>
          <w:shd w:val="clear" w:color="auto" w:fill="FFFFFF"/>
        </w:rPr>
        <w:t xml:space="preserve"> apmērā pusgadā un 2,2 milj. </w:t>
      </w:r>
      <w:r w:rsidR="00262B9C" w:rsidRPr="00F71869">
        <w:rPr>
          <w:rStyle w:val="Strong"/>
          <w:b w:val="0"/>
          <w:i/>
          <w:szCs w:val="24"/>
          <w:shd w:val="clear" w:color="auto" w:fill="FFFFFF"/>
        </w:rPr>
        <w:t>euro</w:t>
      </w:r>
      <w:r w:rsidR="00262B9C" w:rsidRPr="00F71869">
        <w:rPr>
          <w:rStyle w:val="Strong"/>
          <w:b w:val="0"/>
          <w:szCs w:val="24"/>
          <w:shd w:val="clear" w:color="auto" w:fill="FFFFFF"/>
        </w:rPr>
        <w:t xml:space="preserve"> apmērā pilnam gadam.</w:t>
      </w:r>
    </w:p>
    <w:p w:rsidR="00262B9C" w:rsidRPr="001A7151" w:rsidRDefault="00262B9C" w:rsidP="002E6A23">
      <w:pPr>
        <w:pStyle w:val="ListParagraph"/>
        <w:numPr>
          <w:ilvl w:val="0"/>
          <w:numId w:val="1"/>
        </w:numPr>
        <w:ind w:left="284" w:hanging="284"/>
        <w:jc w:val="both"/>
      </w:pPr>
      <w:r w:rsidRPr="001A7151">
        <w:t xml:space="preserve">Veicot </w:t>
      </w:r>
      <w:r w:rsidR="000015EF">
        <w:t>VM</w:t>
      </w:r>
      <w:r w:rsidRPr="001A7151">
        <w:t xml:space="preserve"> iesniegto datu analīzi par primārās veselības aprūpes finansējumu, secināts, ka pastāv būtiska variācija izmaksām uz vienu </w:t>
      </w:r>
      <w:r>
        <w:t>apmeklējumu</w:t>
      </w:r>
      <w:r w:rsidRPr="001A7151">
        <w:t xml:space="preserve"> starp ģimenes ārstu praksēm.</w:t>
      </w:r>
    </w:p>
    <w:p w:rsidR="000015EF" w:rsidRPr="001A7151" w:rsidRDefault="000015EF" w:rsidP="002E6A23">
      <w:pPr>
        <w:ind w:firstLine="709"/>
        <w:jc w:val="both"/>
      </w:pPr>
      <w:r w:rsidRPr="001A7151">
        <w:t xml:space="preserve">Kā redzams </w:t>
      </w:r>
      <w:r>
        <w:t>5</w:t>
      </w:r>
      <w:r w:rsidRPr="001A7151">
        <w:t xml:space="preserve">.attēlā lielākajā daļā no ģimenes ārstu praksēm viena </w:t>
      </w:r>
      <w:r>
        <w:t>apmeklējuma</w:t>
      </w:r>
      <w:r w:rsidRPr="001A7151">
        <w:t xml:space="preserve"> izmaksas ir robežās no 9 </w:t>
      </w:r>
      <w:r w:rsidRPr="000015EF">
        <w:rPr>
          <w:i/>
        </w:rPr>
        <w:t>euro</w:t>
      </w:r>
      <w:r w:rsidRPr="001A7151">
        <w:t xml:space="preserve"> līdz 13 </w:t>
      </w:r>
      <w:r w:rsidRPr="000015EF">
        <w:rPr>
          <w:i/>
        </w:rPr>
        <w:t>euro</w:t>
      </w:r>
      <w:r w:rsidRPr="001A7151">
        <w:t xml:space="preserve">, tomēr ir prakses, kur viens </w:t>
      </w:r>
      <w:r w:rsidR="00C46E1E">
        <w:t>apmeklējums</w:t>
      </w:r>
      <w:r w:rsidRPr="001A7151">
        <w:t xml:space="preserve"> izmaksā virs 20 </w:t>
      </w:r>
      <w:r w:rsidRPr="000015EF">
        <w:rPr>
          <w:i/>
        </w:rPr>
        <w:t xml:space="preserve">euro </w:t>
      </w:r>
      <w:r w:rsidRPr="001A7151">
        <w:t xml:space="preserve">un pat virs 35 </w:t>
      </w:r>
      <w:r w:rsidRPr="000015EF">
        <w:rPr>
          <w:i/>
        </w:rPr>
        <w:t>euro</w:t>
      </w:r>
      <w:r w:rsidRPr="001A7151">
        <w:t xml:space="preserve">. Veselības ministrijai jāveic ģimenes ārstu prakšu, kurās viena apmeklējuma izmaksas pārsniedz 20 </w:t>
      </w:r>
      <w:proofErr w:type="spellStart"/>
      <w:r w:rsidRPr="000015EF">
        <w:rPr>
          <w:i/>
        </w:rPr>
        <w:t>euro</w:t>
      </w:r>
      <w:proofErr w:type="spellEnd"/>
      <w:r w:rsidRPr="001A7151">
        <w:t xml:space="preserve"> apmēru, lietderības </w:t>
      </w:r>
      <w:proofErr w:type="spellStart"/>
      <w:r w:rsidRPr="001A7151">
        <w:t>izvērtējums</w:t>
      </w:r>
      <w:proofErr w:type="spellEnd"/>
      <w:r w:rsidRPr="001A7151">
        <w:t>, iespējams izvēloties citu pakalpojuma nodrošināšanas formu (piemēram, ģimenes ārsta prakse ar vairākām pieņemšanas vietām).</w:t>
      </w:r>
    </w:p>
    <w:p w:rsidR="00262B9C" w:rsidRPr="002E6A23" w:rsidRDefault="00262B9C" w:rsidP="00262B9C">
      <w:pPr>
        <w:pStyle w:val="ListParagraph"/>
        <w:ind w:left="0"/>
        <w:jc w:val="both"/>
        <w:rPr>
          <w:sz w:val="8"/>
          <w:szCs w:val="8"/>
        </w:rPr>
      </w:pPr>
    </w:p>
    <w:p w:rsidR="00262B9C" w:rsidRPr="001A7151" w:rsidRDefault="00262B9C" w:rsidP="000015EF">
      <w:pPr>
        <w:jc w:val="center"/>
      </w:pPr>
      <w:r w:rsidRPr="001A7151">
        <w:rPr>
          <w:noProof/>
          <w:lang w:eastAsia="lv-LV"/>
        </w:rPr>
        <w:drawing>
          <wp:inline distT="0" distB="0" distL="0" distR="0" wp14:anchorId="56C2EE29" wp14:editId="0F377EA1">
            <wp:extent cx="5455968" cy="2647950"/>
            <wp:effectExtent l="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05213" cy="2671850"/>
                    </a:xfrm>
                    <a:prstGeom prst="rect">
                      <a:avLst/>
                    </a:prstGeom>
                    <a:noFill/>
                    <a:ln>
                      <a:noFill/>
                    </a:ln>
                  </pic:spPr>
                </pic:pic>
              </a:graphicData>
            </a:graphic>
          </wp:inline>
        </w:drawing>
      </w:r>
    </w:p>
    <w:p w:rsidR="00262B9C" w:rsidRPr="000015EF" w:rsidRDefault="000015EF" w:rsidP="00A8790D">
      <w:pPr>
        <w:spacing w:before="120"/>
        <w:jc w:val="center"/>
        <w:rPr>
          <w:sz w:val="22"/>
        </w:rPr>
      </w:pPr>
      <w:r w:rsidRPr="000015EF">
        <w:rPr>
          <w:i/>
          <w:sz w:val="22"/>
        </w:rPr>
        <w:t>5.att.</w:t>
      </w:r>
      <w:r w:rsidR="00262B9C" w:rsidRPr="000015EF">
        <w:rPr>
          <w:sz w:val="22"/>
        </w:rPr>
        <w:t xml:space="preserve"> </w:t>
      </w:r>
      <w:r w:rsidR="00262B9C" w:rsidRPr="000015EF">
        <w:rPr>
          <w:b/>
          <w:sz w:val="22"/>
        </w:rPr>
        <w:t>Faktiskās ģimenes ārsta izmaksas uz vienu apmeklējumu</w:t>
      </w:r>
      <w:r w:rsidR="00262B9C" w:rsidRPr="000015EF">
        <w:rPr>
          <w:sz w:val="22"/>
        </w:rPr>
        <w:t xml:space="preserve">, </w:t>
      </w:r>
      <w:r w:rsidR="00262B9C" w:rsidRPr="000015EF">
        <w:rPr>
          <w:i/>
          <w:sz w:val="22"/>
        </w:rPr>
        <w:t>euro</w:t>
      </w:r>
    </w:p>
    <w:p w:rsidR="00F71869" w:rsidRPr="002E6A23" w:rsidRDefault="00F71869" w:rsidP="00F71869">
      <w:pPr>
        <w:pStyle w:val="ListParagraph"/>
        <w:tabs>
          <w:tab w:val="left" w:pos="426"/>
        </w:tabs>
        <w:ind w:left="0"/>
        <w:jc w:val="both"/>
        <w:rPr>
          <w:rFonts w:eastAsiaTheme="minorHAnsi" w:cstheme="minorBidi"/>
          <w:sz w:val="8"/>
          <w:szCs w:val="8"/>
        </w:rPr>
      </w:pPr>
    </w:p>
    <w:p w:rsidR="00F71869" w:rsidRDefault="00262B9C" w:rsidP="009C2FB3">
      <w:pPr>
        <w:pStyle w:val="ListParagraph"/>
        <w:numPr>
          <w:ilvl w:val="0"/>
          <w:numId w:val="1"/>
        </w:numPr>
        <w:tabs>
          <w:tab w:val="left" w:pos="426"/>
        </w:tabs>
        <w:ind w:left="284" w:hanging="284"/>
        <w:contextualSpacing w:val="0"/>
        <w:jc w:val="both"/>
      </w:pPr>
      <w:r w:rsidRPr="000302EF">
        <w:t>Pastāv nozares lobija faktors lēmumu pieņemšanā, tādēļ tie ne vienmēr ir loģiski izskaidrojami, piemēram, ģimenes ārstu finansējuma minimālā piesaiste pie darbības rezultātiem.</w:t>
      </w:r>
    </w:p>
    <w:p w:rsidR="00F71869" w:rsidRDefault="00262B9C" w:rsidP="009C2FB3">
      <w:pPr>
        <w:pStyle w:val="ListParagraph"/>
        <w:numPr>
          <w:ilvl w:val="0"/>
          <w:numId w:val="1"/>
        </w:numPr>
        <w:tabs>
          <w:tab w:val="left" w:pos="426"/>
        </w:tabs>
        <w:ind w:left="284" w:hanging="284"/>
        <w:contextualSpacing w:val="0"/>
        <w:jc w:val="both"/>
      </w:pPr>
      <w:r w:rsidRPr="001A7151">
        <w:lastRenderedPageBreak/>
        <w:t xml:space="preserve">Nav izstrādātas normas, pie kāda reģistrēto pacientu skaita </w:t>
      </w:r>
      <w:r>
        <w:t xml:space="preserve">tiek pārtraukts līgums ar </w:t>
      </w:r>
      <w:r w:rsidRPr="001A7151">
        <w:t>ģimenes ā</w:t>
      </w:r>
      <w:r>
        <w:t>rsta praksi,</w:t>
      </w:r>
      <w:r w:rsidRPr="001A7151">
        <w:t xml:space="preserve"> patreiz prakses darbību pārtrauc tikai tad, ja ir atzinums par neatbilstību prasībām</w:t>
      </w:r>
      <w:r>
        <w:t>.</w:t>
      </w:r>
    </w:p>
    <w:p w:rsidR="00262B9C" w:rsidRPr="00F71869" w:rsidRDefault="00262B9C" w:rsidP="009C2FB3">
      <w:pPr>
        <w:pStyle w:val="ListParagraph"/>
        <w:numPr>
          <w:ilvl w:val="0"/>
          <w:numId w:val="1"/>
        </w:numPr>
        <w:tabs>
          <w:tab w:val="left" w:pos="426"/>
        </w:tabs>
        <w:ind w:left="284" w:hanging="284"/>
        <w:contextualSpacing w:val="0"/>
        <w:jc w:val="both"/>
        <w:rPr>
          <w:rStyle w:val="Strong"/>
          <w:b w:val="0"/>
          <w:bCs w:val="0"/>
        </w:rPr>
      </w:pPr>
      <w:r w:rsidRPr="001A7151">
        <w:t xml:space="preserve">2015.gadā ģimenes ārsti </w:t>
      </w:r>
      <w:proofErr w:type="spellStart"/>
      <w:r w:rsidRPr="001A7151">
        <w:t>kapitācijas</w:t>
      </w:r>
      <w:proofErr w:type="spellEnd"/>
      <w:r w:rsidRPr="001A7151">
        <w:t xml:space="preserve"> naudu saņēma par 2,2 miljoniem reģistrētiem pacientiem, lai gan pēc oficiālās informācijas, Centrālās statistikas pārvaldes datiem, 2015.gada sākumā Latvijā dzīvoja </w:t>
      </w:r>
      <w:r w:rsidRPr="00F71869">
        <w:rPr>
          <w:rStyle w:val="Strong"/>
          <w:b w:val="0"/>
          <w:szCs w:val="24"/>
          <w:shd w:val="clear" w:color="auto" w:fill="FFFFFF"/>
        </w:rPr>
        <w:t xml:space="preserve">1 milj. 986,1 tūkst. iedzīvotāju. Iedzīvotāju skaitam ir tendence samazināties, pēc </w:t>
      </w:r>
      <w:r w:rsidRPr="001A7151">
        <w:t>Centrālās statistikas pārvaldes datiem, 2016.gada aprīļa sākumā Latvijā dzīvoja 1 milj. 967,2 tūkst. iedzīvotāju.</w:t>
      </w:r>
    </w:p>
    <w:p w:rsidR="00262B9C" w:rsidRPr="001A7151" w:rsidRDefault="00262B9C" w:rsidP="009C2FB3">
      <w:pPr>
        <w:pStyle w:val="ListParagraph"/>
        <w:ind w:left="0" w:firstLine="284"/>
        <w:contextualSpacing w:val="0"/>
        <w:jc w:val="both"/>
        <w:rPr>
          <w:rStyle w:val="Strong"/>
          <w:b w:val="0"/>
          <w:bCs w:val="0"/>
        </w:rPr>
      </w:pPr>
      <w:r w:rsidRPr="001A7151">
        <w:rPr>
          <w:rStyle w:val="Strong"/>
          <w:b w:val="0"/>
          <w:szCs w:val="24"/>
          <w:shd w:val="clear" w:color="auto" w:fill="FFFFFF"/>
        </w:rPr>
        <w:t xml:space="preserve">NVD reģistrēto pacientu skaitu pie ģimenes ārstiem kontrolē tikai pēc Pilsonības un migrācijas lietu pārvaldes “Iedzīvotāju reģistra”. Kā rezultātā ģimenes ārstiem maksā </w:t>
      </w:r>
      <w:proofErr w:type="spellStart"/>
      <w:r w:rsidRPr="001A7151">
        <w:rPr>
          <w:rStyle w:val="Strong"/>
          <w:b w:val="0"/>
          <w:szCs w:val="24"/>
          <w:shd w:val="clear" w:color="auto" w:fill="FFFFFF"/>
        </w:rPr>
        <w:t>kapitācijas</w:t>
      </w:r>
      <w:proofErr w:type="spellEnd"/>
      <w:r w:rsidRPr="001A7151">
        <w:rPr>
          <w:rStyle w:val="Strong"/>
          <w:b w:val="0"/>
          <w:szCs w:val="24"/>
          <w:shd w:val="clear" w:color="auto" w:fill="FFFFFF"/>
        </w:rPr>
        <w:t xml:space="preserve"> naudu par tādiem reģistrētajiem pacientiem, kuri dzīvo un strādā ārpus Latvijas, bet nav oficiāli deklarējuši dzīves vietu ārpus Latvijas.</w:t>
      </w:r>
    </w:p>
    <w:p w:rsidR="00F71869" w:rsidRDefault="000015EF" w:rsidP="009C2FB3">
      <w:pPr>
        <w:pStyle w:val="ListParagraph"/>
        <w:numPr>
          <w:ilvl w:val="0"/>
          <w:numId w:val="1"/>
        </w:numPr>
        <w:tabs>
          <w:tab w:val="left" w:pos="284"/>
        </w:tabs>
        <w:ind w:left="284" w:hanging="284"/>
        <w:contextualSpacing w:val="0"/>
        <w:jc w:val="both"/>
        <w:rPr>
          <w:rStyle w:val="Strong"/>
          <w:b w:val="0"/>
          <w:bCs w:val="0"/>
        </w:rPr>
      </w:pPr>
      <w:r>
        <w:rPr>
          <w:rStyle w:val="Strong"/>
          <w:b w:val="0"/>
          <w:szCs w:val="24"/>
          <w:shd w:val="clear" w:color="auto" w:fill="FFFFFF"/>
        </w:rPr>
        <w:t>Secināms,</w:t>
      </w:r>
      <w:r w:rsidR="00262B9C" w:rsidRPr="000015EF">
        <w:rPr>
          <w:rStyle w:val="Strong"/>
          <w:b w:val="0"/>
          <w:szCs w:val="24"/>
          <w:shd w:val="clear" w:color="auto" w:fill="FFFFFF"/>
        </w:rPr>
        <w:t xml:space="preserve"> ka tikai 70% no visiem reģistrētajiem pacientiem vismaz reizi gadā apmeklē ģimenes ārstu, atlikušie 30% ģimenes ārstu nav apmeklējuši gadu un vairāk, savukārt ģimenes ārsti saņem </w:t>
      </w:r>
      <w:proofErr w:type="spellStart"/>
      <w:r w:rsidR="00262B9C" w:rsidRPr="000015EF">
        <w:rPr>
          <w:rStyle w:val="Strong"/>
          <w:b w:val="0"/>
          <w:szCs w:val="24"/>
          <w:shd w:val="clear" w:color="auto" w:fill="FFFFFF"/>
        </w:rPr>
        <w:t>kapitācijas</w:t>
      </w:r>
      <w:proofErr w:type="spellEnd"/>
      <w:r w:rsidR="00262B9C" w:rsidRPr="000015EF">
        <w:rPr>
          <w:rStyle w:val="Strong"/>
          <w:b w:val="0"/>
          <w:szCs w:val="24"/>
          <w:shd w:val="clear" w:color="auto" w:fill="FFFFFF"/>
        </w:rPr>
        <w:t xml:space="preserve"> naudu pilnā apmērā, bet nesaņem piemaksu par kvalitātes kritēriju</w:t>
      </w:r>
      <w:r w:rsidR="00262B9C">
        <w:t>, kura ir neadekvāti proporcionāli maza</w:t>
      </w:r>
      <w:r w:rsidR="00262B9C" w:rsidRPr="000015EF">
        <w:rPr>
          <w:rStyle w:val="Strong"/>
          <w:b w:val="0"/>
          <w:szCs w:val="24"/>
          <w:shd w:val="clear" w:color="auto" w:fill="FFFFFF"/>
        </w:rPr>
        <w:t>.</w:t>
      </w:r>
    </w:p>
    <w:p w:rsidR="00F71869" w:rsidRDefault="00262B9C" w:rsidP="009C2FB3">
      <w:pPr>
        <w:pStyle w:val="ListParagraph"/>
        <w:numPr>
          <w:ilvl w:val="0"/>
          <w:numId w:val="1"/>
        </w:numPr>
        <w:tabs>
          <w:tab w:val="left" w:pos="284"/>
        </w:tabs>
        <w:ind w:left="284" w:hanging="284"/>
        <w:contextualSpacing w:val="0"/>
        <w:jc w:val="both"/>
      </w:pPr>
      <w:r w:rsidRPr="001A7151">
        <w:t>Daļa iedzīvotāju nevar piereģistrēties pie ģimenes ārsta savā teritorijā, jo saistībā ar vēsturisko reģistrēšanās principu pie ģimenes ārstiem ir piereģistrēti iedzīvotāji, kuri dzīvo ārpus ģimenes ārsta prakses teritorijas. Ārpus dzīves vietas reģistrēto pacientu skaits pie ģimenes ārstiem sastāda apmēram 20% no visiem reģistrētajiem pacientiem.</w:t>
      </w:r>
    </w:p>
    <w:p w:rsidR="00F71869" w:rsidRDefault="00262B9C" w:rsidP="009C2FB3">
      <w:pPr>
        <w:pStyle w:val="ListParagraph"/>
        <w:numPr>
          <w:ilvl w:val="0"/>
          <w:numId w:val="1"/>
        </w:numPr>
        <w:tabs>
          <w:tab w:val="left" w:pos="284"/>
          <w:tab w:val="left" w:pos="426"/>
        </w:tabs>
        <w:ind w:left="284" w:hanging="284"/>
        <w:contextualSpacing w:val="0"/>
        <w:jc w:val="both"/>
      </w:pPr>
      <w:r w:rsidRPr="001A7151">
        <w:t>Laboratorisko izmeklējumu kvotas ģimenes ārstiem tiek piešķirtas pēc reģistrēto pacientu skaita un to vecuma struktūras, nevis pēc faktiskās nepieciešamības.</w:t>
      </w:r>
    </w:p>
    <w:p w:rsidR="00262B9C" w:rsidRDefault="00262B9C" w:rsidP="009C2FB3">
      <w:pPr>
        <w:pStyle w:val="ListParagraph"/>
        <w:numPr>
          <w:ilvl w:val="0"/>
          <w:numId w:val="1"/>
        </w:numPr>
        <w:tabs>
          <w:tab w:val="left" w:pos="284"/>
          <w:tab w:val="left" w:pos="426"/>
        </w:tabs>
        <w:ind w:left="284" w:hanging="284"/>
        <w:contextualSpacing w:val="0"/>
        <w:jc w:val="both"/>
      </w:pPr>
      <w:r w:rsidRPr="001A7151">
        <w:t>Veicot publiski pieejamo datu analīzi par radioloģijas iekārtu ekspluatāciju ambulatorajā veselības aprūpē, secināms, ka iekārtu produktivitāte krītas.</w:t>
      </w:r>
    </w:p>
    <w:p w:rsidR="00262B9C" w:rsidRPr="005B4EEC" w:rsidRDefault="00262B9C" w:rsidP="00262B9C">
      <w:pPr>
        <w:pStyle w:val="ListParagraph"/>
        <w:ind w:left="284"/>
        <w:jc w:val="both"/>
        <w:rPr>
          <w:sz w:val="8"/>
          <w:szCs w:val="8"/>
        </w:rPr>
      </w:pPr>
    </w:p>
    <w:p w:rsidR="00262B9C" w:rsidRPr="001A7151" w:rsidRDefault="00262B9C" w:rsidP="00262B9C">
      <w:pPr>
        <w:pStyle w:val="ListParagraph"/>
        <w:ind w:left="0"/>
        <w:jc w:val="center"/>
      </w:pPr>
      <w:r w:rsidRPr="001A7151">
        <w:rPr>
          <w:noProof/>
          <w:lang w:eastAsia="lv-LV"/>
        </w:rPr>
        <w:drawing>
          <wp:inline distT="0" distB="0" distL="0" distR="0" wp14:anchorId="5F0190E5" wp14:editId="5A209A0D">
            <wp:extent cx="5265142" cy="2757831"/>
            <wp:effectExtent l="19050" t="19050" r="12065" b="23495"/>
            <wp:docPr id="30" name="Picture 3" descr="C:\Users\bd-sinko\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d-sinko\Desktop\Captur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1430" cy="2787314"/>
                    </a:xfrm>
                    <a:prstGeom prst="rect">
                      <a:avLst/>
                    </a:prstGeom>
                    <a:noFill/>
                    <a:ln>
                      <a:solidFill>
                        <a:schemeClr val="bg1">
                          <a:lumMod val="85000"/>
                        </a:schemeClr>
                      </a:solidFill>
                    </a:ln>
                  </pic:spPr>
                </pic:pic>
              </a:graphicData>
            </a:graphic>
          </wp:inline>
        </w:drawing>
      </w:r>
    </w:p>
    <w:p w:rsidR="00262B9C" w:rsidRPr="000015EF" w:rsidRDefault="000015EF" w:rsidP="00390A83">
      <w:pPr>
        <w:pStyle w:val="ListParagraph"/>
        <w:spacing w:before="120" w:after="120"/>
        <w:ind w:left="0"/>
        <w:contextualSpacing w:val="0"/>
        <w:jc w:val="center"/>
        <w:rPr>
          <w:sz w:val="22"/>
        </w:rPr>
      </w:pPr>
      <w:bookmarkStart w:id="0" w:name="_GoBack"/>
      <w:bookmarkEnd w:id="0"/>
      <w:r w:rsidRPr="000015EF">
        <w:rPr>
          <w:i/>
          <w:sz w:val="22"/>
        </w:rPr>
        <w:t>6.att.</w:t>
      </w:r>
      <w:r w:rsidR="00262B9C" w:rsidRPr="000015EF">
        <w:rPr>
          <w:sz w:val="22"/>
        </w:rPr>
        <w:t xml:space="preserve"> </w:t>
      </w:r>
      <w:r w:rsidR="00262B9C" w:rsidRPr="000015EF">
        <w:rPr>
          <w:b/>
          <w:sz w:val="22"/>
        </w:rPr>
        <w:t>Radioloģijas aparatūras noslodze (ambulatori)</w:t>
      </w:r>
    </w:p>
    <w:p w:rsidR="00262B9C" w:rsidRPr="001A7151" w:rsidRDefault="00262B9C" w:rsidP="00F71869">
      <w:pPr>
        <w:pStyle w:val="ListParagraph"/>
        <w:spacing w:before="120" w:after="120"/>
        <w:ind w:left="0" w:firstLine="709"/>
        <w:contextualSpacing w:val="0"/>
        <w:jc w:val="both"/>
      </w:pPr>
      <w:r>
        <w:t xml:space="preserve">Kā redzams </w:t>
      </w:r>
      <w:r w:rsidR="000015EF">
        <w:t>6</w:t>
      </w:r>
      <w:r w:rsidRPr="001A7151">
        <w:t>.attēlā, laika posmā no 2008.gada līdz 2014.gadam ambulatori veikto datortomogrāfiju skaits ir samazinājies par 38%, ultraskaņas diagnostisko izmeklējumu skaits samazinājies par 8% un magnētiskās rezonanses diagnostisko izmeklējumu skaits ir samazinājies par 36% pret 2008.gadā ambulatori veiktajiem izmeklējumiem, kas liecina par medicīnas iekārtu noslodzes kritumu.</w:t>
      </w:r>
    </w:p>
    <w:p w:rsidR="002E6A23" w:rsidRPr="009C2FB3" w:rsidRDefault="00262B9C" w:rsidP="009C2FB3">
      <w:pPr>
        <w:pStyle w:val="ListParagraph"/>
        <w:numPr>
          <w:ilvl w:val="0"/>
          <w:numId w:val="1"/>
        </w:numPr>
        <w:tabs>
          <w:tab w:val="left" w:pos="426"/>
        </w:tabs>
        <w:ind w:left="284" w:hanging="284"/>
        <w:jc w:val="both"/>
        <w:rPr>
          <w:b/>
        </w:rPr>
      </w:pPr>
      <w:r w:rsidRPr="001A7151">
        <w:t xml:space="preserve">Analizējot </w:t>
      </w:r>
      <w:r w:rsidR="000F63D6">
        <w:t>VM</w:t>
      </w:r>
      <w:r w:rsidRPr="001A7151">
        <w:t xml:space="preserve"> iesniegto informāciju par valsts apmaksāto ambulatoro pakalpojumu vidējām izmaksām, secināms, ka pastāv liela variācija starp ārstniecības iestādēm. </w:t>
      </w:r>
    </w:p>
    <w:p w:rsidR="005B4EEC" w:rsidRDefault="005B4EEC" w:rsidP="009A5C60">
      <w:pPr>
        <w:spacing w:before="120" w:after="120"/>
      </w:pPr>
    </w:p>
    <w:p w:rsidR="00262B9C" w:rsidRPr="001A7151" w:rsidRDefault="000015EF" w:rsidP="000015EF">
      <w:pPr>
        <w:spacing w:before="120" w:after="120"/>
        <w:jc w:val="right"/>
      </w:pPr>
      <w:r>
        <w:lastRenderedPageBreak/>
        <w:t>Tabula Nr.4</w:t>
      </w:r>
    </w:p>
    <w:p w:rsidR="00262B9C" w:rsidRPr="001A7151" w:rsidRDefault="00262B9C" w:rsidP="005B4EEC">
      <w:pPr>
        <w:pStyle w:val="ListParagraph"/>
        <w:spacing w:before="120" w:after="120"/>
        <w:ind w:left="284"/>
        <w:contextualSpacing w:val="0"/>
        <w:jc w:val="center"/>
        <w:rPr>
          <w:b/>
        </w:rPr>
      </w:pPr>
      <w:r w:rsidRPr="001A7151">
        <w:t>Ambulatoro pakalpojumu veidu vidējo izmaksu piemērs (NVD sniegtā informācija)</w:t>
      </w:r>
    </w:p>
    <w:tbl>
      <w:tblPr>
        <w:tblW w:w="9380" w:type="dxa"/>
        <w:tblCellMar>
          <w:left w:w="0" w:type="dxa"/>
          <w:right w:w="0" w:type="dxa"/>
        </w:tblCellMar>
        <w:tblLook w:val="04A0" w:firstRow="1" w:lastRow="0" w:firstColumn="1" w:lastColumn="0" w:noHBand="0" w:noVBand="1"/>
      </w:tblPr>
      <w:tblGrid>
        <w:gridCol w:w="4531"/>
        <w:gridCol w:w="1730"/>
        <w:gridCol w:w="1701"/>
        <w:gridCol w:w="1418"/>
      </w:tblGrid>
      <w:tr w:rsidR="00262B9C" w:rsidRPr="001A7151" w:rsidTr="009C2FB3">
        <w:trPr>
          <w:trHeight w:val="20"/>
          <w:tblHeader/>
        </w:trPr>
        <w:tc>
          <w:tcPr>
            <w:tcW w:w="45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62B9C" w:rsidRPr="001A7151" w:rsidRDefault="00262B9C" w:rsidP="00A05797">
            <w:pPr>
              <w:pStyle w:val="ListParagraph"/>
              <w:ind w:left="0" w:right="127"/>
              <w:jc w:val="center"/>
              <w:rPr>
                <w:b/>
                <w:sz w:val="22"/>
              </w:rPr>
            </w:pPr>
            <w:r w:rsidRPr="001A7151">
              <w:rPr>
                <w:b/>
                <w:bCs/>
                <w:sz w:val="22"/>
              </w:rPr>
              <w:t>Plānošanas vienība</w:t>
            </w:r>
          </w:p>
        </w:tc>
        <w:tc>
          <w:tcPr>
            <w:tcW w:w="17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62B9C" w:rsidRPr="001A7151" w:rsidRDefault="00262B9C" w:rsidP="00A05797">
            <w:pPr>
              <w:pStyle w:val="ListParagraph"/>
              <w:ind w:left="0" w:right="127"/>
              <w:jc w:val="center"/>
              <w:rPr>
                <w:b/>
                <w:sz w:val="22"/>
              </w:rPr>
            </w:pPr>
            <w:r w:rsidRPr="001A7151">
              <w:rPr>
                <w:b/>
                <w:bCs/>
                <w:sz w:val="22"/>
              </w:rPr>
              <w:t>Pakalpojumu veids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62B9C" w:rsidRPr="001A7151" w:rsidRDefault="00262B9C" w:rsidP="00A05797">
            <w:pPr>
              <w:pStyle w:val="ListParagraph"/>
              <w:ind w:left="0" w:right="127"/>
              <w:jc w:val="center"/>
              <w:rPr>
                <w:b/>
                <w:sz w:val="22"/>
              </w:rPr>
            </w:pPr>
            <w:r w:rsidRPr="001A7151">
              <w:rPr>
                <w:b/>
                <w:bCs/>
                <w:sz w:val="22"/>
              </w:rPr>
              <w:t xml:space="preserve">Vidējā izmaksa </w:t>
            </w:r>
            <w:r w:rsidRPr="001A7151">
              <w:rPr>
                <w:b/>
                <w:bCs/>
                <w:sz w:val="22"/>
                <w:u w:val="single"/>
              </w:rPr>
              <w:t>plānošanas vienībā,</w:t>
            </w:r>
            <w:r w:rsidRPr="001A7151">
              <w:rPr>
                <w:b/>
                <w:bCs/>
                <w:sz w:val="22"/>
              </w:rPr>
              <w:t xml:space="preserve"> </w:t>
            </w:r>
            <w:r w:rsidR="000015EF">
              <w:rPr>
                <w:bCs/>
                <w:i/>
                <w:sz w:val="22"/>
              </w:rPr>
              <w:t>euro</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62B9C" w:rsidRPr="001A7151" w:rsidRDefault="00262B9C" w:rsidP="00A05797">
            <w:pPr>
              <w:pStyle w:val="ListParagraph"/>
              <w:ind w:left="0" w:right="127"/>
              <w:jc w:val="center"/>
              <w:rPr>
                <w:b/>
                <w:sz w:val="22"/>
              </w:rPr>
            </w:pPr>
            <w:r w:rsidRPr="001A7151">
              <w:rPr>
                <w:b/>
                <w:bCs/>
                <w:sz w:val="22"/>
              </w:rPr>
              <w:t xml:space="preserve">Vidējā izmaksa </w:t>
            </w:r>
            <w:r w:rsidRPr="001A7151">
              <w:rPr>
                <w:b/>
                <w:bCs/>
                <w:sz w:val="22"/>
                <w:u w:val="single"/>
              </w:rPr>
              <w:t>valstī</w:t>
            </w:r>
            <w:r w:rsidRPr="001A7151">
              <w:rPr>
                <w:b/>
                <w:bCs/>
                <w:sz w:val="22"/>
              </w:rPr>
              <w:t xml:space="preserve">, </w:t>
            </w:r>
            <w:r w:rsidR="000015EF">
              <w:rPr>
                <w:bCs/>
                <w:i/>
                <w:sz w:val="22"/>
              </w:rPr>
              <w:t>euro</w:t>
            </w:r>
          </w:p>
        </w:tc>
      </w:tr>
      <w:tr w:rsidR="00262B9C" w:rsidRPr="001A7151" w:rsidTr="00CC0318">
        <w:trPr>
          <w:trHeight w:val="20"/>
        </w:trPr>
        <w:tc>
          <w:tcPr>
            <w:tcW w:w="45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62B9C" w:rsidRPr="001A7151" w:rsidRDefault="00262B9C" w:rsidP="00A05797">
            <w:pPr>
              <w:pStyle w:val="ListParagraph"/>
              <w:ind w:left="0" w:right="127"/>
              <w:jc w:val="both"/>
              <w:rPr>
                <w:sz w:val="22"/>
              </w:rPr>
            </w:pPr>
            <w:r w:rsidRPr="001A7151">
              <w:rPr>
                <w:sz w:val="22"/>
              </w:rPr>
              <w:t xml:space="preserve">Saldus plānošanas vienība </w:t>
            </w:r>
          </w:p>
        </w:tc>
        <w:tc>
          <w:tcPr>
            <w:tcW w:w="173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62B9C" w:rsidRPr="001A7151" w:rsidRDefault="00262B9C" w:rsidP="00A05797">
            <w:pPr>
              <w:pStyle w:val="ListParagraph"/>
              <w:ind w:left="0" w:right="127"/>
              <w:jc w:val="center"/>
              <w:rPr>
                <w:sz w:val="22"/>
              </w:rPr>
            </w:pPr>
            <w:r w:rsidRPr="001A7151">
              <w:rPr>
                <w:sz w:val="22"/>
              </w:rPr>
              <w:t>Ķirurģija</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62B9C" w:rsidRPr="001A7151" w:rsidRDefault="00262B9C" w:rsidP="00A05797">
            <w:pPr>
              <w:pStyle w:val="ListParagraph"/>
              <w:ind w:left="0" w:right="127"/>
              <w:jc w:val="center"/>
              <w:rPr>
                <w:sz w:val="22"/>
              </w:rPr>
            </w:pPr>
            <w:r w:rsidRPr="001A7151">
              <w:rPr>
                <w:sz w:val="22"/>
              </w:rPr>
              <w:t>15,96</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62B9C" w:rsidRPr="001A7151" w:rsidRDefault="00262B9C" w:rsidP="00A05797">
            <w:pPr>
              <w:pStyle w:val="ListParagraph"/>
              <w:ind w:left="0" w:right="127"/>
              <w:jc w:val="center"/>
              <w:rPr>
                <w:sz w:val="22"/>
              </w:rPr>
            </w:pPr>
            <w:r w:rsidRPr="001A7151">
              <w:rPr>
                <w:sz w:val="22"/>
              </w:rPr>
              <w:t>13,7</w:t>
            </w:r>
          </w:p>
        </w:tc>
      </w:tr>
      <w:tr w:rsidR="00262B9C" w:rsidRPr="001A7151" w:rsidTr="00CC0318">
        <w:trPr>
          <w:trHeight w:val="20"/>
        </w:trPr>
        <w:tc>
          <w:tcPr>
            <w:tcW w:w="45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62B9C" w:rsidRPr="001A7151" w:rsidRDefault="00262B9C" w:rsidP="00A05797">
            <w:pPr>
              <w:pStyle w:val="ListParagraph"/>
              <w:ind w:left="0" w:right="127"/>
              <w:jc w:val="both"/>
              <w:rPr>
                <w:sz w:val="22"/>
              </w:rPr>
            </w:pPr>
            <w:r w:rsidRPr="001A7151">
              <w:rPr>
                <w:sz w:val="22"/>
              </w:rPr>
              <w:t xml:space="preserve">Dobeles plānošanas vienība </w:t>
            </w:r>
          </w:p>
        </w:tc>
        <w:tc>
          <w:tcPr>
            <w:tcW w:w="17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2B9C" w:rsidRPr="001A7151" w:rsidRDefault="00262B9C" w:rsidP="00A05797">
            <w:pPr>
              <w:pStyle w:val="ListParagraph"/>
              <w:ind w:left="0" w:right="127"/>
              <w:jc w:val="center"/>
              <w:rPr>
                <w:sz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62B9C" w:rsidRPr="001A7151" w:rsidRDefault="00262B9C" w:rsidP="00A05797">
            <w:pPr>
              <w:pStyle w:val="ListParagraph"/>
              <w:ind w:left="0" w:right="127"/>
              <w:jc w:val="center"/>
              <w:rPr>
                <w:sz w:val="22"/>
              </w:rPr>
            </w:pPr>
            <w:r w:rsidRPr="001A7151">
              <w:rPr>
                <w:sz w:val="22"/>
              </w:rPr>
              <w:t>13,45</w:t>
            </w: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2B9C" w:rsidRPr="001A7151" w:rsidRDefault="00262B9C" w:rsidP="00A05797">
            <w:pPr>
              <w:pStyle w:val="ListParagraph"/>
              <w:ind w:left="0" w:right="127"/>
              <w:jc w:val="center"/>
              <w:rPr>
                <w:sz w:val="22"/>
              </w:rPr>
            </w:pPr>
          </w:p>
        </w:tc>
      </w:tr>
      <w:tr w:rsidR="00262B9C" w:rsidRPr="001A7151" w:rsidTr="00CC0318">
        <w:trPr>
          <w:trHeight w:val="20"/>
        </w:trPr>
        <w:tc>
          <w:tcPr>
            <w:tcW w:w="45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62B9C" w:rsidRPr="001A7151" w:rsidRDefault="00262B9C" w:rsidP="00A05797">
            <w:pPr>
              <w:pStyle w:val="ListParagraph"/>
              <w:ind w:left="0" w:right="127"/>
              <w:jc w:val="both"/>
              <w:rPr>
                <w:sz w:val="22"/>
              </w:rPr>
            </w:pPr>
            <w:r w:rsidRPr="001A7151">
              <w:rPr>
                <w:sz w:val="22"/>
              </w:rPr>
              <w:t xml:space="preserve">Aizkraukles plānošanas vienība </w:t>
            </w:r>
          </w:p>
        </w:tc>
        <w:tc>
          <w:tcPr>
            <w:tcW w:w="17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2B9C" w:rsidRPr="001A7151" w:rsidRDefault="00262B9C" w:rsidP="00A05797">
            <w:pPr>
              <w:pStyle w:val="ListParagraph"/>
              <w:ind w:left="0" w:right="127"/>
              <w:jc w:val="center"/>
              <w:rPr>
                <w:sz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B9C" w:rsidRPr="001A7151" w:rsidRDefault="00262B9C" w:rsidP="00A05797">
            <w:pPr>
              <w:pStyle w:val="ListParagraph"/>
              <w:ind w:left="0" w:right="127"/>
              <w:jc w:val="center"/>
              <w:rPr>
                <w:sz w:val="22"/>
              </w:rPr>
            </w:pPr>
            <w:r w:rsidRPr="001A7151">
              <w:rPr>
                <w:sz w:val="22"/>
              </w:rPr>
              <w:t>9,39</w:t>
            </w: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2B9C" w:rsidRPr="001A7151" w:rsidRDefault="00262B9C" w:rsidP="00A05797">
            <w:pPr>
              <w:pStyle w:val="ListParagraph"/>
              <w:ind w:left="0" w:right="127"/>
              <w:jc w:val="center"/>
              <w:rPr>
                <w:sz w:val="22"/>
              </w:rPr>
            </w:pPr>
          </w:p>
        </w:tc>
      </w:tr>
      <w:tr w:rsidR="00262B9C" w:rsidRPr="001A7151" w:rsidTr="00CC0318">
        <w:trPr>
          <w:trHeight w:val="20"/>
        </w:trPr>
        <w:tc>
          <w:tcPr>
            <w:tcW w:w="45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62B9C" w:rsidRPr="001A7151" w:rsidRDefault="00262B9C" w:rsidP="00A05797">
            <w:pPr>
              <w:pStyle w:val="ListParagraph"/>
              <w:ind w:left="0" w:right="127"/>
              <w:jc w:val="both"/>
              <w:rPr>
                <w:sz w:val="22"/>
              </w:rPr>
            </w:pPr>
            <w:r w:rsidRPr="001A7151">
              <w:rPr>
                <w:sz w:val="22"/>
              </w:rPr>
              <w:t xml:space="preserve">Saldus plānošanas vienība </w:t>
            </w:r>
          </w:p>
        </w:tc>
        <w:tc>
          <w:tcPr>
            <w:tcW w:w="173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62B9C" w:rsidRPr="001A7151" w:rsidRDefault="00262B9C" w:rsidP="00A05797">
            <w:pPr>
              <w:pStyle w:val="ListParagraph"/>
              <w:ind w:left="0" w:right="127"/>
              <w:jc w:val="center"/>
              <w:rPr>
                <w:sz w:val="22"/>
              </w:rPr>
            </w:pPr>
            <w:r w:rsidRPr="001A7151">
              <w:rPr>
                <w:sz w:val="22"/>
              </w:rPr>
              <w:t>Ultrasonogrāfija</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62B9C" w:rsidRPr="001A7151" w:rsidRDefault="00262B9C" w:rsidP="00A05797">
            <w:pPr>
              <w:pStyle w:val="ListParagraph"/>
              <w:ind w:left="0" w:right="127"/>
              <w:jc w:val="center"/>
              <w:rPr>
                <w:sz w:val="22"/>
              </w:rPr>
            </w:pPr>
            <w:r w:rsidRPr="001A7151">
              <w:rPr>
                <w:sz w:val="22"/>
              </w:rPr>
              <w:t>6,58</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62B9C" w:rsidRPr="001A7151" w:rsidRDefault="00262B9C" w:rsidP="00A05797">
            <w:pPr>
              <w:pStyle w:val="ListParagraph"/>
              <w:ind w:left="0" w:right="127"/>
              <w:jc w:val="center"/>
              <w:rPr>
                <w:sz w:val="22"/>
              </w:rPr>
            </w:pPr>
            <w:r w:rsidRPr="001A7151">
              <w:rPr>
                <w:sz w:val="22"/>
              </w:rPr>
              <w:t>11,35</w:t>
            </w:r>
          </w:p>
        </w:tc>
      </w:tr>
      <w:tr w:rsidR="00262B9C" w:rsidRPr="001A7151" w:rsidTr="00CC0318">
        <w:trPr>
          <w:trHeight w:val="20"/>
        </w:trPr>
        <w:tc>
          <w:tcPr>
            <w:tcW w:w="45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62B9C" w:rsidRPr="001A7151" w:rsidRDefault="00262B9C" w:rsidP="00A05797">
            <w:pPr>
              <w:pStyle w:val="ListParagraph"/>
              <w:ind w:left="0" w:right="127"/>
              <w:jc w:val="both"/>
              <w:rPr>
                <w:sz w:val="22"/>
              </w:rPr>
            </w:pPr>
            <w:r w:rsidRPr="001A7151">
              <w:rPr>
                <w:sz w:val="22"/>
              </w:rPr>
              <w:t xml:space="preserve">Dobeles plānošanas vienība </w:t>
            </w:r>
          </w:p>
        </w:tc>
        <w:tc>
          <w:tcPr>
            <w:tcW w:w="17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2B9C" w:rsidRPr="001A7151" w:rsidRDefault="00262B9C" w:rsidP="00A05797">
            <w:pPr>
              <w:pStyle w:val="ListParagraph"/>
              <w:ind w:left="0" w:right="127"/>
              <w:jc w:val="center"/>
              <w:rPr>
                <w:sz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62B9C" w:rsidRPr="001A7151" w:rsidRDefault="00262B9C" w:rsidP="00A05797">
            <w:pPr>
              <w:pStyle w:val="ListParagraph"/>
              <w:ind w:left="0" w:right="127"/>
              <w:jc w:val="center"/>
              <w:rPr>
                <w:sz w:val="22"/>
              </w:rPr>
            </w:pPr>
            <w:r w:rsidRPr="001A7151">
              <w:rPr>
                <w:sz w:val="22"/>
              </w:rPr>
              <w:t>13,34</w:t>
            </w: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2B9C" w:rsidRPr="001A7151" w:rsidRDefault="00262B9C" w:rsidP="00A05797">
            <w:pPr>
              <w:pStyle w:val="ListParagraph"/>
              <w:ind w:left="0" w:right="127"/>
              <w:jc w:val="center"/>
              <w:rPr>
                <w:sz w:val="22"/>
              </w:rPr>
            </w:pPr>
          </w:p>
        </w:tc>
      </w:tr>
      <w:tr w:rsidR="00262B9C" w:rsidRPr="001A7151" w:rsidTr="00CC0318">
        <w:trPr>
          <w:trHeight w:val="20"/>
        </w:trPr>
        <w:tc>
          <w:tcPr>
            <w:tcW w:w="45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62B9C" w:rsidRPr="001A7151" w:rsidRDefault="00262B9C" w:rsidP="00A05797">
            <w:pPr>
              <w:pStyle w:val="ListParagraph"/>
              <w:ind w:left="0" w:right="127"/>
              <w:jc w:val="both"/>
              <w:rPr>
                <w:sz w:val="22"/>
              </w:rPr>
            </w:pPr>
            <w:r w:rsidRPr="001A7151">
              <w:rPr>
                <w:sz w:val="22"/>
              </w:rPr>
              <w:t xml:space="preserve">Aizkraukles plānošanas vienība </w:t>
            </w:r>
          </w:p>
        </w:tc>
        <w:tc>
          <w:tcPr>
            <w:tcW w:w="17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2B9C" w:rsidRPr="001A7151" w:rsidRDefault="00262B9C" w:rsidP="00A05797">
            <w:pPr>
              <w:pStyle w:val="ListParagraph"/>
              <w:ind w:left="0" w:right="127"/>
              <w:jc w:val="center"/>
              <w:rPr>
                <w:sz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B9C" w:rsidRPr="001A7151" w:rsidRDefault="00262B9C" w:rsidP="00A05797">
            <w:pPr>
              <w:pStyle w:val="ListParagraph"/>
              <w:ind w:left="0" w:right="127"/>
              <w:jc w:val="center"/>
              <w:rPr>
                <w:sz w:val="22"/>
              </w:rPr>
            </w:pPr>
            <w:r w:rsidRPr="001A7151">
              <w:rPr>
                <w:sz w:val="22"/>
              </w:rPr>
              <w:t>6,58</w:t>
            </w: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2B9C" w:rsidRPr="001A7151" w:rsidRDefault="00262B9C" w:rsidP="00A05797">
            <w:pPr>
              <w:pStyle w:val="ListParagraph"/>
              <w:ind w:left="0" w:right="127"/>
              <w:jc w:val="center"/>
              <w:rPr>
                <w:sz w:val="22"/>
              </w:rPr>
            </w:pPr>
          </w:p>
        </w:tc>
      </w:tr>
      <w:tr w:rsidR="00262B9C" w:rsidRPr="001A7151" w:rsidTr="00CC0318">
        <w:trPr>
          <w:trHeight w:val="20"/>
        </w:trPr>
        <w:tc>
          <w:tcPr>
            <w:tcW w:w="45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62B9C" w:rsidRPr="001A7151" w:rsidRDefault="00262B9C" w:rsidP="00A05797">
            <w:pPr>
              <w:pStyle w:val="ListParagraph"/>
              <w:ind w:left="0" w:right="127"/>
              <w:jc w:val="both"/>
              <w:rPr>
                <w:sz w:val="22"/>
              </w:rPr>
            </w:pPr>
            <w:r w:rsidRPr="001A7151">
              <w:rPr>
                <w:sz w:val="22"/>
              </w:rPr>
              <w:t xml:space="preserve">Saldus plānošanas vienība </w:t>
            </w:r>
          </w:p>
        </w:tc>
        <w:tc>
          <w:tcPr>
            <w:tcW w:w="173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62B9C" w:rsidRPr="001A7151" w:rsidRDefault="00262B9C" w:rsidP="00A05797">
            <w:pPr>
              <w:pStyle w:val="ListParagraph"/>
              <w:ind w:left="0" w:right="127"/>
              <w:jc w:val="center"/>
              <w:rPr>
                <w:sz w:val="22"/>
              </w:rPr>
            </w:pPr>
            <w:r w:rsidRPr="001A7151">
              <w:rPr>
                <w:sz w:val="22"/>
              </w:rPr>
              <w:t>Vispārējie ķirurģiskie pakalpojumi dienas stacionārā</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62B9C" w:rsidRPr="001A7151" w:rsidRDefault="00262B9C" w:rsidP="00A05797">
            <w:pPr>
              <w:pStyle w:val="ListParagraph"/>
              <w:ind w:left="0" w:right="127"/>
              <w:jc w:val="center"/>
              <w:rPr>
                <w:sz w:val="22"/>
              </w:rPr>
            </w:pPr>
            <w:r w:rsidRPr="001A7151">
              <w:rPr>
                <w:sz w:val="22"/>
              </w:rPr>
              <w:t>204,42</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62B9C" w:rsidRPr="001A7151" w:rsidRDefault="00262B9C" w:rsidP="00A05797">
            <w:pPr>
              <w:pStyle w:val="ListParagraph"/>
              <w:ind w:left="0" w:right="127"/>
              <w:jc w:val="center"/>
              <w:rPr>
                <w:sz w:val="22"/>
              </w:rPr>
            </w:pPr>
            <w:r w:rsidRPr="001A7151">
              <w:rPr>
                <w:sz w:val="22"/>
              </w:rPr>
              <w:t>140,59</w:t>
            </w:r>
          </w:p>
        </w:tc>
      </w:tr>
      <w:tr w:rsidR="00262B9C" w:rsidRPr="001A7151" w:rsidTr="00CC0318">
        <w:trPr>
          <w:trHeight w:val="20"/>
        </w:trPr>
        <w:tc>
          <w:tcPr>
            <w:tcW w:w="45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62B9C" w:rsidRPr="001A7151" w:rsidRDefault="00262B9C" w:rsidP="00A05797">
            <w:pPr>
              <w:pStyle w:val="ListParagraph"/>
              <w:ind w:left="0" w:right="127"/>
              <w:jc w:val="both"/>
              <w:rPr>
                <w:sz w:val="22"/>
              </w:rPr>
            </w:pPr>
            <w:r w:rsidRPr="001A7151">
              <w:rPr>
                <w:sz w:val="22"/>
              </w:rPr>
              <w:t xml:space="preserve">Dobeles plānošanas vienība </w:t>
            </w:r>
          </w:p>
        </w:tc>
        <w:tc>
          <w:tcPr>
            <w:tcW w:w="17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2B9C" w:rsidRPr="001A7151" w:rsidRDefault="00262B9C" w:rsidP="00A05797">
            <w:pPr>
              <w:pStyle w:val="ListParagraph"/>
              <w:ind w:left="284"/>
              <w:jc w:val="both"/>
              <w:rPr>
                <w:sz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62B9C" w:rsidRPr="001A7151" w:rsidRDefault="00262B9C" w:rsidP="00A05797">
            <w:pPr>
              <w:pStyle w:val="ListParagraph"/>
              <w:ind w:left="0"/>
              <w:jc w:val="center"/>
              <w:rPr>
                <w:sz w:val="22"/>
              </w:rPr>
            </w:pPr>
            <w:r w:rsidRPr="001A7151">
              <w:rPr>
                <w:sz w:val="22"/>
              </w:rPr>
              <w:t>80,17</w:t>
            </w: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2B9C" w:rsidRPr="001A7151" w:rsidRDefault="00262B9C" w:rsidP="00A05797">
            <w:pPr>
              <w:pStyle w:val="ListParagraph"/>
              <w:ind w:left="284"/>
              <w:jc w:val="both"/>
              <w:rPr>
                <w:b/>
                <w:sz w:val="22"/>
              </w:rPr>
            </w:pPr>
          </w:p>
        </w:tc>
      </w:tr>
      <w:tr w:rsidR="00262B9C" w:rsidRPr="001A7151" w:rsidTr="00CC0318">
        <w:trPr>
          <w:trHeight w:val="20"/>
        </w:trPr>
        <w:tc>
          <w:tcPr>
            <w:tcW w:w="45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62B9C" w:rsidRPr="001A7151" w:rsidRDefault="00262B9C" w:rsidP="00A05797">
            <w:pPr>
              <w:pStyle w:val="ListParagraph"/>
              <w:ind w:left="0" w:right="127"/>
              <w:jc w:val="both"/>
              <w:rPr>
                <w:sz w:val="22"/>
              </w:rPr>
            </w:pPr>
            <w:r w:rsidRPr="001A7151">
              <w:rPr>
                <w:sz w:val="22"/>
              </w:rPr>
              <w:t xml:space="preserve">Aizkraukles plānošanas vienība </w:t>
            </w:r>
          </w:p>
        </w:tc>
        <w:tc>
          <w:tcPr>
            <w:tcW w:w="17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2B9C" w:rsidRPr="001A7151" w:rsidRDefault="00262B9C" w:rsidP="00A05797">
            <w:pPr>
              <w:pStyle w:val="ListParagraph"/>
              <w:ind w:left="284"/>
              <w:jc w:val="both"/>
              <w:rPr>
                <w:sz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B9C" w:rsidRPr="001A7151" w:rsidRDefault="00262B9C" w:rsidP="00A05797">
            <w:pPr>
              <w:pStyle w:val="ListParagraph"/>
              <w:ind w:left="0"/>
              <w:jc w:val="center"/>
              <w:rPr>
                <w:sz w:val="22"/>
              </w:rPr>
            </w:pPr>
            <w:r w:rsidRPr="001A7151">
              <w:rPr>
                <w:sz w:val="22"/>
              </w:rPr>
              <w:t>176,13</w:t>
            </w: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2B9C" w:rsidRPr="001A7151" w:rsidRDefault="00262B9C" w:rsidP="00A05797">
            <w:pPr>
              <w:pStyle w:val="ListParagraph"/>
              <w:ind w:left="284"/>
              <w:jc w:val="both"/>
              <w:rPr>
                <w:b/>
                <w:sz w:val="22"/>
              </w:rPr>
            </w:pPr>
          </w:p>
        </w:tc>
      </w:tr>
    </w:tbl>
    <w:p w:rsidR="00262B9C" w:rsidRPr="001A7151" w:rsidRDefault="00262B9C" w:rsidP="00262B9C">
      <w:pPr>
        <w:pStyle w:val="ListParagraph"/>
        <w:ind w:left="284"/>
        <w:jc w:val="both"/>
        <w:rPr>
          <w:b/>
        </w:rPr>
      </w:pPr>
    </w:p>
    <w:p w:rsidR="00262B9C" w:rsidRPr="001A7151" w:rsidRDefault="00262B9C" w:rsidP="000015EF">
      <w:pPr>
        <w:pStyle w:val="ListParagraph"/>
        <w:ind w:left="0" w:firstLine="709"/>
        <w:jc w:val="both"/>
      </w:pPr>
      <w:r w:rsidRPr="001A7151">
        <w:t>Neskatoties uz to, ka visas ārstniecības iestādes saņem finansējumu pēc tarifa, to izmaksas atšķiras, jo katra iestāde piekopj atšķirīgu dienas stacionāra politiku un izvēlas atšķirīgu tehnoloģisko nodrošinājumu, kā arī katra iestāde sniedz atšķirīgu pakalpojumu pēc sarežģītības pakāpes.</w:t>
      </w:r>
    </w:p>
    <w:p w:rsidR="00262B9C" w:rsidRPr="00F71869" w:rsidRDefault="00262B9C" w:rsidP="005B4EEC">
      <w:pPr>
        <w:pStyle w:val="ListParagraph"/>
        <w:numPr>
          <w:ilvl w:val="0"/>
          <w:numId w:val="1"/>
        </w:numPr>
        <w:tabs>
          <w:tab w:val="left" w:pos="426"/>
        </w:tabs>
        <w:spacing w:after="120"/>
        <w:ind w:left="284" w:hanging="284"/>
        <w:contextualSpacing w:val="0"/>
        <w:jc w:val="both"/>
        <w:rPr>
          <w:b/>
        </w:rPr>
      </w:pPr>
      <w:r w:rsidRPr="00F71869">
        <w:rPr>
          <w:szCs w:val="24"/>
        </w:rPr>
        <w:t>Analizējot ambulatoro diagnostisko izmeklējumu apmaksas sistēmu sadalījumā pa pakalpojumu sniedzējiem, secināms, ka patreizējais normatīvais regulējums nav vērsts uz to, lai nodrošinātu pakalpojumus par zemāku cenu un nodrošinātu pakalpojumu vairākiem pacientiem pie esošā finansējuma, jo par tehnoloģiski sarežģītiem diagnostiskajiem izmeklējumiem, kā datortomogrāfijas un ultrasonogrāfijas izmeklējumi, pakalpojumu sniedzējiem tiek samaksāts gan par manipulāciju, gan par iekārtas amortizāciju (piemaksu), kas, piemēram, datortomogrāfijai par izmeklējumu ar 1 slāņa</w:t>
      </w:r>
      <w:r w:rsidRPr="001A7151">
        <w:t xml:space="preserve"> aparātu ir 19,85 </w:t>
      </w:r>
      <w:r w:rsidRPr="00F71869">
        <w:rPr>
          <w:i/>
        </w:rPr>
        <w:t>euro</w:t>
      </w:r>
      <w:r w:rsidRPr="001A7151">
        <w:t xml:space="preserve">, savukārt </w:t>
      </w:r>
      <w:r w:rsidRPr="00F71869">
        <w:rPr>
          <w:szCs w:val="24"/>
        </w:rPr>
        <w:t xml:space="preserve">par izmeklējumu ar  64 slāņu aparātu ir 63,67 </w:t>
      </w:r>
      <w:r w:rsidRPr="00F71869">
        <w:rPr>
          <w:i/>
          <w:szCs w:val="24"/>
        </w:rPr>
        <w:t>euro</w:t>
      </w:r>
      <w:r w:rsidRPr="00F71869">
        <w:rPr>
          <w:szCs w:val="24"/>
        </w:rPr>
        <w:t xml:space="preserve">, atbilstoši 2013.gada 17.decembra </w:t>
      </w:r>
      <w:r w:rsidR="000F63D6">
        <w:rPr>
          <w:szCs w:val="24"/>
        </w:rPr>
        <w:t>MK noteikumiem Nr.1529 “</w:t>
      </w:r>
      <w:r w:rsidRPr="001A7151">
        <w:t>Veselības aprūpes organizēšanas un finansēšanas kārtība</w:t>
      </w:r>
      <w:r w:rsidRPr="00F71869">
        <w:rPr>
          <w:szCs w:val="24"/>
        </w:rPr>
        <w:t xml:space="preserve">”. Šīs piemaksas izskaidro lielo valsts apmaksāto pakalpojumu izmaksu variāciju starp diagnostisko izmeklējumu sniegšanas iestādēm, kas redzama </w:t>
      </w:r>
      <w:r w:rsidR="000015EF" w:rsidRPr="00F71869">
        <w:rPr>
          <w:szCs w:val="24"/>
        </w:rPr>
        <w:t>7</w:t>
      </w:r>
      <w:r w:rsidRPr="00F71869">
        <w:rPr>
          <w:szCs w:val="24"/>
        </w:rPr>
        <w:t>.attēlā.</w:t>
      </w:r>
    </w:p>
    <w:p w:rsidR="00262B9C" w:rsidRPr="001A7151" w:rsidRDefault="00262B9C" w:rsidP="00262B9C">
      <w:pPr>
        <w:pStyle w:val="ListParagraph"/>
        <w:ind w:left="0"/>
        <w:jc w:val="center"/>
        <w:rPr>
          <w:b/>
        </w:rPr>
      </w:pPr>
      <w:r w:rsidRPr="001A7151">
        <w:rPr>
          <w:b/>
          <w:noProof/>
          <w:lang w:eastAsia="lv-LV"/>
        </w:rPr>
        <w:drawing>
          <wp:inline distT="0" distB="0" distL="0" distR="0" wp14:anchorId="2FC2BE0A" wp14:editId="5D014CE3">
            <wp:extent cx="5261822" cy="2801722"/>
            <wp:effectExtent l="19050" t="19050" r="15240" b="17780"/>
            <wp:docPr id="3" name="Picture 3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ap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04980" cy="2824702"/>
                    </a:xfrm>
                    <a:prstGeom prst="rect">
                      <a:avLst/>
                    </a:prstGeom>
                    <a:noFill/>
                    <a:ln>
                      <a:solidFill>
                        <a:schemeClr val="bg1">
                          <a:lumMod val="85000"/>
                        </a:schemeClr>
                      </a:solidFill>
                    </a:ln>
                  </pic:spPr>
                </pic:pic>
              </a:graphicData>
            </a:graphic>
          </wp:inline>
        </w:drawing>
      </w:r>
    </w:p>
    <w:p w:rsidR="00262B9C" w:rsidRPr="000015EF" w:rsidRDefault="000015EF" w:rsidP="005B4EEC">
      <w:pPr>
        <w:pStyle w:val="ListParagraph"/>
        <w:spacing w:before="120" w:after="120"/>
        <w:ind w:left="0"/>
        <w:contextualSpacing w:val="0"/>
        <w:jc w:val="center"/>
        <w:rPr>
          <w:sz w:val="22"/>
        </w:rPr>
      </w:pPr>
      <w:r w:rsidRPr="000015EF">
        <w:rPr>
          <w:i/>
          <w:sz w:val="22"/>
        </w:rPr>
        <w:t>7.att.</w:t>
      </w:r>
      <w:r w:rsidR="00262B9C" w:rsidRPr="000015EF">
        <w:rPr>
          <w:sz w:val="22"/>
        </w:rPr>
        <w:t xml:space="preserve"> </w:t>
      </w:r>
      <w:r w:rsidR="00262B9C" w:rsidRPr="000015EF">
        <w:rPr>
          <w:b/>
          <w:sz w:val="22"/>
        </w:rPr>
        <w:t>Datortomogrāfijas vidējās valsts izmaksas</w:t>
      </w:r>
      <w:r w:rsidR="00262B9C" w:rsidRPr="000015EF">
        <w:rPr>
          <w:sz w:val="22"/>
        </w:rPr>
        <w:t xml:space="preserve">, </w:t>
      </w:r>
      <w:r w:rsidR="00262B9C" w:rsidRPr="000015EF">
        <w:rPr>
          <w:i/>
          <w:sz w:val="22"/>
        </w:rPr>
        <w:t>euro</w:t>
      </w:r>
      <w:r w:rsidR="00262B9C" w:rsidRPr="000015EF">
        <w:rPr>
          <w:sz w:val="22"/>
        </w:rPr>
        <w:t xml:space="preserve"> (NVD iesniegtā informācija)</w:t>
      </w:r>
    </w:p>
    <w:p w:rsidR="00262B9C" w:rsidRPr="009C2FB3" w:rsidRDefault="00262B9C" w:rsidP="00262B9C">
      <w:pPr>
        <w:pStyle w:val="ListParagraph"/>
        <w:ind w:left="284"/>
        <w:jc w:val="both"/>
        <w:rPr>
          <w:b/>
          <w:sz w:val="8"/>
          <w:szCs w:val="8"/>
        </w:rPr>
      </w:pPr>
    </w:p>
    <w:p w:rsidR="00262B9C" w:rsidRPr="001A7151" w:rsidRDefault="00262B9C" w:rsidP="00262B9C">
      <w:pPr>
        <w:pStyle w:val="ListParagraph"/>
        <w:ind w:left="0" w:firstLine="709"/>
        <w:jc w:val="both"/>
        <w:rPr>
          <w:b/>
        </w:rPr>
      </w:pPr>
      <w:r w:rsidRPr="001A7151">
        <w:rPr>
          <w:szCs w:val="24"/>
        </w:rPr>
        <w:lastRenderedPageBreak/>
        <w:t xml:space="preserve">Šo piemaksu piemērošana veicina ārstniecības iestādes, it īpaši privātās, iegādāties augstākas klases medicīnas iekārtas, jo iestādes zina, ka valsts to iegādi apmaksās. Šis ir piemērs tam, kā samazinās pieejamība pēc pakalpojuma, jo ar dārgu tehnoloģisko aprīkojumu pie nemainīga finansējuma var veikt mazāku skaitu izmeklējumu, kā rezultātā gaidīšanas rinda pēc valsts apmaksātas diagnostikas kļūst garāka. </w:t>
      </w:r>
      <w:r w:rsidR="000015EF">
        <w:rPr>
          <w:szCs w:val="24"/>
        </w:rPr>
        <w:t>VM</w:t>
      </w:r>
      <w:r w:rsidRPr="001A7151">
        <w:rPr>
          <w:szCs w:val="24"/>
        </w:rPr>
        <w:t xml:space="preserve"> jāizvērtē, vai patreizējā ambulatoro diagnostisko izmeklējumu politika nebūtu jāmaina, vai pacientiem tiek sniegts tas pakalpojumus, kas tieši viņiem ir nepieciešams</w:t>
      </w:r>
      <w:r w:rsidRPr="001A7151">
        <w:t>. Iespējams diagnostikā izmantojamais aprīkojums būtu jānosaka ar normatīvo aktu regulējumu, kontekstā ar diagnozēm.</w:t>
      </w:r>
    </w:p>
    <w:p w:rsidR="00F71869" w:rsidRPr="00F71869" w:rsidRDefault="00262B9C" w:rsidP="00F71869">
      <w:pPr>
        <w:pStyle w:val="ListParagraph"/>
        <w:numPr>
          <w:ilvl w:val="0"/>
          <w:numId w:val="1"/>
        </w:numPr>
        <w:tabs>
          <w:tab w:val="left" w:pos="426"/>
        </w:tabs>
        <w:ind w:left="284" w:hanging="284"/>
        <w:jc w:val="both"/>
        <w:rPr>
          <w:b/>
        </w:rPr>
      </w:pPr>
      <w:r w:rsidRPr="001A7151">
        <w:t>Veicot ambulatoro diagnostisko un laboratorisko izmeklējumu analīzi, secināms, ka pastāv dubulta pakalpojumu apmaksāšanas problēma, jo pakalpojumu sniedzējiem ir pienākums pārliecināties, vai konkrētais pakalpojums jau nav veikts tikai savas iestādes ietvaros, līdz ar to pacients valsts apmaksātu  izmeklējumu vienā slimības epizodē var saņemt vairākās ārstniecības iestādēs.</w:t>
      </w:r>
    </w:p>
    <w:p w:rsidR="00F71869" w:rsidRPr="00F71869" w:rsidRDefault="00262B9C" w:rsidP="00F71869">
      <w:pPr>
        <w:pStyle w:val="ListParagraph"/>
        <w:numPr>
          <w:ilvl w:val="0"/>
          <w:numId w:val="1"/>
        </w:numPr>
        <w:tabs>
          <w:tab w:val="left" w:pos="426"/>
        </w:tabs>
        <w:ind w:left="284" w:hanging="284"/>
        <w:jc w:val="both"/>
        <w:rPr>
          <w:b/>
        </w:rPr>
      </w:pPr>
      <w:r w:rsidRPr="001A7151">
        <w:t xml:space="preserve">Apmēram 50% no valsts apmaksāto ambulatoro laboratorisko izmeklējumu </w:t>
      </w:r>
      <w:r>
        <w:t>nodrošina</w:t>
      </w:r>
      <w:r w:rsidRPr="001A7151">
        <w:t xml:space="preserve"> lielākās privātās laboratorijas – </w:t>
      </w:r>
      <w:proofErr w:type="spellStart"/>
      <w:r w:rsidRPr="001A7151">
        <w:t>E.Gulbja</w:t>
      </w:r>
      <w:proofErr w:type="spellEnd"/>
      <w:r w:rsidRPr="001A7151">
        <w:t xml:space="preserve"> laboratorija, NMS laboratorija un Centrālā laboratorija, otrus 50% ambulatoros laboratoriskos izmeklējumus sadala apmēram 80 mazās laboratorijas. </w:t>
      </w:r>
    </w:p>
    <w:p w:rsidR="00262B9C" w:rsidRPr="00EE4DA5" w:rsidRDefault="00262B9C" w:rsidP="00262B9C">
      <w:pPr>
        <w:pStyle w:val="ListParagraph"/>
        <w:numPr>
          <w:ilvl w:val="0"/>
          <w:numId w:val="1"/>
        </w:numPr>
        <w:tabs>
          <w:tab w:val="left" w:pos="426"/>
        </w:tabs>
        <w:ind w:left="284" w:hanging="284"/>
        <w:jc w:val="both"/>
        <w:rPr>
          <w:b/>
        </w:rPr>
      </w:pPr>
      <w:r w:rsidRPr="001A7151">
        <w:t xml:space="preserve">Izvērtējot informāciju par valsts kompensējamajiem medikamentiem, secināms, ka </w:t>
      </w:r>
      <w:r w:rsidR="000F63D6">
        <w:rPr>
          <w:szCs w:val="24"/>
        </w:rPr>
        <w:t>NVD</w:t>
      </w:r>
      <w:r w:rsidRPr="00F71869">
        <w:rPr>
          <w:szCs w:val="24"/>
        </w:rPr>
        <w:t xml:space="preserve"> nav instrumentu, kā iekļaut sarakstā jaunu, lētāku analogu preparātu, ja pats ražotājs nav vērsies ar iesniegumu par preparāta iekļaušanu sarakstā. Pat ja ražotājs, kura medikaments ir iekļauts Latvijas valsts kompensējamo medikamentu sarakstā, izstrādā lētāku analogu produktu, kuru var piedāvāt citām valstīm, Latvijai turpina piegādāt tikai dārgo orģinālu, jo ražotājam tas ir izdevīgāk, nekā piedāvāt lētāko analogu. Kā arī secināms, ka no visiem kompensējamo zāļu sarakstiem (A, B, C un M) alternatīvos kompensējamos medikamentus var piedāvāt tikai A sarakstā iekļautajiem  medikamentiem. </w:t>
      </w:r>
      <w:r w:rsidR="00CC0318" w:rsidRPr="00F71869">
        <w:rPr>
          <w:szCs w:val="24"/>
        </w:rPr>
        <w:t>VM</w:t>
      </w:r>
      <w:r w:rsidRPr="00F71869">
        <w:rPr>
          <w:szCs w:val="24"/>
        </w:rPr>
        <w:t xml:space="preserve"> jāizvērtē iespēja papildināt arī pārējo kompensējamo zāļu sarakstus ar references medikamentiem.</w:t>
      </w:r>
    </w:p>
    <w:p w:rsidR="00EE4DA5" w:rsidRDefault="00EE4DA5" w:rsidP="00EE4DA5">
      <w:pPr>
        <w:tabs>
          <w:tab w:val="left" w:pos="426"/>
        </w:tabs>
        <w:jc w:val="both"/>
        <w:rPr>
          <w:b/>
        </w:rPr>
      </w:pPr>
    </w:p>
    <w:p w:rsidR="00EE4DA5" w:rsidRDefault="00EE4DA5" w:rsidP="00EE4DA5">
      <w:pPr>
        <w:tabs>
          <w:tab w:val="left" w:pos="426"/>
        </w:tabs>
        <w:jc w:val="both"/>
        <w:rPr>
          <w:b/>
        </w:rPr>
      </w:pPr>
    </w:p>
    <w:p w:rsidR="002E6A23" w:rsidRDefault="002E6A23" w:rsidP="00EE4DA5">
      <w:pPr>
        <w:tabs>
          <w:tab w:val="left" w:pos="426"/>
        </w:tabs>
        <w:jc w:val="both"/>
        <w:rPr>
          <w:b/>
        </w:rPr>
      </w:pPr>
    </w:p>
    <w:p w:rsidR="002E6A23" w:rsidRDefault="002E6A23" w:rsidP="00EE4DA5">
      <w:pPr>
        <w:tabs>
          <w:tab w:val="left" w:pos="426"/>
        </w:tabs>
        <w:jc w:val="both"/>
        <w:rPr>
          <w:b/>
        </w:rPr>
      </w:pPr>
    </w:p>
    <w:p w:rsidR="00636B95" w:rsidRPr="00A661B4" w:rsidRDefault="00636B95" w:rsidP="00636B95">
      <w:pPr>
        <w:ind w:firstLine="567"/>
        <w:rPr>
          <w:szCs w:val="24"/>
        </w:rPr>
      </w:pPr>
      <w:r>
        <w:rPr>
          <w:szCs w:val="24"/>
        </w:rPr>
        <w:t>Ministre</w:t>
      </w:r>
      <w:r>
        <w:rPr>
          <w:szCs w:val="24"/>
        </w:rPr>
        <w:tab/>
      </w:r>
      <w:r>
        <w:rPr>
          <w:szCs w:val="24"/>
        </w:rPr>
        <w:tab/>
      </w:r>
      <w:r>
        <w:rPr>
          <w:szCs w:val="24"/>
        </w:rPr>
        <w:tab/>
      </w:r>
      <w:r>
        <w:rPr>
          <w:szCs w:val="24"/>
        </w:rPr>
        <w:tab/>
      </w:r>
      <w:r>
        <w:rPr>
          <w:szCs w:val="24"/>
        </w:rPr>
        <w:tab/>
      </w:r>
      <w:r>
        <w:rPr>
          <w:szCs w:val="24"/>
        </w:rPr>
        <w:tab/>
      </w:r>
      <w:r>
        <w:rPr>
          <w:szCs w:val="24"/>
        </w:rPr>
        <w:tab/>
      </w:r>
      <w:r>
        <w:rPr>
          <w:szCs w:val="24"/>
        </w:rPr>
        <w:tab/>
      </w:r>
      <w:proofErr w:type="spellStart"/>
      <w:r>
        <w:rPr>
          <w:szCs w:val="24"/>
        </w:rPr>
        <w:t>D.Reizniece</w:t>
      </w:r>
      <w:proofErr w:type="spellEnd"/>
      <w:r>
        <w:rPr>
          <w:szCs w:val="24"/>
        </w:rPr>
        <w:t>-Ozola</w:t>
      </w:r>
    </w:p>
    <w:p w:rsidR="002E6A23" w:rsidRDefault="002E6A23" w:rsidP="00EE4DA5">
      <w:pPr>
        <w:tabs>
          <w:tab w:val="left" w:pos="426"/>
        </w:tabs>
        <w:jc w:val="both"/>
        <w:rPr>
          <w:b/>
        </w:rPr>
      </w:pPr>
    </w:p>
    <w:p w:rsidR="002E6A23" w:rsidRDefault="002E6A23" w:rsidP="00EE4DA5">
      <w:pPr>
        <w:tabs>
          <w:tab w:val="left" w:pos="426"/>
        </w:tabs>
        <w:jc w:val="both"/>
        <w:rPr>
          <w:b/>
        </w:rPr>
      </w:pPr>
    </w:p>
    <w:p w:rsidR="002E6A23" w:rsidRDefault="002E6A23" w:rsidP="00EE4DA5">
      <w:pPr>
        <w:tabs>
          <w:tab w:val="left" w:pos="426"/>
        </w:tabs>
        <w:jc w:val="both"/>
        <w:rPr>
          <w:b/>
        </w:rPr>
      </w:pPr>
    </w:p>
    <w:p w:rsidR="002E6A23" w:rsidRDefault="002E6A23" w:rsidP="00EE4DA5">
      <w:pPr>
        <w:tabs>
          <w:tab w:val="left" w:pos="426"/>
        </w:tabs>
        <w:jc w:val="both"/>
        <w:rPr>
          <w:b/>
        </w:rPr>
      </w:pPr>
    </w:p>
    <w:p w:rsidR="002E6A23" w:rsidRDefault="002E6A23" w:rsidP="00EE4DA5">
      <w:pPr>
        <w:tabs>
          <w:tab w:val="left" w:pos="426"/>
        </w:tabs>
        <w:jc w:val="both"/>
        <w:rPr>
          <w:b/>
        </w:rPr>
      </w:pPr>
    </w:p>
    <w:p w:rsidR="002E6A23" w:rsidRDefault="002E6A23" w:rsidP="00EE4DA5">
      <w:pPr>
        <w:tabs>
          <w:tab w:val="left" w:pos="426"/>
        </w:tabs>
        <w:jc w:val="both"/>
        <w:rPr>
          <w:b/>
        </w:rPr>
      </w:pPr>
    </w:p>
    <w:p w:rsidR="002E6A23" w:rsidRDefault="002E6A23" w:rsidP="00EE4DA5">
      <w:pPr>
        <w:tabs>
          <w:tab w:val="left" w:pos="426"/>
        </w:tabs>
        <w:jc w:val="both"/>
        <w:rPr>
          <w:b/>
        </w:rPr>
      </w:pPr>
    </w:p>
    <w:p w:rsidR="002E6A23" w:rsidRDefault="002E6A23" w:rsidP="00EE4DA5">
      <w:pPr>
        <w:tabs>
          <w:tab w:val="left" w:pos="426"/>
        </w:tabs>
        <w:jc w:val="both"/>
        <w:rPr>
          <w:b/>
        </w:rPr>
      </w:pPr>
    </w:p>
    <w:p w:rsidR="002E6A23" w:rsidRDefault="002E6A23" w:rsidP="00EE4DA5">
      <w:pPr>
        <w:tabs>
          <w:tab w:val="left" w:pos="426"/>
        </w:tabs>
        <w:jc w:val="both"/>
        <w:rPr>
          <w:b/>
        </w:rPr>
      </w:pPr>
    </w:p>
    <w:p w:rsidR="002E6A23" w:rsidRDefault="002E6A23" w:rsidP="00EE4DA5">
      <w:pPr>
        <w:tabs>
          <w:tab w:val="left" w:pos="426"/>
        </w:tabs>
        <w:jc w:val="both"/>
        <w:rPr>
          <w:b/>
        </w:rPr>
      </w:pPr>
    </w:p>
    <w:p w:rsidR="002E6A23" w:rsidRDefault="002E6A23" w:rsidP="00EE4DA5">
      <w:pPr>
        <w:tabs>
          <w:tab w:val="left" w:pos="426"/>
        </w:tabs>
        <w:jc w:val="both"/>
        <w:rPr>
          <w:b/>
        </w:rPr>
      </w:pPr>
    </w:p>
    <w:p w:rsidR="002E6A23" w:rsidRDefault="002E6A23" w:rsidP="00EE4DA5">
      <w:pPr>
        <w:tabs>
          <w:tab w:val="left" w:pos="426"/>
        </w:tabs>
        <w:jc w:val="both"/>
        <w:rPr>
          <w:b/>
        </w:rPr>
      </w:pPr>
    </w:p>
    <w:p w:rsidR="002E6A23" w:rsidRDefault="002E6A23" w:rsidP="00EE4DA5">
      <w:pPr>
        <w:tabs>
          <w:tab w:val="left" w:pos="426"/>
        </w:tabs>
        <w:jc w:val="both"/>
        <w:rPr>
          <w:b/>
        </w:rPr>
      </w:pPr>
    </w:p>
    <w:p w:rsidR="002E6A23" w:rsidRPr="002063FA" w:rsidRDefault="002E6A23" w:rsidP="002E6A23">
      <w:pPr>
        <w:rPr>
          <w:rFonts w:cs="Times New Roman"/>
          <w:sz w:val="19"/>
          <w:szCs w:val="19"/>
        </w:rPr>
      </w:pPr>
      <w:r w:rsidRPr="002063FA">
        <w:rPr>
          <w:rFonts w:cs="Times New Roman"/>
          <w:sz w:val="19"/>
          <w:szCs w:val="19"/>
        </w:rPr>
        <w:t>2</w:t>
      </w:r>
      <w:r>
        <w:rPr>
          <w:rFonts w:cs="Times New Roman"/>
          <w:sz w:val="19"/>
          <w:szCs w:val="19"/>
        </w:rPr>
        <w:t>6</w:t>
      </w:r>
      <w:r w:rsidRPr="002063FA">
        <w:rPr>
          <w:rFonts w:cs="Times New Roman"/>
          <w:sz w:val="19"/>
          <w:szCs w:val="19"/>
        </w:rPr>
        <w:t xml:space="preserve">.05.2016. </w:t>
      </w:r>
      <w:r w:rsidR="00636B95">
        <w:rPr>
          <w:rFonts w:cs="Times New Roman"/>
          <w:sz w:val="19"/>
          <w:szCs w:val="19"/>
        </w:rPr>
        <w:t>08:30</w:t>
      </w:r>
    </w:p>
    <w:p w:rsidR="002E6A23" w:rsidRPr="002063FA" w:rsidRDefault="000F63D6" w:rsidP="002E6A23">
      <w:pPr>
        <w:rPr>
          <w:rFonts w:cs="Times New Roman"/>
          <w:sz w:val="19"/>
          <w:szCs w:val="19"/>
        </w:rPr>
      </w:pPr>
      <w:r>
        <w:rPr>
          <w:rFonts w:cs="Times New Roman"/>
          <w:sz w:val="19"/>
          <w:szCs w:val="19"/>
        </w:rPr>
        <w:t>2214</w:t>
      </w:r>
    </w:p>
    <w:p w:rsidR="002E6A23" w:rsidRPr="002063FA" w:rsidRDefault="002E6A23" w:rsidP="002E6A23">
      <w:pPr>
        <w:rPr>
          <w:rFonts w:cs="Times New Roman"/>
          <w:sz w:val="19"/>
          <w:szCs w:val="19"/>
        </w:rPr>
      </w:pPr>
      <w:proofErr w:type="spellStart"/>
      <w:r w:rsidRPr="002063FA">
        <w:rPr>
          <w:rFonts w:cs="Times New Roman"/>
          <w:sz w:val="19"/>
          <w:szCs w:val="19"/>
        </w:rPr>
        <w:t>K.Stafecka</w:t>
      </w:r>
      <w:proofErr w:type="spellEnd"/>
    </w:p>
    <w:p w:rsidR="002E6A23" w:rsidRPr="002063FA" w:rsidRDefault="002E6A23" w:rsidP="002E6A23">
      <w:pPr>
        <w:rPr>
          <w:rFonts w:cs="Times New Roman"/>
          <w:sz w:val="19"/>
          <w:szCs w:val="19"/>
        </w:rPr>
      </w:pPr>
      <w:r w:rsidRPr="002063FA">
        <w:rPr>
          <w:rFonts w:cs="Times New Roman"/>
          <w:sz w:val="19"/>
          <w:szCs w:val="19"/>
        </w:rPr>
        <w:t>Budžeta departamenta Valsts budžeta</w:t>
      </w:r>
    </w:p>
    <w:p w:rsidR="002E6A23" w:rsidRPr="002063FA" w:rsidRDefault="002E6A23" w:rsidP="002E6A23">
      <w:pPr>
        <w:rPr>
          <w:rFonts w:cs="Times New Roman"/>
          <w:sz w:val="19"/>
          <w:szCs w:val="19"/>
        </w:rPr>
      </w:pPr>
      <w:r w:rsidRPr="002063FA">
        <w:rPr>
          <w:rFonts w:cs="Times New Roman"/>
          <w:sz w:val="19"/>
          <w:szCs w:val="19"/>
        </w:rPr>
        <w:t>politika un kopsavilkuma nodaļas vadītāja vietniece</w:t>
      </w:r>
    </w:p>
    <w:p w:rsidR="002E6A23" w:rsidRPr="002063FA" w:rsidRDefault="002E6A23" w:rsidP="002E6A23">
      <w:pPr>
        <w:rPr>
          <w:rFonts w:cs="Times New Roman"/>
          <w:sz w:val="19"/>
          <w:szCs w:val="19"/>
        </w:rPr>
      </w:pPr>
      <w:r w:rsidRPr="002063FA">
        <w:rPr>
          <w:rFonts w:cs="Times New Roman"/>
          <w:sz w:val="19"/>
          <w:szCs w:val="19"/>
        </w:rPr>
        <w:t>T. 67095438</w:t>
      </w:r>
    </w:p>
    <w:p w:rsidR="002E6A23" w:rsidRPr="004C3CE5" w:rsidRDefault="00390A83" w:rsidP="002E6A23">
      <w:pPr>
        <w:rPr>
          <w:rFonts w:cs="Times New Roman"/>
          <w:sz w:val="19"/>
          <w:szCs w:val="19"/>
        </w:rPr>
      </w:pPr>
      <w:hyperlink r:id="rId14" w:history="1">
        <w:r w:rsidR="002E6A23" w:rsidRPr="002063FA">
          <w:rPr>
            <w:rStyle w:val="Hyperlink"/>
            <w:rFonts w:cs="Times New Roman"/>
            <w:sz w:val="19"/>
            <w:szCs w:val="19"/>
          </w:rPr>
          <w:t>Klinta.Stafecka@fm.gov.lv</w:t>
        </w:r>
      </w:hyperlink>
      <w:r w:rsidR="002E6A23" w:rsidRPr="002063FA">
        <w:rPr>
          <w:rFonts w:cs="Times New Roman"/>
          <w:sz w:val="19"/>
          <w:szCs w:val="19"/>
        </w:rPr>
        <w:t xml:space="preserve"> </w:t>
      </w:r>
    </w:p>
    <w:p w:rsidR="002E6A23" w:rsidRPr="00EE4DA5" w:rsidRDefault="002E6A23" w:rsidP="00EE4DA5">
      <w:pPr>
        <w:tabs>
          <w:tab w:val="left" w:pos="426"/>
        </w:tabs>
        <w:jc w:val="both"/>
        <w:rPr>
          <w:b/>
        </w:rPr>
      </w:pPr>
    </w:p>
    <w:sectPr w:rsidR="002E6A23" w:rsidRPr="00EE4DA5" w:rsidSect="00AF12EC">
      <w:headerReference w:type="default" r:id="rId15"/>
      <w:footerReference w:type="default" r:id="rId1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B9C" w:rsidRDefault="00262B9C" w:rsidP="00262B9C">
      <w:r>
        <w:separator/>
      </w:r>
    </w:p>
  </w:endnote>
  <w:endnote w:type="continuationSeparator" w:id="0">
    <w:p w:rsidR="00262B9C" w:rsidRDefault="00262B9C" w:rsidP="0026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B9C" w:rsidRPr="00262B9C" w:rsidRDefault="00262B9C" w:rsidP="00262B9C">
    <w:pPr>
      <w:pStyle w:val="Footer"/>
      <w:jc w:val="both"/>
      <w:rPr>
        <w:rFonts w:cs="Times New Roman"/>
        <w:sz w:val="20"/>
        <w:szCs w:val="20"/>
      </w:rPr>
    </w:pPr>
    <w:r w:rsidRPr="003C47F2">
      <w:rPr>
        <w:rFonts w:cs="Times New Roman"/>
        <w:sz w:val="20"/>
        <w:szCs w:val="20"/>
      </w:rPr>
      <w:fldChar w:fldCharType="begin"/>
    </w:r>
    <w:r w:rsidRPr="003C47F2">
      <w:rPr>
        <w:rFonts w:cs="Times New Roman"/>
        <w:sz w:val="20"/>
        <w:szCs w:val="20"/>
      </w:rPr>
      <w:instrText xml:space="preserve"> FILENAME   \* MERGEFORMAT </w:instrText>
    </w:r>
    <w:r w:rsidRPr="003C47F2">
      <w:rPr>
        <w:rFonts w:cs="Times New Roman"/>
        <w:sz w:val="20"/>
        <w:szCs w:val="20"/>
      </w:rPr>
      <w:fldChar w:fldCharType="separate"/>
    </w:r>
    <w:r w:rsidR="009A5C60">
      <w:rPr>
        <w:rFonts w:cs="Times New Roman"/>
        <w:noProof/>
        <w:sz w:val="20"/>
        <w:szCs w:val="20"/>
      </w:rPr>
      <w:t>FMZinop10_260516_izd_parskat.docx</w:t>
    </w:r>
    <w:r w:rsidRPr="003C47F2">
      <w:rPr>
        <w:rFonts w:cs="Times New Roman"/>
        <w:sz w:val="20"/>
        <w:szCs w:val="20"/>
      </w:rPr>
      <w:fldChar w:fldCharType="end"/>
    </w:r>
    <w:r w:rsidRPr="003C47F2">
      <w:rPr>
        <w:rFonts w:cs="Times New Roman"/>
        <w:sz w:val="20"/>
        <w:szCs w:val="20"/>
      </w:rPr>
      <w:t>; Par informatīvo ziņojumu “Par valsts budžeta izdevumu pārskatīšanas 2017., 2018. un 2019.gadam rezultātiem un priekšlikumi par šo rezultātu izmantošanu likumprojekta “Par vidēja termiņa budžeta 2017., 2018. un 2019.gadam” un likumprojekta “Par valsts budžetu 2017.gadam” izstrādes procesā”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B9C" w:rsidRDefault="00262B9C" w:rsidP="00262B9C">
      <w:r>
        <w:separator/>
      </w:r>
    </w:p>
  </w:footnote>
  <w:footnote w:type="continuationSeparator" w:id="0">
    <w:p w:rsidR="00262B9C" w:rsidRDefault="00262B9C" w:rsidP="00262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6046806"/>
      <w:docPartObj>
        <w:docPartGallery w:val="Page Numbers (Top of Page)"/>
        <w:docPartUnique/>
      </w:docPartObj>
    </w:sdtPr>
    <w:sdtEndPr>
      <w:rPr>
        <w:noProof/>
      </w:rPr>
    </w:sdtEndPr>
    <w:sdtContent>
      <w:p w:rsidR="00262B9C" w:rsidRDefault="00262B9C">
        <w:pPr>
          <w:pStyle w:val="Header"/>
          <w:jc w:val="right"/>
        </w:pPr>
        <w:r>
          <w:fldChar w:fldCharType="begin"/>
        </w:r>
        <w:r>
          <w:instrText xml:space="preserve"> PAGE   \* MERGEFORMAT </w:instrText>
        </w:r>
        <w:r>
          <w:fldChar w:fldCharType="separate"/>
        </w:r>
        <w:r w:rsidR="00390A83">
          <w:rPr>
            <w:noProof/>
          </w:rPr>
          <w:t>8</w:t>
        </w:r>
        <w:r>
          <w:rPr>
            <w:noProof/>
          </w:rPr>
          <w:fldChar w:fldCharType="end"/>
        </w:r>
      </w:p>
    </w:sdtContent>
  </w:sdt>
  <w:p w:rsidR="00262B9C" w:rsidRDefault="00262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A2E8F"/>
    <w:multiLevelType w:val="hybridMultilevel"/>
    <w:tmpl w:val="605AEA98"/>
    <w:lvl w:ilvl="0" w:tplc="4B60F66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B6C166A"/>
    <w:multiLevelType w:val="hybridMultilevel"/>
    <w:tmpl w:val="95D6DBD8"/>
    <w:lvl w:ilvl="0" w:tplc="AC84DA6A">
      <w:start w:val="1"/>
      <w:numFmt w:val="decimal"/>
      <w:lvlText w:val="%1."/>
      <w:lvlJc w:val="left"/>
      <w:pPr>
        <w:ind w:left="1080" w:hanging="360"/>
      </w:pPr>
      <w:rPr>
        <w:rFonts w:ascii="Times New Roman" w:eastAsiaTheme="minorHAnsi" w:hAnsi="Times New Roman" w:cstheme="minorBid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E6E6618"/>
    <w:multiLevelType w:val="hybridMultilevel"/>
    <w:tmpl w:val="DAC2E2C6"/>
    <w:lvl w:ilvl="0" w:tplc="45CAEAC4">
      <w:start w:val="1"/>
      <w:numFmt w:val="decimal"/>
      <w:lvlText w:val="%1."/>
      <w:lvlJc w:val="left"/>
      <w:pPr>
        <w:ind w:left="1440" w:hanging="360"/>
      </w:pPr>
      <w:rPr>
        <w:rFonts w:ascii="Times New Roman" w:eastAsiaTheme="minorHAnsi" w:hAnsi="Times New Roman" w:cstheme="minorBidi"/>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5610E80"/>
    <w:multiLevelType w:val="hybridMultilevel"/>
    <w:tmpl w:val="663A2E0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7C650EE4"/>
    <w:multiLevelType w:val="hybridMultilevel"/>
    <w:tmpl w:val="2256C250"/>
    <w:lvl w:ilvl="0" w:tplc="535A3E80">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2EC"/>
    <w:rsid w:val="000015EF"/>
    <w:rsid w:val="000F63D6"/>
    <w:rsid w:val="00262B9C"/>
    <w:rsid w:val="002779D4"/>
    <w:rsid w:val="002E6A23"/>
    <w:rsid w:val="00390A83"/>
    <w:rsid w:val="004A563C"/>
    <w:rsid w:val="005B4EEC"/>
    <w:rsid w:val="00636B95"/>
    <w:rsid w:val="009A5C60"/>
    <w:rsid w:val="009C2FB3"/>
    <w:rsid w:val="00A05797"/>
    <w:rsid w:val="00A24464"/>
    <w:rsid w:val="00A8790D"/>
    <w:rsid w:val="00AF12EC"/>
    <w:rsid w:val="00C0747E"/>
    <w:rsid w:val="00C46E1E"/>
    <w:rsid w:val="00C57036"/>
    <w:rsid w:val="00CC0318"/>
    <w:rsid w:val="00CF39F9"/>
    <w:rsid w:val="00DD48E8"/>
    <w:rsid w:val="00EE4DA5"/>
    <w:rsid w:val="00F71869"/>
    <w:rsid w:val="00FB1C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65FFDB-98DD-4722-8A91-C5A518FB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2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B9C"/>
    <w:pPr>
      <w:tabs>
        <w:tab w:val="center" w:pos="4153"/>
        <w:tab w:val="right" w:pos="8306"/>
      </w:tabs>
    </w:pPr>
  </w:style>
  <w:style w:type="character" w:customStyle="1" w:styleId="HeaderChar">
    <w:name w:val="Header Char"/>
    <w:basedOn w:val="DefaultParagraphFont"/>
    <w:link w:val="Header"/>
    <w:uiPriority w:val="99"/>
    <w:rsid w:val="00262B9C"/>
  </w:style>
  <w:style w:type="paragraph" w:styleId="Footer">
    <w:name w:val="footer"/>
    <w:basedOn w:val="Normal"/>
    <w:link w:val="FooterChar"/>
    <w:uiPriority w:val="99"/>
    <w:unhideWhenUsed/>
    <w:rsid w:val="00262B9C"/>
    <w:pPr>
      <w:tabs>
        <w:tab w:val="center" w:pos="4153"/>
        <w:tab w:val="right" w:pos="8306"/>
      </w:tabs>
    </w:pPr>
  </w:style>
  <w:style w:type="character" w:customStyle="1" w:styleId="FooterChar">
    <w:name w:val="Footer Char"/>
    <w:basedOn w:val="DefaultParagraphFont"/>
    <w:link w:val="Footer"/>
    <w:uiPriority w:val="99"/>
    <w:rsid w:val="00262B9C"/>
  </w:style>
  <w:style w:type="paragraph" w:styleId="ListParagraph">
    <w:name w:val="List Paragraph"/>
    <w:basedOn w:val="Normal"/>
    <w:uiPriority w:val="34"/>
    <w:qFormat/>
    <w:rsid w:val="00262B9C"/>
    <w:pPr>
      <w:ind w:left="720"/>
      <w:contextualSpacing/>
    </w:pPr>
    <w:rPr>
      <w:rFonts w:eastAsia="Calibri" w:cs="Times New Roman"/>
    </w:rPr>
  </w:style>
  <w:style w:type="character" w:styleId="Strong">
    <w:name w:val="Strong"/>
    <w:uiPriority w:val="22"/>
    <w:qFormat/>
    <w:rsid w:val="00262B9C"/>
    <w:rPr>
      <w:b/>
      <w:bCs/>
    </w:rPr>
  </w:style>
  <w:style w:type="character" w:styleId="Emphasis">
    <w:name w:val="Emphasis"/>
    <w:uiPriority w:val="20"/>
    <w:qFormat/>
    <w:rsid w:val="00262B9C"/>
    <w:rPr>
      <w:i/>
      <w:iCs/>
    </w:rPr>
  </w:style>
  <w:style w:type="character" w:styleId="Hyperlink">
    <w:name w:val="Hyperlink"/>
    <w:basedOn w:val="DefaultParagraphFont"/>
    <w:uiPriority w:val="99"/>
    <w:unhideWhenUsed/>
    <w:rsid w:val="002E6A23"/>
    <w:rPr>
      <w:color w:val="0563C1" w:themeColor="hyperlink"/>
      <w:u w:val="single"/>
    </w:rPr>
  </w:style>
  <w:style w:type="paragraph" w:styleId="BalloonText">
    <w:name w:val="Balloon Text"/>
    <w:basedOn w:val="Normal"/>
    <w:link w:val="BalloonTextChar"/>
    <w:uiPriority w:val="99"/>
    <w:semiHidden/>
    <w:unhideWhenUsed/>
    <w:rsid w:val="009A5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C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Klinta.Stafecka@f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8</Pages>
  <Words>10980</Words>
  <Characters>6260</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Informatīvais ziņojums</vt:lpstr>
    </vt:vector>
  </TitlesOfParts>
  <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dc:title>
  <dc:subject/>
  <dc:creator>Klinta Stafecka</dc:creator>
  <cp:keywords/>
  <dc:description>Klinta Stafecka
klinta.stafecka@fm.gov.lv
T.67095438</dc:description>
  <cp:lastModifiedBy>Klinta Stafecka</cp:lastModifiedBy>
  <cp:revision>20</cp:revision>
  <cp:lastPrinted>2016-05-26T04:53:00Z</cp:lastPrinted>
  <dcterms:created xsi:type="dcterms:W3CDTF">2016-05-24T17:05:00Z</dcterms:created>
  <dcterms:modified xsi:type="dcterms:W3CDTF">2016-05-26T05:21:00Z</dcterms:modified>
</cp:coreProperties>
</file>