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715" w:rsidRPr="006B1251" w:rsidRDefault="001134A1" w:rsidP="00014715">
      <w:pPr>
        <w:jc w:val="right"/>
        <w:rPr>
          <w:i/>
          <w:sz w:val="21"/>
          <w:szCs w:val="21"/>
        </w:rPr>
      </w:pPr>
      <w:r>
        <w:rPr>
          <w:i/>
          <w:sz w:val="21"/>
          <w:szCs w:val="21"/>
        </w:rPr>
        <w:t>2</w:t>
      </w:r>
      <w:r w:rsidR="00014715" w:rsidRPr="006B1251">
        <w:rPr>
          <w:i/>
          <w:sz w:val="21"/>
          <w:szCs w:val="21"/>
        </w:rPr>
        <w:t>.pielikums informatīvajam ziņojumam</w:t>
      </w:r>
    </w:p>
    <w:p w:rsidR="00014715" w:rsidRPr="006B1251" w:rsidRDefault="00014715" w:rsidP="00014715">
      <w:pPr>
        <w:jc w:val="right"/>
        <w:rPr>
          <w:i/>
          <w:sz w:val="21"/>
          <w:szCs w:val="21"/>
        </w:rPr>
      </w:pPr>
      <w:r w:rsidRPr="006B1251">
        <w:rPr>
          <w:i/>
          <w:sz w:val="21"/>
          <w:szCs w:val="21"/>
        </w:rPr>
        <w:t>“Par valsts budžeta izdevumu pārskatīšanas 2018., 2019. un 2020.gadam</w:t>
      </w:r>
    </w:p>
    <w:p w:rsidR="00014715" w:rsidRPr="006B1251" w:rsidRDefault="00014715" w:rsidP="00014715">
      <w:pPr>
        <w:jc w:val="right"/>
        <w:rPr>
          <w:i/>
          <w:sz w:val="21"/>
          <w:szCs w:val="21"/>
        </w:rPr>
      </w:pPr>
      <w:r w:rsidRPr="006B1251">
        <w:rPr>
          <w:i/>
          <w:sz w:val="21"/>
          <w:szCs w:val="21"/>
        </w:rPr>
        <w:t xml:space="preserve"> rezultātiem un priekšlikumi par šo rezultātu izmantošanu likumprojekta</w:t>
      </w:r>
    </w:p>
    <w:p w:rsidR="00014715" w:rsidRPr="006B1251" w:rsidRDefault="00014715" w:rsidP="00014715">
      <w:pPr>
        <w:jc w:val="right"/>
        <w:rPr>
          <w:i/>
          <w:sz w:val="21"/>
          <w:szCs w:val="21"/>
        </w:rPr>
      </w:pPr>
      <w:r w:rsidRPr="006B1251">
        <w:rPr>
          <w:i/>
          <w:sz w:val="21"/>
          <w:szCs w:val="21"/>
        </w:rPr>
        <w:t>“Par vidēja termiņa budžeta 2018., 2019. un 2020.gadam” un likumprojekta</w:t>
      </w:r>
    </w:p>
    <w:p w:rsidR="00014715" w:rsidRPr="006B1251" w:rsidRDefault="00014715" w:rsidP="00014715">
      <w:pPr>
        <w:jc w:val="right"/>
        <w:rPr>
          <w:b/>
          <w:sz w:val="21"/>
          <w:szCs w:val="21"/>
        </w:rPr>
      </w:pPr>
      <w:r w:rsidRPr="006B1251">
        <w:rPr>
          <w:i/>
          <w:sz w:val="21"/>
          <w:szCs w:val="21"/>
        </w:rPr>
        <w:t>“Par valsts budžetu 2018.gadam” izstrādes procesā”</w:t>
      </w:r>
    </w:p>
    <w:p w:rsidR="00014715" w:rsidRPr="00D72FF4" w:rsidRDefault="00014715" w:rsidP="00014715">
      <w:pPr>
        <w:jc w:val="right"/>
        <w:rPr>
          <w:sz w:val="28"/>
          <w:szCs w:val="28"/>
        </w:rPr>
      </w:pPr>
    </w:p>
    <w:p w:rsidR="00B038F7" w:rsidRPr="001134A1" w:rsidRDefault="00014715" w:rsidP="001134A1">
      <w:pPr>
        <w:jc w:val="center"/>
        <w:rPr>
          <w:b/>
          <w:sz w:val="22"/>
        </w:rPr>
      </w:pPr>
      <w:r w:rsidRPr="001134A1">
        <w:rPr>
          <w:b/>
          <w:sz w:val="22"/>
        </w:rPr>
        <w:t>Kopsavilkums par izdevumu pārskatīšanas rezultātiem</w:t>
      </w:r>
      <w:r w:rsidR="00D513D0">
        <w:rPr>
          <w:b/>
          <w:sz w:val="22"/>
        </w:rPr>
        <w:t xml:space="preserve"> sadalījumā pa ministrijām un izdevumu pārskatīšanas metodēm</w:t>
      </w:r>
    </w:p>
    <w:p w:rsidR="003E3A10" w:rsidRDefault="001134A1" w:rsidP="0000056D">
      <w:pPr>
        <w:jc w:val="right"/>
        <w:rPr>
          <w:rFonts w:eastAsia="Calibri" w:cs="Times New Roman"/>
          <w:sz w:val="26"/>
          <w:szCs w:val="26"/>
        </w:rPr>
      </w:pPr>
      <w:proofErr w:type="spellStart"/>
      <w:r w:rsidRPr="001134A1">
        <w:rPr>
          <w:rFonts w:eastAsia="Calibri" w:cs="Times New Roman"/>
          <w:i/>
          <w:sz w:val="22"/>
        </w:rPr>
        <w:t>euro</w:t>
      </w:r>
      <w:proofErr w:type="spellEnd"/>
    </w:p>
    <w:tbl>
      <w:tblPr>
        <w:tblW w:w="151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960"/>
        <w:gridCol w:w="1025"/>
        <w:gridCol w:w="980"/>
        <w:gridCol w:w="980"/>
        <w:gridCol w:w="980"/>
        <w:gridCol w:w="980"/>
        <w:gridCol w:w="980"/>
        <w:gridCol w:w="980"/>
        <w:gridCol w:w="980"/>
        <w:gridCol w:w="1050"/>
        <w:gridCol w:w="910"/>
        <w:gridCol w:w="980"/>
        <w:gridCol w:w="980"/>
        <w:gridCol w:w="980"/>
      </w:tblGrid>
      <w:tr w:rsidR="003E3A10" w:rsidRPr="00CA02B6" w:rsidTr="00CA02B6">
        <w:trPr>
          <w:trHeight w:val="975"/>
          <w:tblHeader/>
        </w:trPr>
        <w:tc>
          <w:tcPr>
            <w:tcW w:w="1446" w:type="dxa"/>
            <w:tcBorders>
              <w:top w:val="single" w:sz="4" w:space="0" w:color="auto"/>
              <w:left w:val="single" w:sz="4" w:space="0" w:color="auto"/>
              <w:bottom w:val="nil"/>
              <w:right w:val="single" w:sz="4" w:space="0" w:color="auto"/>
            </w:tcBorders>
            <w:shd w:val="clear" w:color="DDEBF7" w:fill="DDEBF7"/>
            <w:vAlign w:val="bottom"/>
          </w:tcPr>
          <w:p w:rsidR="003E3A10" w:rsidRPr="00CA02B6" w:rsidRDefault="003E3A10" w:rsidP="003E3A10">
            <w:pPr>
              <w:jc w:val="center"/>
              <w:rPr>
                <w:rFonts w:eastAsia="Times New Roman" w:cs="Times New Roman"/>
                <w:sz w:val="16"/>
                <w:szCs w:val="16"/>
                <w:lang w:eastAsia="lv-LV"/>
              </w:rPr>
            </w:pPr>
          </w:p>
        </w:tc>
        <w:tc>
          <w:tcPr>
            <w:tcW w:w="1985" w:type="dxa"/>
            <w:gridSpan w:val="2"/>
            <w:tcBorders>
              <w:left w:val="single" w:sz="4" w:space="0" w:color="auto"/>
            </w:tcBorders>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Apstākļu aktualizācija</w:t>
            </w:r>
          </w:p>
        </w:tc>
        <w:tc>
          <w:tcPr>
            <w:tcW w:w="196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Iekšējie resursi no ilgstošām vakancēm</w:t>
            </w:r>
          </w:p>
        </w:tc>
        <w:tc>
          <w:tcPr>
            <w:tcW w:w="196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Iepriekšējo periodu prioritāro pasākumu pārskatīšana</w:t>
            </w:r>
          </w:p>
        </w:tc>
        <w:tc>
          <w:tcPr>
            <w:tcW w:w="196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Maksas pakalpojumu cenrāžu aktualizācija</w:t>
            </w:r>
          </w:p>
        </w:tc>
        <w:tc>
          <w:tcPr>
            <w:tcW w:w="203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Pašu ieņēmumu atlikumu izmantošana</w:t>
            </w:r>
          </w:p>
        </w:tc>
        <w:tc>
          <w:tcPr>
            <w:tcW w:w="189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Pārvaldes funkciju un finanšu vadības pilnveidošana</w:t>
            </w:r>
          </w:p>
        </w:tc>
        <w:tc>
          <w:tcPr>
            <w:tcW w:w="1960" w:type="dxa"/>
            <w:gridSpan w:val="2"/>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Zemākās prioritātes administratīvo izdevumu pārskatīšana</w:t>
            </w:r>
          </w:p>
        </w:tc>
      </w:tr>
      <w:tr w:rsidR="003E3A10" w:rsidRPr="00CA02B6" w:rsidTr="00CA02B6">
        <w:trPr>
          <w:trHeight w:val="276"/>
          <w:tblHeader/>
        </w:trPr>
        <w:tc>
          <w:tcPr>
            <w:tcW w:w="1446" w:type="dxa"/>
            <w:tcBorders>
              <w:top w:val="nil"/>
              <w:left w:val="single" w:sz="4" w:space="0" w:color="auto"/>
              <w:bottom w:val="single" w:sz="4" w:space="0" w:color="auto"/>
              <w:right w:val="single" w:sz="4" w:space="0" w:color="auto"/>
            </w:tcBorders>
            <w:shd w:val="clear" w:color="DDEBF7" w:fill="DDEBF7"/>
            <w:vAlign w:val="bottom"/>
          </w:tcPr>
          <w:p w:rsidR="003E3A10" w:rsidRPr="00CA02B6" w:rsidRDefault="003E3A10" w:rsidP="003E3A10">
            <w:pPr>
              <w:jc w:val="center"/>
              <w:rPr>
                <w:rFonts w:eastAsia="Times New Roman" w:cs="Times New Roman"/>
                <w:b/>
                <w:bCs/>
                <w:color w:val="000000"/>
                <w:sz w:val="16"/>
                <w:szCs w:val="16"/>
                <w:lang w:eastAsia="lv-LV"/>
              </w:rPr>
            </w:pPr>
          </w:p>
        </w:tc>
        <w:tc>
          <w:tcPr>
            <w:tcW w:w="960" w:type="dxa"/>
            <w:tcBorders>
              <w:left w:val="single" w:sz="4" w:space="0" w:color="auto"/>
            </w:tcBorders>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1025"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105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1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2018</w:t>
            </w:r>
          </w:p>
        </w:tc>
        <w:tc>
          <w:tcPr>
            <w:tcW w:w="980" w:type="dxa"/>
            <w:shd w:val="clear" w:color="DDEBF7" w:fill="DDEBF7"/>
            <w:vAlign w:val="center"/>
            <w:hideMark/>
          </w:tcPr>
          <w:p w:rsidR="003E3A10" w:rsidRPr="00CA02B6" w:rsidRDefault="003E3A10" w:rsidP="003E3A10">
            <w:pPr>
              <w:jc w:val="center"/>
              <w:rPr>
                <w:rFonts w:eastAsia="Times New Roman" w:cs="Times New Roman"/>
                <w:b/>
                <w:bCs/>
                <w:color w:val="000000"/>
                <w:sz w:val="16"/>
                <w:szCs w:val="16"/>
                <w:lang w:eastAsia="lv-LV"/>
              </w:rPr>
            </w:pPr>
            <w:r w:rsidRPr="00CA02B6">
              <w:rPr>
                <w:rFonts w:eastAsia="Times New Roman" w:cs="Times New Roman"/>
                <w:b/>
                <w:bCs/>
                <w:color w:val="000000"/>
                <w:sz w:val="16"/>
                <w:szCs w:val="16"/>
                <w:lang w:eastAsia="lv-LV"/>
              </w:rPr>
              <w:t>2019</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7"/>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Iekšējie resursi prioritātēm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1 739 838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1 808 910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30 223 251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29 517 325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3 500 749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3 500 749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10 969 105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5 645 589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1 189 566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2 275 055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1 419 882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1 418 690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Ministrija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1 739 838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1 808 910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27 190 054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26 484 128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3 457 893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3 457 893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10 783 288</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5 552 681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1 121 184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2 206 673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1 181 243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1 181 545</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VM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186 959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186 959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8 260 506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8 260 506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366 761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366 761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2 198 104</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1 791 508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52 592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52 592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TM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629 905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629 905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3 496 171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3 061 827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47 368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47 368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5 581 639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3 070 379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39 430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39 430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263 694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263 527</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FM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1 739 838</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1 808 910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507 247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507 247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2 516 612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1 586 727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36 847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36 847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698 812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50 899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50 899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133 336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135 091</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KM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144 656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144 656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2 295 383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2 748 368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1 600 530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1 600 530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38 799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38 799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74 648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73 163</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IeM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607 197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607 197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2 174 394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2 174 394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127 499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127 499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52 709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26 354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78 540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78 540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IZM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149 823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149 823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1 194 736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1 194 736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911 034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911 034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149 468</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74 734</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317 212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988 110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2 965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2 965</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SM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24 139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24 139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2 100 415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2 100 415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923 144</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210 802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210 802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35 168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35 168</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ĀM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14 450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14 450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1 686 842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1 913 080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249 580</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124 790</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12 762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12 762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425 749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425 749</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VARAM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123 213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123 213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1 235 482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1 451 513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38 766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38 766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121 622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536 213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76 139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76 139</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EM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217 246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217 246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479 559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479 559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16 355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16 355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884 319</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442 159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27 015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27 015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58 143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58 343</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LM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421 675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421 675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732 506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495 555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172 320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172 320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43 157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43 157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roofErr w:type="spellStart"/>
            <w:r w:rsidRPr="008376CF">
              <w:rPr>
                <w:rFonts w:eastAsia="Times New Roman" w:cs="Times New Roman"/>
                <w:color w:val="000000"/>
                <w:sz w:val="16"/>
                <w:szCs w:val="16"/>
                <w:lang w:eastAsia="lv-LV"/>
              </w:rPr>
              <w:t>AiM</w:t>
            </w:r>
            <w:proofErr w:type="spellEnd"/>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175 689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175 689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648 033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648 033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65 511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65 511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45 513</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22 757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91 078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91 078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ZM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257 110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257 110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369 415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369 415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74 813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74 813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37 276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37 276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111 401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111 400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Neatkarīgā institūcija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2 620 950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2 620 950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185 817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92 908</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49 023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49 023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219 205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217 724</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RTV</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2 620 950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2 620 950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1 425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712</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1 667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1 667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3 250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3 250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Saeima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168 738</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84 369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13 419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13 419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62 341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66 334</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Prokuratūra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3 815</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1 907</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20 569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20 569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65 948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65 949</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lastRenderedPageBreak/>
              <w:t>VPK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3 917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3 917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54 565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49 090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SPRK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1 216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1 216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22 552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22 552</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AT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6 522</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3 261</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2 163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2 163</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4 856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4 856</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VK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5 581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5 581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67</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ST</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5 317</w:t>
            </w: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2 659</w:t>
            </w: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960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960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TB</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235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235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4 666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4 666</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Centrālā valsts iestāde</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412 247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412 247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42 856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42 856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19 359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19 359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19 434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19 422</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MK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170 361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170 361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42 856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42 856</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15 315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15 315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13 437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13 437</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SIF</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161 409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161 409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697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697</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1 299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1 287</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KNAB</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79 132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79 132</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2 434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2 434</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PKC</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420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3 100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3 100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CVK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1 345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1 345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258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1 370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1 370</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CZK</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235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235</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228</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228</w:t>
            </w: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2"/>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Kopējām valsts prioritātēm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24 360 162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18 191 090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4 285 539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7 255 141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Ministrija</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24 360 162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18 191 090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4 285 539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7 255 141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b/>
                <w:bCs/>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FM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24 360 162</w:t>
            </w: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18 191 090</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r w:rsidRPr="008376CF">
              <w:rPr>
                <w:rFonts w:eastAsia="Times New Roman" w:cs="Times New Roman"/>
                <w:color w:val="000000"/>
                <w:sz w:val="16"/>
                <w:szCs w:val="16"/>
                <w:lang w:eastAsia="lv-LV"/>
              </w:rPr>
              <w:t>IeM</w:t>
            </w:r>
          </w:p>
        </w:tc>
        <w:tc>
          <w:tcPr>
            <w:tcW w:w="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color w:val="000000"/>
                <w:sz w:val="16"/>
                <w:szCs w:val="16"/>
                <w:lang w:eastAsia="lv-LV"/>
              </w:rPr>
            </w:pPr>
          </w:p>
        </w:tc>
        <w:tc>
          <w:tcPr>
            <w:tcW w:w="102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105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c>
          <w:tcPr>
            <w:tcW w:w="9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4 285 539</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r w:rsidRPr="008376CF">
              <w:rPr>
                <w:rFonts w:eastAsia="Times New Roman" w:cs="Times New Roman"/>
                <w:color w:val="000000"/>
                <w:sz w:val="16"/>
                <w:szCs w:val="16"/>
                <w:lang w:eastAsia="lv-LV"/>
              </w:rPr>
              <w:t>7 255 141</w:t>
            </w: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jc w:val="right"/>
              <w:rPr>
                <w:rFonts w:eastAsia="Times New Roman" w:cs="Times New Roman"/>
                <w:color w:val="000000"/>
                <w:sz w:val="16"/>
                <w:szCs w:val="16"/>
                <w:lang w:eastAsia="lv-LV"/>
              </w:rPr>
            </w:pPr>
          </w:p>
        </w:tc>
        <w:tc>
          <w:tcPr>
            <w:tcW w:w="9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376CF" w:rsidRPr="008376CF" w:rsidRDefault="008376CF" w:rsidP="008376CF">
            <w:pPr>
              <w:rPr>
                <w:rFonts w:eastAsia="Times New Roman" w:cs="Times New Roman"/>
                <w:sz w:val="16"/>
                <w:szCs w:val="16"/>
                <w:lang w:eastAsia="lv-LV"/>
              </w:rPr>
            </w:pPr>
          </w:p>
        </w:tc>
      </w:tr>
      <w:tr w:rsidR="00CA02B6" w:rsidRPr="00CA02B6" w:rsidTr="00CA0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1446"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68300D" w:rsidP="008376CF">
            <w:pPr>
              <w:rPr>
                <w:rFonts w:eastAsia="Times New Roman" w:cs="Times New Roman"/>
                <w:b/>
                <w:bCs/>
                <w:color w:val="000000"/>
                <w:sz w:val="16"/>
                <w:szCs w:val="16"/>
                <w:lang w:eastAsia="lv-LV"/>
              </w:rPr>
            </w:pPr>
            <w:r>
              <w:rPr>
                <w:rFonts w:eastAsia="Times New Roman" w:cs="Times New Roman"/>
                <w:b/>
                <w:bCs/>
                <w:color w:val="000000"/>
                <w:sz w:val="16"/>
                <w:szCs w:val="16"/>
                <w:lang w:eastAsia="lv-LV"/>
              </w:rPr>
              <w:t>KOPĀ</w:t>
            </w:r>
          </w:p>
        </w:tc>
        <w:tc>
          <w:tcPr>
            <w:tcW w:w="96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26 100 000</w:t>
            </w:r>
          </w:p>
        </w:tc>
        <w:tc>
          <w:tcPr>
            <w:tcW w:w="1025"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20 000 000</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3 459 309</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30 223 251</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29 517 325</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3 500 749</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3 500 749</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10 969 105</w:t>
            </w:r>
          </w:p>
        </w:tc>
        <w:tc>
          <w:tcPr>
            <w:tcW w:w="105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5 645 589</w:t>
            </w:r>
          </w:p>
        </w:tc>
        <w:tc>
          <w:tcPr>
            <w:tcW w:w="91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5 475 105</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9 530 196</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1 419 882</w:t>
            </w:r>
          </w:p>
        </w:tc>
        <w:tc>
          <w:tcPr>
            <w:tcW w:w="980" w:type="dxa"/>
            <w:tcBorders>
              <w:top w:val="single" w:sz="4" w:space="0" w:color="auto"/>
              <w:left w:val="single" w:sz="4" w:space="0" w:color="auto"/>
              <w:bottom w:val="single" w:sz="4" w:space="0" w:color="auto"/>
              <w:right w:val="single" w:sz="4" w:space="0" w:color="auto"/>
            </w:tcBorders>
            <w:shd w:val="clear" w:color="DDEBF7" w:fill="DDEBF7"/>
            <w:vAlign w:val="bottom"/>
            <w:hideMark/>
          </w:tcPr>
          <w:p w:rsidR="008376CF" w:rsidRPr="008376CF" w:rsidRDefault="008376CF" w:rsidP="008376CF">
            <w:pPr>
              <w:jc w:val="right"/>
              <w:rPr>
                <w:rFonts w:eastAsia="Times New Roman" w:cs="Times New Roman"/>
                <w:b/>
                <w:bCs/>
                <w:color w:val="000000"/>
                <w:sz w:val="16"/>
                <w:szCs w:val="16"/>
                <w:lang w:eastAsia="lv-LV"/>
              </w:rPr>
            </w:pPr>
            <w:r w:rsidRPr="008376CF">
              <w:rPr>
                <w:rFonts w:eastAsia="Times New Roman" w:cs="Times New Roman"/>
                <w:b/>
                <w:bCs/>
                <w:color w:val="000000"/>
                <w:sz w:val="16"/>
                <w:szCs w:val="16"/>
                <w:lang w:eastAsia="lv-LV"/>
              </w:rPr>
              <w:t>1 418 690</w:t>
            </w:r>
          </w:p>
        </w:tc>
      </w:tr>
    </w:tbl>
    <w:p w:rsidR="00DE1497" w:rsidRDefault="00DE1497" w:rsidP="008376CF">
      <w:pPr>
        <w:rPr>
          <w:rFonts w:eastAsia="Calibri" w:cs="Times New Roman"/>
          <w:sz w:val="26"/>
          <w:szCs w:val="26"/>
        </w:rPr>
      </w:pPr>
    </w:p>
    <w:p w:rsidR="00014715" w:rsidRDefault="00014715" w:rsidP="00DE1497">
      <w:pPr>
        <w:ind w:firstLine="851"/>
        <w:rPr>
          <w:rFonts w:eastAsia="Calibri" w:cs="Times New Roman"/>
          <w:sz w:val="26"/>
          <w:szCs w:val="26"/>
        </w:rPr>
      </w:pPr>
      <w:r w:rsidRPr="000A5EBC">
        <w:rPr>
          <w:rFonts w:eastAsia="Calibri" w:cs="Times New Roman"/>
          <w:sz w:val="26"/>
          <w:szCs w:val="26"/>
        </w:rPr>
        <w:t>Ministre</w:t>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00D72FF4">
        <w:rPr>
          <w:rFonts w:eastAsia="Calibri" w:cs="Times New Roman"/>
          <w:sz w:val="26"/>
          <w:szCs w:val="26"/>
        </w:rPr>
        <w:tab/>
      </w:r>
      <w:r w:rsidR="00D72FF4">
        <w:rPr>
          <w:rFonts w:eastAsia="Calibri" w:cs="Times New Roman"/>
          <w:sz w:val="26"/>
          <w:szCs w:val="26"/>
        </w:rPr>
        <w:tab/>
      </w:r>
      <w:r w:rsidR="00D72FF4">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Pr="000A5EBC">
        <w:rPr>
          <w:rFonts w:eastAsia="Calibri" w:cs="Times New Roman"/>
          <w:sz w:val="26"/>
          <w:szCs w:val="26"/>
        </w:rPr>
        <w:tab/>
      </w:r>
      <w:r w:rsidR="001134A1">
        <w:rPr>
          <w:rFonts w:eastAsia="Calibri" w:cs="Times New Roman"/>
          <w:sz w:val="26"/>
          <w:szCs w:val="26"/>
        </w:rPr>
        <w:tab/>
      </w:r>
      <w:r w:rsidR="001134A1">
        <w:rPr>
          <w:rFonts w:eastAsia="Calibri" w:cs="Times New Roman"/>
          <w:sz w:val="26"/>
          <w:szCs w:val="26"/>
        </w:rPr>
        <w:tab/>
      </w:r>
      <w:proofErr w:type="spellStart"/>
      <w:r w:rsidRPr="000A5EBC">
        <w:rPr>
          <w:rFonts w:eastAsia="Calibri" w:cs="Times New Roman"/>
          <w:sz w:val="26"/>
          <w:szCs w:val="26"/>
        </w:rPr>
        <w:t>D.Reizniece</w:t>
      </w:r>
      <w:proofErr w:type="spellEnd"/>
      <w:r w:rsidRPr="000A5EBC">
        <w:rPr>
          <w:rFonts w:eastAsia="Calibri" w:cs="Times New Roman"/>
          <w:sz w:val="26"/>
          <w:szCs w:val="26"/>
        </w:rPr>
        <w:t>-Ozola</w:t>
      </w:r>
    </w:p>
    <w:p w:rsidR="00CA02B6" w:rsidRPr="000A5EBC" w:rsidRDefault="00CA02B6" w:rsidP="00DE1497">
      <w:pPr>
        <w:ind w:firstLine="851"/>
        <w:rPr>
          <w:rFonts w:eastAsia="Calibri" w:cs="Times New Roman"/>
          <w:sz w:val="26"/>
          <w:szCs w:val="26"/>
        </w:rPr>
      </w:pPr>
    </w:p>
    <w:p w:rsidR="00014715" w:rsidRPr="00D72FF4" w:rsidRDefault="00014715" w:rsidP="00DE1497">
      <w:pPr>
        <w:rPr>
          <w:rFonts w:eastAsia="Calibri" w:cs="Times New Roman"/>
          <w:sz w:val="16"/>
          <w:szCs w:val="16"/>
        </w:rPr>
      </w:pPr>
      <w:r w:rsidRPr="00D72FF4">
        <w:rPr>
          <w:rFonts w:eastAsia="Calibri" w:cs="Times New Roman"/>
          <w:sz w:val="16"/>
          <w:szCs w:val="16"/>
        </w:rPr>
        <w:t>Pūre 67095432</w:t>
      </w:r>
    </w:p>
    <w:p w:rsidR="00014715" w:rsidRPr="00D72FF4" w:rsidRDefault="00AD575B">
      <w:pPr>
        <w:rPr>
          <w:sz w:val="16"/>
          <w:szCs w:val="16"/>
        </w:rPr>
      </w:pPr>
      <w:hyperlink r:id="rId7" w:history="1">
        <w:r w:rsidR="00014715" w:rsidRPr="00D72FF4">
          <w:rPr>
            <w:rStyle w:val="Hyperlink"/>
            <w:rFonts w:eastAsia="Calibri" w:cs="Times New Roman"/>
            <w:sz w:val="16"/>
            <w:szCs w:val="16"/>
          </w:rPr>
          <w:t>kristina.pure@fm.gov.lv</w:t>
        </w:r>
      </w:hyperlink>
      <w:bookmarkStart w:id="0" w:name="_GoBack"/>
      <w:bookmarkEnd w:id="0"/>
    </w:p>
    <w:sectPr w:rsidR="00014715" w:rsidRPr="00D72FF4" w:rsidSect="001134A1">
      <w:headerReference w:type="default" r:id="rId8"/>
      <w:footerReference w:type="default" r:id="rId9"/>
      <w:footerReference w:type="first" r:id="rId10"/>
      <w:pgSz w:w="16838" w:h="11906" w:orient="landscape"/>
      <w:pgMar w:top="1701" w:right="1418"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4715" w:rsidRDefault="00014715" w:rsidP="00014715">
      <w:r>
        <w:separator/>
      </w:r>
    </w:p>
  </w:endnote>
  <w:endnote w:type="continuationSeparator" w:id="0">
    <w:p w:rsidR="00014715" w:rsidRDefault="00014715" w:rsidP="00014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2FF4" w:rsidRDefault="00D72FF4" w:rsidP="00D72FF4">
    <w:pPr>
      <w:pStyle w:val="Footer"/>
      <w:jc w:val="right"/>
    </w:pPr>
  </w:p>
  <w:p w:rsidR="00014715" w:rsidRPr="00014715" w:rsidRDefault="00D72FF4">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AD575B">
      <w:rPr>
        <w:noProof/>
        <w:sz w:val="20"/>
        <w:szCs w:val="20"/>
      </w:rPr>
      <w:t>FMzinp2_16</w:t>
    </w:r>
    <w:r w:rsidR="005004CB">
      <w:rPr>
        <w:noProof/>
        <w:sz w:val="20"/>
        <w:szCs w:val="20"/>
      </w:rPr>
      <w:t>0817_parsk.docx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34A1" w:rsidRDefault="001134A1" w:rsidP="001134A1">
    <w:pPr>
      <w:pStyle w:val="Footer"/>
      <w:jc w:val="right"/>
    </w:pPr>
  </w:p>
  <w:p w:rsidR="001134A1" w:rsidRPr="00014715" w:rsidRDefault="001134A1" w:rsidP="001134A1">
    <w:pPr>
      <w:pStyle w:val="Footer"/>
      <w:rPr>
        <w:sz w:val="20"/>
        <w:szCs w:val="20"/>
      </w:rPr>
    </w:pPr>
    <w:r>
      <w:rPr>
        <w:sz w:val="20"/>
        <w:szCs w:val="20"/>
      </w:rPr>
      <w:fldChar w:fldCharType="begin"/>
    </w:r>
    <w:r>
      <w:rPr>
        <w:sz w:val="20"/>
        <w:szCs w:val="20"/>
      </w:rPr>
      <w:instrText xml:space="preserve"> FILENAME \* MERGEFORMAT </w:instrText>
    </w:r>
    <w:r>
      <w:rPr>
        <w:sz w:val="20"/>
        <w:szCs w:val="20"/>
      </w:rPr>
      <w:fldChar w:fldCharType="separate"/>
    </w:r>
    <w:r w:rsidR="005004CB">
      <w:rPr>
        <w:noProof/>
        <w:sz w:val="20"/>
        <w:szCs w:val="20"/>
      </w:rPr>
      <w:t>FMzinp2_1</w:t>
    </w:r>
    <w:r w:rsidR="00AD575B">
      <w:rPr>
        <w:noProof/>
        <w:sz w:val="20"/>
        <w:szCs w:val="20"/>
      </w:rPr>
      <w:t>6</w:t>
    </w:r>
    <w:r w:rsidR="005004CB">
      <w:rPr>
        <w:noProof/>
        <w:sz w:val="20"/>
        <w:szCs w:val="20"/>
      </w:rPr>
      <w:t>0817_parsk.docx</w:t>
    </w:r>
    <w:r>
      <w:rPr>
        <w:sz w:val="20"/>
        <w:szCs w:val="20"/>
      </w:rPr>
      <w:fldChar w:fldCharType="end"/>
    </w:r>
  </w:p>
  <w:p w:rsidR="001134A1" w:rsidRDefault="001134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4715" w:rsidRDefault="00014715" w:rsidP="00014715">
      <w:r>
        <w:separator/>
      </w:r>
    </w:p>
  </w:footnote>
  <w:footnote w:type="continuationSeparator" w:id="0">
    <w:p w:rsidR="00014715" w:rsidRDefault="00014715" w:rsidP="00014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656375"/>
      <w:docPartObj>
        <w:docPartGallery w:val="Page Numbers (Top of Page)"/>
        <w:docPartUnique/>
      </w:docPartObj>
    </w:sdtPr>
    <w:sdtEndPr>
      <w:rPr>
        <w:noProof/>
      </w:rPr>
    </w:sdtEndPr>
    <w:sdtContent>
      <w:p w:rsidR="001134A1" w:rsidRDefault="001134A1">
        <w:pPr>
          <w:pStyle w:val="Header"/>
          <w:jc w:val="center"/>
        </w:pPr>
        <w:r>
          <w:fldChar w:fldCharType="begin"/>
        </w:r>
        <w:r>
          <w:instrText xml:space="preserve"> PAGE   \* MERGEFORMAT </w:instrText>
        </w:r>
        <w:r>
          <w:fldChar w:fldCharType="separate"/>
        </w:r>
        <w:r w:rsidR="00AD575B">
          <w:rPr>
            <w:noProof/>
          </w:rPr>
          <w:t>2</w:t>
        </w:r>
        <w:r>
          <w:rPr>
            <w:noProof/>
          </w:rPr>
          <w:fldChar w:fldCharType="end"/>
        </w:r>
      </w:p>
    </w:sdtContent>
  </w:sdt>
  <w:p w:rsidR="001134A1" w:rsidRDefault="001134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868"/>
    <w:rsid w:val="0000056D"/>
    <w:rsid w:val="00014715"/>
    <w:rsid w:val="00056284"/>
    <w:rsid w:val="001134A1"/>
    <w:rsid w:val="00254E34"/>
    <w:rsid w:val="0025590D"/>
    <w:rsid w:val="00275868"/>
    <w:rsid w:val="003B68BE"/>
    <w:rsid w:val="003C6B7B"/>
    <w:rsid w:val="003E3A10"/>
    <w:rsid w:val="005004CB"/>
    <w:rsid w:val="005D2924"/>
    <w:rsid w:val="0068300D"/>
    <w:rsid w:val="006B1251"/>
    <w:rsid w:val="00741487"/>
    <w:rsid w:val="008376CF"/>
    <w:rsid w:val="00841656"/>
    <w:rsid w:val="00A123FC"/>
    <w:rsid w:val="00AC5B86"/>
    <w:rsid w:val="00AD575B"/>
    <w:rsid w:val="00B038F7"/>
    <w:rsid w:val="00B22F37"/>
    <w:rsid w:val="00BE0457"/>
    <w:rsid w:val="00CA02B6"/>
    <w:rsid w:val="00D513D0"/>
    <w:rsid w:val="00D72FF4"/>
    <w:rsid w:val="00DE1497"/>
    <w:rsid w:val="00DE3F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60B9C70"/>
  <w15:chartTrackingRefBased/>
  <w15:docId w15:val="{4264AC08-1E45-4A5E-9815-32BEE14F1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4715"/>
    <w:rPr>
      <w:color w:val="0563C1" w:themeColor="hyperlink"/>
      <w:u w:val="single"/>
    </w:rPr>
  </w:style>
  <w:style w:type="paragraph" w:styleId="Header">
    <w:name w:val="header"/>
    <w:basedOn w:val="Normal"/>
    <w:link w:val="HeaderChar"/>
    <w:uiPriority w:val="99"/>
    <w:unhideWhenUsed/>
    <w:rsid w:val="00014715"/>
    <w:pPr>
      <w:tabs>
        <w:tab w:val="center" w:pos="4153"/>
        <w:tab w:val="right" w:pos="8306"/>
      </w:tabs>
    </w:pPr>
  </w:style>
  <w:style w:type="character" w:customStyle="1" w:styleId="HeaderChar">
    <w:name w:val="Header Char"/>
    <w:basedOn w:val="DefaultParagraphFont"/>
    <w:link w:val="Header"/>
    <w:uiPriority w:val="99"/>
    <w:rsid w:val="00014715"/>
  </w:style>
  <w:style w:type="paragraph" w:styleId="Footer">
    <w:name w:val="footer"/>
    <w:basedOn w:val="Normal"/>
    <w:link w:val="FooterChar"/>
    <w:uiPriority w:val="99"/>
    <w:unhideWhenUsed/>
    <w:rsid w:val="00014715"/>
    <w:pPr>
      <w:tabs>
        <w:tab w:val="center" w:pos="4153"/>
        <w:tab w:val="right" w:pos="8306"/>
      </w:tabs>
    </w:pPr>
  </w:style>
  <w:style w:type="character" w:customStyle="1" w:styleId="FooterChar">
    <w:name w:val="Footer Char"/>
    <w:basedOn w:val="DefaultParagraphFont"/>
    <w:link w:val="Footer"/>
    <w:uiPriority w:val="99"/>
    <w:rsid w:val="00014715"/>
  </w:style>
  <w:style w:type="character" w:styleId="LineNumber">
    <w:name w:val="line number"/>
    <w:basedOn w:val="DefaultParagraphFont"/>
    <w:uiPriority w:val="99"/>
    <w:semiHidden/>
    <w:unhideWhenUsed/>
    <w:rsid w:val="00000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22305">
      <w:bodyDiv w:val="1"/>
      <w:marLeft w:val="0"/>
      <w:marRight w:val="0"/>
      <w:marTop w:val="0"/>
      <w:marBottom w:val="0"/>
      <w:divBdr>
        <w:top w:val="none" w:sz="0" w:space="0" w:color="auto"/>
        <w:left w:val="none" w:sz="0" w:space="0" w:color="auto"/>
        <w:bottom w:val="none" w:sz="0" w:space="0" w:color="auto"/>
        <w:right w:val="none" w:sz="0" w:space="0" w:color="auto"/>
      </w:divBdr>
    </w:div>
    <w:div w:id="132528776">
      <w:bodyDiv w:val="1"/>
      <w:marLeft w:val="0"/>
      <w:marRight w:val="0"/>
      <w:marTop w:val="0"/>
      <w:marBottom w:val="0"/>
      <w:divBdr>
        <w:top w:val="none" w:sz="0" w:space="0" w:color="auto"/>
        <w:left w:val="none" w:sz="0" w:space="0" w:color="auto"/>
        <w:bottom w:val="none" w:sz="0" w:space="0" w:color="auto"/>
        <w:right w:val="none" w:sz="0" w:space="0" w:color="auto"/>
      </w:divBdr>
    </w:div>
    <w:div w:id="244726627">
      <w:bodyDiv w:val="1"/>
      <w:marLeft w:val="0"/>
      <w:marRight w:val="0"/>
      <w:marTop w:val="0"/>
      <w:marBottom w:val="0"/>
      <w:divBdr>
        <w:top w:val="none" w:sz="0" w:space="0" w:color="auto"/>
        <w:left w:val="none" w:sz="0" w:space="0" w:color="auto"/>
        <w:bottom w:val="none" w:sz="0" w:space="0" w:color="auto"/>
        <w:right w:val="none" w:sz="0" w:space="0" w:color="auto"/>
      </w:divBdr>
    </w:div>
    <w:div w:id="689142959">
      <w:bodyDiv w:val="1"/>
      <w:marLeft w:val="0"/>
      <w:marRight w:val="0"/>
      <w:marTop w:val="0"/>
      <w:marBottom w:val="0"/>
      <w:divBdr>
        <w:top w:val="none" w:sz="0" w:space="0" w:color="auto"/>
        <w:left w:val="none" w:sz="0" w:space="0" w:color="auto"/>
        <w:bottom w:val="none" w:sz="0" w:space="0" w:color="auto"/>
        <w:right w:val="none" w:sz="0" w:space="0" w:color="auto"/>
      </w:divBdr>
    </w:div>
    <w:div w:id="1127317259">
      <w:bodyDiv w:val="1"/>
      <w:marLeft w:val="0"/>
      <w:marRight w:val="0"/>
      <w:marTop w:val="0"/>
      <w:marBottom w:val="0"/>
      <w:divBdr>
        <w:top w:val="none" w:sz="0" w:space="0" w:color="auto"/>
        <w:left w:val="none" w:sz="0" w:space="0" w:color="auto"/>
        <w:bottom w:val="none" w:sz="0" w:space="0" w:color="auto"/>
        <w:right w:val="none" w:sz="0" w:space="0" w:color="auto"/>
      </w:divBdr>
    </w:div>
    <w:div w:id="1214734518">
      <w:bodyDiv w:val="1"/>
      <w:marLeft w:val="0"/>
      <w:marRight w:val="0"/>
      <w:marTop w:val="0"/>
      <w:marBottom w:val="0"/>
      <w:divBdr>
        <w:top w:val="none" w:sz="0" w:space="0" w:color="auto"/>
        <w:left w:val="none" w:sz="0" w:space="0" w:color="auto"/>
        <w:bottom w:val="none" w:sz="0" w:space="0" w:color="auto"/>
        <w:right w:val="none" w:sz="0" w:space="0" w:color="auto"/>
      </w:divBdr>
    </w:div>
    <w:div w:id="1299409693">
      <w:bodyDiv w:val="1"/>
      <w:marLeft w:val="0"/>
      <w:marRight w:val="0"/>
      <w:marTop w:val="0"/>
      <w:marBottom w:val="0"/>
      <w:divBdr>
        <w:top w:val="none" w:sz="0" w:space="0" w:color="auto"/>
        <w:left w:val="none" w:sz="0" w:space="0" w:color="auto"/>
        <w:bottom w:val="none" w:sz="0" w:space="0" w:color="auto"/>
        <w:right w:val="none" w:sz="0" w:space="0" w:color="auto"/>
      </w:divBdr>
    </w:div>
    <w:div w:id="1482964385">
      <w:bodyDiv w:val="1"/>
      <w:marLeft w:val="0"/>
      <w:marRight w:val="0"/>
      <w:marTop w:val="0"/>
      <w:marBottom w:val="0"/>
      <w:divBdr>
        <w:top w:val="none" w:sz="0" w:space="0" w:color="auto"/>
        <w:left w:val="none" w:sz="0" w:space="0" w:color="auto"/>
        <w:bottom w:val="none" w:sz="0" w:space="0" w:color="auto"/>
        <w:right w:val="none" w:sz="0" w:space="0" w:color="auto"/>
      </w:divBdr>
    </w:div>
    <w:div w:id="1932465746">
      <w:bodyDiv w:val="1"/>
      <w:marLeft w:val="0"/>
      <w:marRight w:val="0"/>
      <w:marTop w:val="0"/>
      <w:marBottom w:val="0"/>
      <w:divBdr>
        <w:top w:val="none" w:sz="0" w:space="0" w:color="auto"/>
        <w:left w:val="none" w:sz="0" w:space="0" w:color="auto"/>
        <w:bottom w:val="none" w:sz="0" w:space="0" w:color="auto"/>
        <w:right w:val="none" w:sz="0" w:space="0" w:color="auto"/>
      </w:divBdr>
    </w:div>
    <w:div w:id="1998803651">
      <w:bodyDiv w:val="1"/>
      <w:marLeft w:val="0"/>
      <w:marRight w:val="0"/>
      <w:marTop w:val="0"/>
      <w:marBottom w:val="0"/>
      <w:divBdr>
        <w:top w:val="none" w:sz="0" w:space="0" w:color="auto"/>
        <w:left w:val="none" w:sz="0" w:space="0" w:color="auto"/>
        <w:bottom w:val="none" w:sz="0" w:space="0" w:color="auto"/>
        <w:right w:val="none" w:sz="0" w:space="0" w:color="auto"/>
      </w:divBdr>
    </w:div>
    <w:div w:id="201171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ristina.pure@fm.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18DBB-CE04-4D5D-BB67-BACD42C6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2349</Words>
  <Characters>1340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Informatīvais ziņojums “Par valsts budžeta izdevumu pārskatīšanas 2018., 2019. un 2020.gadam rezultātiem un priekšlikumi par šo rezultātu izmantošanu likumprojekta “Par vidēja termiņa budžeta 2018., 2019. un 2020.gadam” un likumprojekta “Par valsts budžet</vt:lpstr>
    </vt:vector>
  </TitlesOfParts>
  <Company>Finanšu ministrija</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Informatīvais ziņojums “Par valsts budžeta izdevumu pārskatīšanas 2018., 2019. un 2020.gadam rezultātiem un priekšlikumi par šo rezultātu izmantošanu likumprojekta “Par vidēja termiņa budžeta 2018., 2019. un 2020.gadam” un likumprojekta “Par valsts budžetu 2018.gadam” izstrādes procesā”</dc:title>
  <dc:subject>pielikums</dc:subject>
  <dc:creator>Kristīna Pūre</dc:creator>
  <cp:keywords/>
  <dc:description>kristina.pure@fm.gov.lv, tālr. 67095432</dc:description>
  <cp:lastModifiedBy>Klinta Stafecka</cp:lastModifiedBy>
  <cp:revision>5</cp:revision>
  <dcterms:created xsi:type="dcterms:W3CDTF">2017-08-11T11:10:00Z</dcterms:created>
  <dcterms:modified xsi:type="dcterms:W3CDTF">2017-08-16T07:48:00Z</dcterms:modified>
</cp:coreProperties>
</file>